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UNITED STATES</w:t>
      </w:r>
    </w:p>
    <w:p>
      <w:pPr>
        <w:jc w:val="center"/>
        <w:ind w:right="-4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440"/>
        <w:spacing w:after="0"/>
        <w:rPr>
          <w:sz w:val="20"/>
          <w:szCs w:val="20"/>
          <w:color w:val="auto"/>
        </w:rPr>
      </w:pPr>
      <w:r>
        <w:rPr>
          <w:rFonts w:ascii="Arial" w:cs="Arial" w:eastAsia="Arial" w:hAnsi="Arial"/>
          <w:sz w:val="17"/>
          <w:szCs w:val="17"/>
          <w:b w:val="1"/>
          <w:bCs w:val="1"/>
          <w:color w:val="auto"/>
        </w:rPr>
        <w:t>Washington, D.C. 20549</w:t>
      </w:r>
    </w:p>
    <w:p>
      <w:pPr>
        <w:spacing w:after="0" w:line="175"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SCHEDULE 14A</w:t>
      </w:r>
    </w:p>
    <w:p>
      <w:pPr>
        <w:spacing w:after="0" w:line="211"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Proxy Statement Pursuant to Section 14(a) of</w:t>
      </w:r>
    </w:p>
    <w:p>
      <w:pPr>
        <w:spacing w:after="0" w:line="8"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the Securities Exchange Act of 1934</w:t>
      </w:r>
    </w:p>
    <w:p>
      <w:pPr>
        <w:spacing w:after="0" w:line="151"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Filed by the Registrant </w:t>
      </w:r>
      <w:r>
        <w:rPr>
          <w:rFonts w:ascii="Arial Unicode MS" w:cs="Arial Unicode MS" w:eastAsia="Arial Unicode MS" w:hAnsi="Arial Unicode MS"/>
          <w:sz w:val="17"/>
          <w:szCs w:val="17"/>
          <w:color w:val="auto"/>
        </w:rPr>
        <w:t>⌧</w:t>
      </w:r>
    </w:p>
    <w:p>
      <w:pPr>
        <w:spacing w:after="0" w:line="7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Filed by a Party other than the Registrant </w:t>
      </w:r>
      <w:r>
        <w:rPr>
          <w:rFonts w:ascii="Arial Unicode MS" w:cs="Arial Unicode MS" w:eastAsia="Arial Unicode MS" w:hAnsi="Arial Unicode MS"/>
          <w:sz w:val="17"/>
          <w:szCs w:val="17"/>
          <w:color w:val="auto"/>
        </w:rPr>
        <w:t>☐</w:t>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48" w:lineRule="exact"/>
        <w:rPr>
          <w:sz w:val="24"/>
          <w:szCs w:val="24"/>
          <w:color w:val="auto"/>
        </w:rPr>
      </w:pPr>
    </w:p>
    <w:p>
      <w:pPr>
        <w:ind w:left="500" w:hanging="499"/>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1" w:lineRule="exact"/>
        <w:rPr>
          <w:rFonts w:ascii="Arial" w:cs="Arial" w:eastAsia="Arial" w:hAnsi="Arial"/>
          <w:sz w:val="17"/>
          <w:szCs w:val="17"/>
          <w:color w:val="auto"/>
        </w:rPr>
      </w:pPr>
    </w:p>
    <w:p>
      <w:pPr>
        <w:ind w:left="500" w:hanging="499"/>
        <w:spacing w:after="0" w:line="235"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4"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Definitive Proxy Statement</w:t>
      </w:r>
    </w:p>
    <w:p>
      <w:pPr>
        <w:spacing w:after="0" w:line="9" w:lineRule="exact"/>
        <w:rPr>
          <w:rFonts w:ascii="Arial" w:cs="Arial" w:eastAsia="Arial" w:hAnsi="Arial"/>
          <w:sz w:val="17"/>
          <w:szCs w:val="17"/>
          <w:color w:val="auto"/>
        </w:rPr>
      </w:pPr>
    </w:p>
    <w:p>
      <w:pPr>
        <w:ind w:left="500" w:hanging="499"/>
        <w:spacing w:after="0" w:line="227"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2" w:lineRule="exact"/>
        <w:rPr>
          <w:rFonts w:ascii="Arial" w:cs="Arial" w:eastAsia="Arial" w:hAnsi="Arial"/>
          <w:sz w:val="17"/>
          <w:szCs w:val="17"/>
          <w:color w:val="auto"/>
        </w:rPr>
      </w:pPr>
    </w:p>
    <w:p>
      <w:pPr>
        <w:ind w:left="500" w:hanging="499"/>
        <w:spacing w:after="0" w:line="227"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17"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300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(Name of Registrant as Specified In Its Charter)</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00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72"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ind w:left="520" w:hanging="519"/>
        <w:spacing w:after="0" w:line="237" w:lineRule="auto"/>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No fee required.</w:t>
      </w:r>
    </w:p>
    <w:p>
      <w:pPr>
        <w:ind w:left="520" w:hanging="519"/>
        <w:spacing w:after="0" w:line="224" w:lineRule="auto"/>
        <w:tabs>
          <w:tab w:leader="none" w:pos="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42" w:lineRule="exact"/>
        <w:rPr>
          <w:rFonts w:ascii="Arial" w:cs="Arial" w:eastAsia="Arial" w:hAnsi="Arial"/>
          <w:sz w:val="17"/>
          <w:szCs w:val="17"/>
          <w:color w:val="auto"/>
        </w:rPr>
      </w:pPr>
    </w:p>
    <w:p>
      <w:pPr>
        <w:ind w:left="520" w:hanging="519"/>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605155</wp:posOffset>
            </wp:positionV>
            <wp:extent cx="630047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0470" cy="24130"/>
                    </a:xfrm>
                    <a:prstGeom prst="rect">
                      <a:avLst/>
                    </a:prstGeom>
                    <a:noFill/>
                  </pic:spPr>
                </pic:pic>
              </a:graphicData>
            </a:graphic>
          </wp:anchor>
        </w:drawing>
      </w:r>
    </w:p>
    <w:p>
      <w:pPr>
        <w:sectPr>
          <w:pgSz w:w="11900" w:h="16838" w:orient="portrait"/>
          <w:cols w:equalWidth="0" w:num="1">
            <w:col w:w="9479"/>
          </w:cols>
          <w:pgMar w:left="980" w:top="623"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390"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 xml:space="preserve">Notice of </w:t>
      </w:r>
      <w:r>
        <w:rPr>
          <w:rFonts w:ascii="Arial" w:cs="Arial" w:eastAsia="Arial" w:hAnsi="Arial"/>
          <w:sz w:val="36"/>
          <w:szCs w:val="36"/>
          <w:b w:val="1"/>
          <w:bCs w:val="1"/>
          <w:color w:val="071D49"/>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-34925</wp:posOffset>
            </wp:positionV>
            <wp:extent cx="1954530" cy="34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4530" cy="3498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Annual Meeting</w:t>
      </w:r>
    </w:p>
    <w:p>
      <w:pPr>
        <w:spacing w:after="0" w:line="8" w:lineRule="exact"/>
        <w:rPr>
          <w:sz w:val="20"/>
          <w:szCs w:val="20"/>
          <w:color w:val="auto"/>
        </w:rPr>
      </w:pPr>
    </w:p>
    <w:p>
      <w:pPr>
        <w:spacing w:after="0"/>
        <w:rPr>
          <w:sz w:val="20"/>
          <w:szCs w:val="20"/>
          <w:color w:val="auto"/>
        </w:rPr>
      </w:pPr>
      <w:r>
        <w:rPr>
          <w:rFonts w:ascii="Arial" w:cs="Arial" w:eastAsia="Arial" w:hAnsi="Arial"/>
          <w:sz w:val="33"/>
          <w:szCs w:val="33"/>
          <w:b w:val="1"/>
          <w:bCs w:val="1"/>
          <w:color w:val="808080"/>
        </w:rPr>
        <w:t>of Stockholders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stockholders of our company:</w:t>
      </w:r>
    </w:p>
    <w:p>
      <w:pPr>
        <w:spacing w:after="0" w:line="117"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 xml:space="preserve">You are cordially invited to attend the 2024 Annual Meeting of Stockholders to be held on May 3, 2024, where we will be voting on the below matters. You will be able to attend the Annual Meeting, vote, and submit questions via live webcast by visiting </w:t>
      </w:r>
      <w:r>
        <w:rPr>
          <w:rFonts w:ascii="Arial" w:cs="Arial" w:eastAsia="Arial" w:hAnsi="Arial"/>
          <w:sz w:val="17"/>
          <w:szCs w:val="17"/>
          <w:b w:val="1"/>
          <w:bCs w:val="1"/>
          <w:color w:val="071D49"/>
        </w:rPr>
        <w:t>www.virtualshareholdermeeting.com/ABBV2024</w:t>
      </w:r>
      <w:r>
        <w:rPr>
          <w:rFonts w:ascii="Arial" w:cs="Arial" w:eastAsia="Arial" w:hAnsi="Arial"/>
          <w:sz w:val="17"/>
          <w:szCs w:val="17"/>
          <w:color w:val="000000"/>
        </w:rPr>
        <w: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Items of business</w:t>
      </w:r>
    </w:p>
    <w:p>
      <w:pPr>
        <w:sectPr>
          <w:pgSz w:w="11900" w:h="16838" w:orient="portrait"/>
          <w:cols w:equalWidth="0" w:num="1">
            <w:col w:w="9900"/>
          </w:cols>
          <w:pgMar w:left="980" w:top="486" w:right="1019" w:bottom="1440" w:gutter="0" w:footer="0" w:header="0"/>
        </w:sectPr>
      </w:pP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color w:val="071D49"/>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color w:val="071D49"/>
        </w:rPr>
        <w:t>●</w:t>
      </w:r>
    </w:p>
    <w:p>
      <w:pPr>
        <w:spacing w:after="0" w:line="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color w:val="071D49"/>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color w:val="071D49"/>
        </w:rPr>
        <w:t>●</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color w:val="071D49"/>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To elect five directors to hold office until the 2027 Annual Meeting or until their successors are elected.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To ratify the appointment of Ernst &amp; Young LLP as AbbVie’s independent registered public accounting firm for 2024.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To vote on an advisory basis on the approval of executive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To vote on an advisory basis on the frequency of future stockholder advisory votes on executive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To vote on a management proposal to eliminate supermajority voting.</w:t>
      </w:r>
    </w:p>
    <w:p>
      <w:pPr>
        <w:spacing w:after="0" w:line="116" w:lineRule="exact"/>
        <w:rPr>
          <w:sz w:val="20"/>
          <w:szCs w:val="20"/>
          <w:color w:val="auto"/>
        </w:rPr>
      </w:pPr>
    </w:p>
    <w:p>
      <w:pPr>
        <w:sectPr>
          <w:pgSz w:w="11900" w:h="16838" w:orient="portrait"/>
          <w:cols w:equalWidth="0" w:num="2">
            <w:col w:w="460" w:space="160"/>
            <w:col w:w="9280"/>
          </w:cols>
          <w:pgMar w:left="980" w:top="486" w:right="1019" w:bottom="1440" w:gutter="0" w:footer="0" w:header="0"/>
          <w:type w:val="continuous"/>
        </w:sectPr>
      </w:pPr>
    </w:p>
    <w:p>
      <w:pPr>
        <w:ind w:left="620" w:right="40" w:hanging="293"/>
        <w:spacing w:after="0"/>
        <w:tabs>
          <w:tab w:leader="none" w:pos="620" w:val="left"/>
        </w:tabs>
        <w:numPr>
          <w:ilvl w:val="0"/>
          <w:numId w:val="4"/>
        </w:numPr>
        <w:rPr>
          <w:rFonts w:ascii="Times New Roman" w:cs="Times New Roman" w:eastAsia="Times New Roman" w:hAnsi="Times New Roman"/>
          <w:sz w:val="34"/>
          <w:szCs w:val="34"/>
          <w:color w:val="071D49"/>
          <w:vertAlign w:val="subscript"/>
        </w:rPr>
      </w:pPr>
      <w:r>
        <w:rPr>
          <w:rFonts w:ascii="Arial" w:cs="Arial" w:eastAsia="Arial" w:hAnsi="Arial"/>
          <w:sz w:val="14"/>
          <w:szCs w:val="14"/>
          <w:color w:val="auto"/>
        </w:rPr>
        <w:t>To consider any other matters that may properly come before the meeting, including three stockholder proposals, if presented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6300470" cy="376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3765550"/>
                    </a:xfrm>
                    <a:prstGeom prst="rect">
                      <a:avLst/>
                    </a:prstGeom>
                    <a:noFill/>
                  </pic:spPr>
                </pic:pic>
              </a:graphicData>
            </a:graphic>
          </wp:anchor>
        </w:drawing>
      </w:r>
    </w:p>
    <w:p>
      <w:pPr>
        <w:sectPr>
          <w:pgSz w:w="11900" w:h="16838" w:orient="portrait"/>
          <w:cols w:equalWidth="0" w:num="1">
            <w:col w:w="9900"/>
          </w:cols>
          <w:pgMar w:left="980" w:top="486" w:right="101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071D49"/>
        </w:rPr>
        <w:t>Your vote is important.</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Please vote promptly using one of the methods mentioned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429260" cy="309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000000"/>
                        </a:clrFrom>
                        <a:clrTo>
                          <a:srgbClr val="000000">
                            <a:alpha val="0"/>
                          </a:srgbClr>
                        </a:clrTo>
                      </a:clrChange>
                      <a:extLst>
                        <a:ext uri="{28A0092B-C50C-407E-A947-70E740481C1C}"/>
                      </a:extLst>
                    </a:blip>
                    <a:srcRect/>
                    <a:stretch>
                      <a:fillRect/>
                    </a:stretch>
                  </pic:blipFill>
                  <pic:spPr bwMode="auto">
                    <a:xfrm>
                      <a:off x="0" y="0"/>
                      <a:ext cx="429260" cy="3098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55880</wp:posOffset>
            </wp:positionV>
            <wp:extent cx="429260" cy="309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429260" cy="30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Visit www.proxyvote.com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476885" cy="301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000000"/>
                        </a:clrFrom>
                        <a:clrTo>
                          <a:srgbClr val="000000">
                            <a:alpha val="0"/>
                          </a:srgbClr>
                        </a:clrTo>
                      </a:clrChange>
                      <a:extLst>
                        <a:ext uri="{28A0092B-C50C-407E-A947-70E740481C1C}"/>
                      </a:extLst>
                    </a:blip>
                    <a:srcRect/>
                    <a:stretch>
                      <a:fillRect/>
                    </a:stretch>
                  </pic:blipFill>
                  <pic:spPr bwMode="auto">
                    <a:xfrm>
                      <a:off x="0" y="0"/>
                      <a:ext cx="476885" cy="3016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476885" cy="301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76885"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Mail</w:t>
      </w:r>
    </w:p>
    <w:p>
      <w:pPr>
        <w:spacing w:after="0" w:line="13"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Sign and return your proxy card in the enclosed envelope if you received a printed version of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46380" cy="405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246380" cy="4051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246380" cy="405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6380" cy="40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Call toll-free 1-800-690-6903 in the U.S.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452755" cy="357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452755" cy="3575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60960</wp:posOffset>
            </wp:positionV>
            <wp:extent cx="452755" cy="357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52755" cy="35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 the virtual meeting</w:t>
      </w:r>
    </w:p>
    <w:p>
      <w:pPr>
        <w:spacing w:after="0" w:line="13"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To be admitted to the virtual meeting, you must enter the control number found on your proxy card, voting instructions form, or notice you received.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The Annual Meeting of Stockholders of AbbVie Inc. (the “Annual Meeting”) will be held on Friday, May 3, 2024 at 9:00 a.m. CT. This year’s Annual Meeting will be a virtual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264795</wp:posOffset>
            </wp:positionV>
            <wp:extent cx="405130" cy="461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405130" cy="46101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264795</wp:posOffset>
            </wp:positionV>
            <wp:extent cx="405130" cy="461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05130" cy="461010"/>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264795</wp:posOffset>
            </wp:positionV>
            <wp:extent cx="389255" cy="452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000000"/>
                        </a:clrFrom>
                        <a:clrTo>
                          <a:srgbClr val="000000">
                            <a:alpha val="0"/>
                          </a:srgbClr>
                        </a:clrTo>
                      </a:clrChange>
                      <a:extLst>
                        <a:ext uri="{28A0092B-C50C-407E-A947-70E740481C1C}"/>
                      </a:extLst>
                    </a:blip>
                    <a:srcRect/>
                    <a:stretch>
                      <a:fillRect/>
                    </a:stretch>
                  </pic:blipFill>
                  <pic:spPr bwMode="auto">
                    <a:xfrm>
                      <a:off x="0" y="0"/>
                      <a:ext cx="389255" cy="4527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264795</wp:posOffset>
            </wp:positionV>
            <wp:extent cx="389255" cy="45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89255" cy="4527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256540</wp:posOffset>
            </wp:positionV>
            <wp:extent cx="500380" cy="476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000000"/>
                        </a:clrFrom>
                        <a:clrTo>
                          <a:srgbClr val="000000">
                            <a:alpha val="0"/>
                          </a:srgbClr>
                        </a:clrTo>
                      </a:clrChange>
                      <a:extLst>
                        <a:ext uri="{28A0092B-C50C-407E-A947-70E740481C1C}"/>
                      </a:extLst>
                    </a:blip>
                    <a:srcRect/>
                    <a:stretch>
                      <a:fillRect/>
                    </a:stretch>
                  </pic:blipFill>
                  <pic:spPr bwMode="auto">
                    <a:xfrm>
                      <a:off x="0" y="0"/>
                      <a:ext cx="500380" cy="47688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256540</wp:posOffset>
            </wp:positionV>
            <wp:extent cx="500380" cy="476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00380" cy="47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580" w:type="dxa"/>
            <w:vAlign w:val="bottom"/>
          </w:tcPr>
          <w:p>
            <w:pPr>
              <w:jc w:val="center"/>
              <w:ind w:right="168"/>
              <w:spacing w:after="0"/>
              <w:rPr>
                <w:sz w:val="20"/>
                <w:szCs w:val="20"/>
                <w:color w:val="auto"/>
              </w:rPr>
            </w:pPr>
            <w:r>
              <w:rPr>
                <w:rFonts w:ascii="Arial" w:cs="Arial" w:eastAsia="Arial" w:hAnsi="Arial"/>
                <w:sz w:val="17"/>
                <w:szCs w:val="17"/>
                <w:b w:val="1"/>
                <w:bCs w:val="1"/>
                <w:color w:val="auto"/>
                <w:w w:val="96"/>
              </w:rPr>
              <w:t>DATE AND TIME:</w:t>
            </w:r>
          </w:p>
        </w:tc>
        <w:tc>
          <w:tcPr>
            <w:tcW w:w="3280" w:type="dxa"/>
            <w:vAlign w:val="bottom"/>
          </w:tcPr>
          <w:p>
            <w:pPr>
              <w:jc w:val="center"/>
              <w:ind w:left="8"/>
              <w:spacing w:after="0"/>
              <w:rPr>
                <w:sz w:val="20"/>
                <w:szCs w:val="20"/>
                <w:color w:val="auto"/>
              </w:rPr>
            </w:pPr>
            <w:r>
              <w:rPr>
                <w:rFonts w:ascii="Arial" w:cs="Arial" w:eastAsia="Arial" w:hAnsi="Arial"/>
                <w:sz w:val="17"/>
                <w:szCs w:val="17"/>
                <w:b w:val="1"/>
                <w:bCs w:val="1"/>
                <w:color w:val="auto"/>
                <w:w w:val="98"/>
              </w:rPr>
              <w:t>WHERE:</w:t>
            </w:r>
          </w:p>
        </w:tc>
        <w:tc>
          <w:tcPr>
            <w:tcW w:w="1940" w:type="dxa"/>
            <w:vAlign w:val="bottom"/>
            <w:vMerge w:val="restart"/>
          </w:tcPr>
          <w:p>
            <w:pPr>
              <w:jc w:val="center"/>
              <w:ind w:left="111"/>
              <w:spacing w:after="0"/>
              <w:rPr>
                <w:sz w:val="20"/>
                <w:szCs w:val="20"/>
                <w:color w:val="auto"/>
              </w:rPr>
            </w:pPr>
            <w:r>
              <w:rPr>
                <w:rFonts w:ascii="Arial" w:cs="Arial" w:eastAsia="Arial" w:hAnsi="Arial"/>
                <w:sz w:val="17"/>
                <w:szCs w:val="17"/>
                <w:b w:val="1"/>
                <w:bCs w:val="1"/>
                <w:color w:val="auto"/>
                <w:w w:val="97"/>
              </w:rPr>
              <w:t>ADMISSION:</w:t>
            </w:r>
          </w:p>
        </w:tc>
        <w:tc>
          <w:tcPr>
            <w:tcW w:w="0" w:type="dxa"/>
            <w:vAlign w:val="bottom"/>
          </w:tcPr>
          <w:p>
            <w:pPr>
              <w:spacing w:after="0"/>
              <w:rPr>
                <w:sz w:val="1"/>
                <w:szCs w:val="1"/>
                <w:color w:val="auto"/>
              </w:rPr>
            </w:pPr>
          </w:p>
        </w:tc>
      </w:tr>
      <w:tr>
        <w:trPr>
          <w:trHeight w:val="168"/>
        </w:trPr>
        <w:tc>
          <w:tcPr>
            <w:tcW w:w="1580" w:type="dxa"/>
            <w:vAlign w:val="bottom"/>
          </w:tcPr>
          <w:p>
            <w:pPr>
              <w:jc w:val="center"/>
              <w:ind w:right="168"/>
              <w:spacing w:after="0"/>
              <w:rPr>
                <w:sz w:val="20"/>
                <w:szCs w:val="20"/>
                <w:color w:val="auto"/>
              </w:rPr>
            </w:pPr>
            <w:r>
              <w:rPr>
                <w:rFonts w:ascii="Arial" w:cs="Arial" w:eastAsia="Arial" w:hAnsi="Arial"/>
                <w:sz w:val="13"/>
                <w:szCs w:val="13"/>
                <w:color w:val="auto"/>
              </w:rPr>
              <w:t>Friday, May 3, 2024</w:t>
            </w:r>
          </w:p>
        </w:tc>
        <w:tc>
          <w:tcPr>
            <w:tcW w:w="3280" w:type="dxa"/>
            <w:vAlign w:val="bottom"/>
          </w:tcPr>
          <w:p>
            <w:pPr>
              <w:jc w:val="center"/>
              <w:ind w:left="28"/>
              <w:spacing w:after="0"/>
              <w:rPr>
                <w:sz w:val="20"/>
                <w:szCs w:val="20"/>
                <w:color w:val="auto"/>
              </w:rPr>
            </w:pPr>
            <w:r>
              <w:rPr>
                <w:rFonts w:ascii="Arial" w:cs="Arial" w:eastAsia="Arial" w:hAnsi="Arial"/>
                <w:sz w:val="13"/>
                <w:szCs w:val="13"/>
                <w:color w:val="auto"/>
              </w:rPr>
              <w:t>Via live webcast online at</w:t>
            </w:r>
          </w:p>
        </w:tc>
        <w:tc>
          <w:tcPr>
            <w:tcW w:w="1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580" w:type="dxa"/>
            <w:vAlign w:val="bottom"/>
          </w:tcPr>
          <w:p>
            <w:pPr>
              <w:jc w:val="center"/>
              <w:ind w:right="168"/>
              <w:spacing w:after="0"/>
              <w:rPr>
                <w:sz w:val="20"/>
                <w:szCs w:val="20"/>
                <w:color w:val="auto"/>
              </w:rPr>
            </w:pPr>
            <w:r>
              <w:rPr>
                <w:rFonts w:ascii="Arial" w:cs="Arial" w:eastAsia="Arial" w:hAnsi="Arial"/>
                <w:sz w:val="13"/>
                <w:szCs w:val="13"/>
                <w:color w:val="auto"/>
              </w:rPr>
              <w:t>9:00 a.m. CT</w:t>
            </w:r>
          </w:p>
        </w:tc>
        <w:tc>
          <w:tcPr>
            <w:tcW w:w="3280" w:type="dxa"/>
            <w:vAlign w:val="bottom"/>
          </w:tcPr>
          <w:p>
            <w:pPr>
              <w:jc w:val="center"/>
              <w:ind w:left="8"/>
              <w:spacing w:after="0"/>
              <w:rPr>
                <w:sz w:val="20"/>
                <w:szCs w:val="20"/>
                <w:color w:val="auto"/>
              </w:rPr>
            </w:pPr>
            <w:r>
              <w:rPr>
                <w:rFonts w:ascii="Arial" w:cs="Arial" w:eastAsia="Arial" w:hAnsi="Arial"/>
                <w:sz w:val="13"/>
                <w:szCs w:val="13"/>
                <w:color w:val="auto"/>
              </w:rPr>
              <w:t>www.virtualshareholdermeeting.com/ABBV2024.</w:t>
            </w:r>
          </w:p>
        </w:tc>
        <w:tc>
          <w:tcPr>
            <w:tcW w:w="1940" w:type="dxa"/>
            <w:vAlign w:val="bottom"/>
          </w:tcPr>
          <w:p>
            <w:pPr>
              <w:jc w:val="center"/>
              <w:ind w:left="111"/>
              <w:spacing w:after="0"/>
              <w:rPr>
                <w:sz w:val="20"/>
                <w:szCs w:val="20"/>
                <w:color w:val="auto"/>
              </w:rPr>
            </w:pPr>
            <w:r>
              <w:rPr>
                <w:rFonts w:ascii="Arial" w:cs="Arial" w:eastAsia="Arial" w:hAnsi="Arial"/>
                <w:sz w:val="13"/>
                <w:szCs w:val="13"/>
                <w:color w:val="auto"/>
              </w:rPr>
              <w:t>Stockholders of record at the</w:t>
            </w: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40" w:type="dxa"/>
            <w:vAlign w:val="bottom"/>
          </w:tcPr>
          <w:p>
            <w:pPr>
              <w:jc w:val="center"/>
              <w:ind w:left="111"/>
              <w:spacing w:after="0"/>
              <w:rPr>
                <w:sz w:val="20"/>
                <w:szCs w:val="20"/>
                <w:color w:val="auto"/>
              </w:rPr>
            </w:pPr>
            <w:r>
              <w:rPr>
                <w:rFonts w:ascii="Arial" w:cs="Arial" w:eastAsia="Arial" w:hAnsi="Arial"/>
                <w:sz w:val="13"/>
                <w:szCs w:val="13"/>
                <w:color w:val="auto"/>
              </w:rPr>
              <w:t>close of business on March 4,</w:t>
            </w: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40" w:type="dxa"/>
            <w:vAlign w:val="bottom"/>
          </w:tcPr>
          <w:p>
            <w:pPr>
              <w:jc w:val="center"/>
              <w:ind w:left="111"/>
              <w:spacing w:after="0"/>
              <w:rPr>
                <w:sz w:val="20"/>
                <w:szCs w:val="20"/>
                <w:color w:val="auto"/>
              </w:rPr>
            </w:pPr>
            <w:r>
              <w:rPr>
                <w:rFonts w:ascii="Arial" w:cs="Arial" w:eastAsia="Arial" w:hAnsi="Arial"/>
                <w:sz w:val="13"/>
                <w:szCs w:val="13"/>
                <w:color w:val="auto"/>
              </w:rPr>
              <w:t>2024 are entitled to notice of</w:t>
            </w: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940" w:type="dxa"/>
            <w:vAlign w:val="bottom"/>
          </w:tcPr>
          <w:p>
            <w:pPr>
              <w:jc w:val="center"/>
              <w:ind w:left="111"/>
              <w:spacing w:after="0"/>
              <w:rPr>
                <w:sz w:val="20"/>
                <w:szCs w:val="20"/>
                <w:color w:val="auto"/>
              </w:rPr>
            </w:pPr>
            <w:r>
              <w:rPr>
                <w:rFonts w:ascii="Arial" w:cs="Arial" w:eastAsia="Arial" w:hAnsi="Arial"/>
                <w:sz w:val="13"/>
                <w:szCs w:val="13"/>
                <w:color w:val="auto"/>
              </w:rPr>
              <w:t>and to vote at the annual</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40" w:type="dxa"/>
            <w:vAlign w:val="bottom"/>
          </w:tcPr>
          <w:p>
            <w:pPr>
              <w:jc w:val="center"/>
              <w:ind w:left="111"/>
              <w:spacing w:after="0"/>
              <w:rPr>
                <w:sz w:val="20"/>
                <w:szCs w:val="20"/>
                <w:color w:val="auto"/>
              </w:rPr>
            </w:pPr>
            <w:r>
              <w:rPr>
                <w:rFonts w:ascii="Arial" w:cs="Arial" w:eastAsia="Arial" w:hAnsi="Arial"/>
                <w:sz w:val="13"/>
                <w:szCs w:val="13"/>
                <w:color w:val="auto"/>
              </w:rPr>
              <w:t>meeting.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of and interest in the company.</w:t>
      </w:r>
    </w:p>
    <w:p>
      <w:pPr>
        <w:spacing w:after="0" w:line="255"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Perry C. Siatis</w:t>
      </w:r>
    </w:p>
    <w:p>
      <w:pPr>
        <w:spacing w:after="0" w:line="130"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Secretary</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440690</wp:posOffset>
            </wp:positionV>
            <wp:extent cx="630047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0470" cy="15875"/>
                    </a:xfrm>
                    <a:prstGeom prst="rect">
                      <a:avLst/>
                    </a:prstGeom>
                    <a:noFill/>
                  </pic:spPr>
                </pic:pic>
              </a:graphicData>
            </a:graphic>
          </wp:anchor>
        </w:drawing>
      </w:r>
    </w:p>
    <w:p>
      <w:pPr>
        <w:sectPr>
          <w:pgSz w:w="11900" w:h="16838" w:orient="portrait"/>
          <w:cols w:equalWidth="0" w:num="2">
            <w:col w:w="2440" w:space="600"/>
            <w:col w:w="6860"/>
          </w:cols>
          <w:pgMar w:left="980" w:top="486" w:right="10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color w:val="0563C1"/>
        </w:rPr>
        <w:t>\</w:t>
      </w:r>
    </w:p>
    <w:p>
      <w:pPr>
        <w:spacing w:after="0" w:line="207" w:lineRule="exact"/>
        <w:rPr>
          <w:sz w:val="20"/>
          <w:szCs w:val="20"/>
          <w:color w:val="auto"/>
        </w:rPr>
      </w:pPr>
    </w:p>
    <w:p>
      <w:pPr>
        <w:spacing w:after="0"/>
        <w:rPr>
          <w:sz w:val="20"/>
          <w:szCs w:val="20"/>
          <w:color w:val="auto"/>
        </w:rPr>
      </w:pPr>
      <w:r>
        <w:rPr>
          <w:rFonts w:ascii="Arial" w:cs="Arial" w:eastAsia="Arial" w:hAnsi="Arial"/>
          <w:sz w:val="39"/>
          <w:szCs w:val="39"/>
          <w:color w:val="071D49"/>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588708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486" w:right="1319" w:bottom="1440" w:gutter="0" w:footer="0" w:header="0"/>
        </w:sect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PROXY SUMMARY</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071D49"/>
              </w:rPr>
              <w:t>1</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3520" w:type="dxa"/>
            <w:vAlign w:val="bottom"/>
            <w:gridSpan w:val="29"/>
          </w:tcPr>
          <w:p>
            <w:pPr>
              <w:spacing w:after="0" w:line="140" w:lineRule="exact"/>
              <w:rPr>
                <w:sz w:val="20"/>
                <w:szCs w:val="20"/>
                <w:color w:val="auto"/>
              </w:rPr>
            </w:pPr>
            <w:r>
              <w:rPr>
                <w:rFonts w:ascii="Arial" w:cs="Arial" w:eastAsia="Arial" w:hAnsi="Arial"/>
                <w:sz w:val="16"/>
                <w:szCs w:val="16"/>
                <w:color w:val="0000EE"/>
              </w:rPr>
              <w:t>About the Meeting</w:t>
            </w:r>
          </w:p>
        </w:tc>
        <w:tc>
          <w:tcPr>
            <w:tcW w:w="480" w:type="dxa"/>
            <w:vAlign w:val="bottom"/>
          </w:tcPr>
          <w:p>
            <w:pPr>
              <w:jc w:val="right"/>
              <w:spacing w:after="0" w:line="14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360" w:type="dxa"/>
            <w:vAlign w:val="bottom"/>
            <w:tcBorders>
              <w:top w:val="single" w:sz="8" w:color="0000EE"/>
            </w:tcBorders>
            <w:gridSpan w:val="9"/>
          </w:tcPr>
          <w:p>
            <w:pPr>
              <w:spacing w:after="0" w:line="167" w:lineRule="exact"/>
              <w:rPr>
                <w:sz w:val="20"/>
                <w:szCs w:val="20"/>
                <w:color w:val="auto"/>
              </w:rPr>
            </w:pPr>
            <w:r>
              <w:rPr>
                <w:rFonts w:ascii="Arial" w:cs="Arial" w:eastAsia="Arial" w:hAnsi="Arial"/>
                <w:sz w:val="17"/>
                <w:szCs w:val="17"/>
                <w:color w:val="0000EE"/>
              </w:rPr>
              <w:t>Who We Are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940" w:type="dxa"/>
            <w:vAlign w:val="bottom"/>
            <w:tcBorders>
              <w:top w:val="single" w:sz="8" w:color="0000EE"/>
            </w:tcBorders>
            <w:gridSpan w:val="6"/>
          </w:tcPr>
          <w:p>
            <w:pPr>
              <w:spacing w:after="0" w:line="167" w:lineRule="exact"/>
              <w:rPr>
                <w:sz w:val="20"/>
                <w:szCs w:val="20"/>
                <w:color w:val="auto"/>
              </w:rPr>
            </w:pPr>
            <w:r>
              <w:rPr>
                <w:rFonts w:ascii="Arial" w:cs="Arial" w:eastAsia="Arial" w:hAnsi="Arial"/>
                <w:sz w:val="17"/>
                <w:szCs w:val="17"/>
                <w:color w:val="0000EE"/>
                <w:w w:val="90"/>
              </w:rPr>
              <w:t>Our Business</w:t>
            </w:r>
          </w:p>
        </w:tc>
        <w:tc>
          <w:tcPr>
            <w:tcW w:w="2580" w:type="dxa"/>
            <w:vAlign w:val="bottom"/>
            <w:gridSpan w:val="23"/>
          </w:tcPr>
          <w:p>
            <w:pPr>
              <w:ind w:left="100"/>
              <w:spacing w:after="0" w:line="167" w:lineRule="exact"/>
              <w:rPr>
                <w:sz w:val="20"/>
                <w:szCs w:val="20"/>
                <w:color w:val="auto"/>
              </w:rPr>
            </w:pPr>
            <w:r>
              <w:rPr>
                <w:rFonts w:ascii="Arial" w:cs="Arial" w:eastAsia="Arial" w:hAnsi="Arial"/>
                <w:sz w:val="17"/>
                <w:szCs w:val="17"/>
                <w:color w:val="0000EE"/>
              </w:rPr>
              <w:t>Performance</w:t>
            </w: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14"/>
          </w:tcPr>
          <w:p>
            <w:pPr>
              <w:spacing w:after="0" w:line="167" w:lineRule="exact"/>
              <w:rPr>
                <w:sz w:val="20"/>
                <w:szCs w:val="20"/>
                <w:color w:val="auto"/>
              </w:rPr>
            </w:pPr>
            <w:r>
              <w:rPr>
                <w:rFonts w:ascii="Arial" w:cs="Arial" w:eastAsia="Arial" w:hAnsi="Arial"/>
                <w:sz w:val="17"/>
                <w:szCs w:val="17"/>
                <w:color w:val="0000EE"/>
                <w:w w:val="96"/>
              </w:rPr>
              <w:t>Our Governance Highlights</w:t>
            </w: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460" w:type="dxa"/>
            <w:vAlign w:val="bottom"/>
            <w:tcBorders>
              <w:bottom w:val="single" w:sz="8" w:color="0000EE"/>
            </w:tcBorders>
            <w:gridSpan w:val="10"/>
          </w:tcPr>
          <w:p>
            <w:pPr>
              <w:spacing w:after="0" w:line="167" w:lineRule="exact"/>
              <w:rPr>
                <w:sz w:val="20"/>
                <w:szCs w:val="20"/>
                <w:color w:val="auto"/>
              </w:rPr>
            </w:pPr>
            <w:r>
              <w:rPr>
                <w:rFonts w:ascii="Arial" w:cs="Arial" w:eastAsia="Arial" w:hAnsi="Arial"/>
                <w:sz w:val="17"/>
                <w:szCs w:val="17"/>
                <w:color w:val="0000EE"/>
                <w:w w:val="97"/>
              </w:rPr>
              <w:t>Our ESG Highlights</w:t>
            </w:r>
          </w:p>
        </w:tc>
        <w:tc>
          <w:tcPr>
            <w:tcW w:w="56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520" w:type="dxa"/>
            <w:vAlign w:val="bottom"/>
            <w:gridSpan w:val="29"/>
          </w:tcPr>
          <w:p>
            <w:pPr>
              <w:spacing w:after="0" w:line="167" w:lineRule="exact"/>
              <w:rPr>
                <w:sz w:val="20"/>
                <w:szCs w:val="20"/>
                <w:color w:val="auto"/>
              </w:rPr>
            </w:pPr>
            <w:r>
              <w:rPr>
                <w:rFonts w:ascii="Arial" w:cs="Arial" w:eastAsia="Arial" w:hAnsi="Arial"/>
                <w:sz w:val="17"/>
                <w:szCs w:val="17"/>
                <w:color w:val="0000EE"/>
              </w:rPr>
              <w:t>Executive Compensation Highlights</w:t>
            </w: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INFORMATION CONCERNING DIRECTOR</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071D49"/>
              </w:rPr>
              <w:t>13</w:t>
            </w:r>
          </w:p>
        </w:tc>
        <w:tc>
          <w:tcPr>
            <w:tcW w:w="0" w:type="dxa"/>
            <w:vAlign w:val="bottom"/>
          </w:tcPr>
          <w:p>
            <w:pPr>
              <w:spacing w:after="0"/>
              <w:rPr>
                <w:sz w:val="1"/>
                <w:szCs w:val="1"/>
                <w:color w:val="auto"/>
              </w:rPr>
            </w:pPr>
          </w:p>
        </w:tc>
      </w:tr>
      <w:tr>
        <w:trPr>
          <w:trHeight w:val="168"/>
        </w:trPr>
        <w:tc>
          <w:tcPr>
            <w:tcW w:w="3280" w:type="dxa"/>
            <w:vAlign w:val="bottom"/>
            <w:tcBorders>
              <w:top w:val="single" w:sz="8" w:color="071D49"/>
            </w:tcBorders>
            <w:gridSpan w:val="26"/>
          </w:tcPr>
          <w:p>
            <w:pPr>
              <w:spacing w:after="0" w:line="167" w:lineRule="exact"/>
              <w:rPr>
                <w:sz w:val="20"/>
                <w:szCs w:val="20"/>
                <w:color w:val="auto"/>
              </w:rPr>
            </w:pPr>
            <w:r>
              <w:rPr>
                <w:rFonts w:ascii="Arial" w:cs="Arial" w:eastAsia="Arial" w:hAnsi="Arial"/>
                <w:sz w:val="17"/>
                <w:szCs w:val="17"/>
                <w:b w:val="1"/>
                <w:bCs w:val="1"/>
                <w:color w:val="071D49"/>
              </w:rPr>
              <w:t>NOMINEES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THE BOARD OF DIRECTORS AND ITS</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071D49"/>
              </w:rPr>
              <w:t>21</w:t>
            </w:r>
          </w:p>
        </w:tc>
        <w:tc>
          <w:tcPr>
            <w:tcW w:w="0" w:type="dxa"/>
            <w:vAlign w:val="bottom"/>
          </w:tcPr>
          <w:p>
            <w:pPr>
              <w:spacing w:after="0"/>
              <w:rPr>
                <w:sz w:val="1"/>
                <w:szCs w:val="1"/>
                <w:color w:val="auto"/>
              </w:rPr>
            </w:pPr>
          </w:p>
        </w:tc>
      </w:tr>
      <w:tr>
        <w:trPr>
          <w:trHeight w:val="168"/>
        </w:trPr>
        <w:tc>
          <w:tcPr>
            <w:tcW w:w="3000" w:type="dxa"/>
            <w:vAlign w:val="bottom"/>
            <w:tcBorders>
              <w:top w:val="single" w:sz="8" w:color="071D49"/>
            </w:tcBorders>
            <w:gridSpan w:val="22"/>
          </w:tcPr>
          <w:p>
            <w:pPr>
              <w:spacing w:after="0" w:line="167" w:lineRule="exact"/>
              <w:rPr>
                <w:sz w:val="20"/>
                <w:szCs w:val="20"/>
                <w:color w:val="auto"/>
              </w:rPr>
            </w:pPr>
            <w:r>
              <w:rPr>
                <w:rFonts w:ascii="Arial" w:cs="Arial" w:eastAsia="Arial" w:hAnsi="Arial"/>
                <w:sz w:val="17"/>
                <w:szCs w:val="17"/>
                <w:b w:val="1"/>
                <w:bCs w:val="1"/>
                <w:color w:val="071D49"/>
              </w:rPr>
              <w:t>COMMITTEES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COMMUNICATING WITH THE BOARD OF</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071D49"/>
              </w:rPr>
              <w:t>28</w:t>
            </w:r>
          </w:p>
        </w:tc>
        <w:tc>
          <w:tcPr>
            <w:tcW w:w="0" w:type="dxa"/>
            <w:vAlign w:val="bottom"/>
          </w:tcPr>
          <w:p>
            <w:pPr>
              <w:spacing w:after="0"/>
              <w:rPr>
                <w:sz w:val="1"/>
                <w:szCs w:val="1"/>
                <w:color w:val="auto"/>
              </w:rPr>
            </w:pPr>
          </w:p>
        </w:tc>
      </w:tr>
      <w:tr>
        <w:trPr>
          <w:trHeight w:val="168"/>
        </w:trPr>
        <w:tc>
          <w:tcPr>
            <w:tcW w:w="3240" w:type="dxa"/>
            <w:vAlign w:val="bottom"/>
            <w:tcBorders>
              <w:top w:val="single" w:sz="8" w:color="071D49"/>
            </w:tcBorders>
            <w:gridSpan w:val="24"/>
          </w:tcPr>
          <w:p>
            <w:pPr>
              <w:spacing w:after="0" w:line="167" w:lineRule="exact"/>
              <w:rPr>
                <w:sz w:val="20"/>
                <w:szCs w:val="20"/>
                <w:color w:val="auto"/>
              </w:rPr>
            </w:pPr>
            <w:r>
              <w:rPr>
                <w:rFonts w:ascii="Arial" w:cs="Arial" w:eastAsia="Arial" w:hAnsi="Arial"/>
                <w:sz w:val="17"/>
                <w:szCs w:val="17"/>
                <w:b w:val="1"/>
                <w:bCs w:val="1"/>
                <w:color w:val="071D49"/>
              </w:rPr>
              <w:t>DIRECTORS</w:t>
            </w: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DIRECTOR COMPENSATION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071D49"/>
              </w:rPr>
              <w:t>29</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SECURITIES OWNERSHIP</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071D49"/>
              </w:rPr>
              <w:t>31</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EXECUTIVE COMPENSATION</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071D49"/>
              </w:rPr>
              <w:t>33</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3520" w:type="dxa"/>
            <w:vAlign w:val="bottom"/>
            <w:gridSpan w:val="29"/>
          </w:tcPr>
          <w:p>
            <w:pPr>
              <w:spacing w:after="0" w:line="140" w:lineRule="exact"/>
              <w:rPr>
                <w:sz w:val="20"/>
                <w:szCs w:val="20"/>
                <w:color w:val="auto"/>
              </w:rPr>
            </w:pPr>
            <w:r>
              <w:rPr>
                <w:rFonts w:ascii="Arial" w:cs="Arial" w:eastAsia="Arial" w:hAnsi="Arial"/>
                <w:sz w:val="16"/>
                <w:szCs w:val="16"/>
                <w:color w:val="0000EE"/>
              </w:rPr>
              <w:t>Compensation Discussion and Analysis</w:t>
            </w:r>
          </w:p>
        </w:tc>
        <w:tc>
          <w:tcPr>
            <w:tcW w:w="480" w:type="dxa"/>
            <w:vAlign w:val="bottom"/>
          </w:tcPr>
          <w:p>
            <w:pPr>
              <w:jc w:val="right"/>
              <w:spacing w:after="0" w:line="140"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920" w:type="dxa"/>
            <w:vAlign w:val="bottom"/>
            <w:tcBorders>
              <w:top w:val="single" w:sz="8" w:color="0000EE"/>
            </w:tcBorders>
            <w:gridSpan w:val="22"/>
          </w:tcPr>
          <w:p>
            <w:pPr>
              <w:spacing w:after="0" w:line="167" w:lineRule="exact"/>
              <w:rPr>
                <w:sz w:val="20"/>
                <w:szCs w:val="20"/>
                <w:color w:val="auto"/>
              </w:rPr>
            </w:pPr>
            <w:r>
              <w:rPr>
                <w:rFonts w:ascii="Arial" w:cs="Arial" w:eastAsia="Arial" w:hAnsi="Arial"/>
                <w:sz w:val="17"/>
                <w:szCs w:val="17"/>
                <w:color w:val="0000EE"/>
              </w:rPr>
              <w:t>Compensation Committee Report</w:t>
            </w: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480" w:type="dxa"/>
            <w:vAlign w:val="bottom"/>
            <w:tcBorders>
              <w:top w:val="single" w:sz="8" w:color="0000EE"/>
            </w:tcBorders>
            <w:gridSpan w:val="19"/>
          </w:tcPr>
          <w:p>
            <w:pPr>
              <w:spacing w:after="0" w:line="167" w:lineRule="exact"/>
              <w:rPr>
                <w:sz w:val="20"/>
                <w:szCs w:val="20"/>
                <w:color w:val="auto"/>
              </w:rPr>
            </w:pPr>
            <w:r>
              <w:rPr>
                <w:rFonts w:ascii="Arial" w:cs="Arial" w:eastAsia="Arial" w:hAnsi="Arial"/>
                <w:sz w:val="17"/>
                <w:szCs w:val="17"/>
                <w:color w:val="0000EE"/>
              </w:rPr>
              <w:t>Compensation Risk Assessment</w:t>
            </w:r>
          </w:p>
        </w:tc>
        <w:tc>
          <w:tcPr>
            <w:tcW w:w="140" w:type="dxa"/>
            <w:vAlign w:val="bottom"/>
          </w:tcPr>
          <w:p>
            <w:pPr>
              <w:spacing w:after="0"/>
              <w:rPr>
                <w:sz w:val="14"/>
                <w:szCs w:val="14"/>
                <w:color w:val="auto"/>
              </w:rPr>
            </w:pPr>
          </w:p>
        </w:tc>
        <w:tc>
          <w:tcPr>
            <w:tcW w:w="3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7"/>
          </w:tcPr>
          <w:p>
            <w:pPr>
              <w:spacing w:after="0" w:line="167" w:lineRule="exact"/>
              <w:rPr>
                <w:sz w:val="20"/>
                <w:szCs w:val="20"/>
                <w:color w:val="auto"/>
              </w:rPr>
            </w:pPr>
            <w:r>
              <w:rPr>
                <w:rFonts w:ascii="Arial" w:cs="Arial" w:eastAsia="Arial" w:hAnsi="Arial"/>
                <w:sz w:val="17"/>
                <w:szCs w:val="17"/>
                <w:color w:val="0000EE"/>
                <w:w w:val="96"/>
              </w:rPr>
              <w:t>Summary Compensation Table</w:t>
            </w:r>
          </w:p>
        </w:tc>
        <w:tc>
          <w:tcPr>
            <w:tcW w:w="120" w:type="dxa"/>
            <w:vAlign w:val="bottom"/>
            <w:tcBorders>
              <w:top w:val="single" w:sz="8" w:color="0000EE"/>
            </w:tcBorders>
          </w:tcPr>
          <w:p>
            <w:pPr>
              <w:spacing w:after="0"/>
              <w:rPr>
                <w:sz w:val="14"/>
                <w:szCs w:val="14"/>
                <w:color w:val="auto"/>
              </w:rPr>
            </w:pPr>
          </w:p>
        </w:tc>
        <w:tc>
          <w:tcPr>
            <w:tcW w:w="220" w:type="dxa"/>
            <w:vAlign w:val="bottom"/>
            <w:gridSpan w:val="2"/>
          </w:tcPr>
          <w:p>
            <w:pPr>
              <w:spacing w:after="0"/>
              <w:rPr>
                <w:sz w:val="14"/>
                <w:szCs w:val="14"/>
                <w:color w:val="auto"/>
              </w:rPr>
            </w:pPr>
          </w:p>
        </w:tc>
        <w:tc>
          <w:tcPr>
            <w:tcW w:w="34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520" w:type="dxa"/>
            <w:vAlign w:val="bottom"/>
            <w:gridSpan w:val="29"/>
          </w:tcPr>
          <w:p>
            <w:pPr>
              <w:spacing w:after="0" w:line="167" w:lineRule="exact"/>
              <w:rPr>
                <w:sz w:val="20"/>
                <w:szCs w:val="20"/>
                <w:color w:val="auto"/>
              </w:rPr>
            </w:pPr>
            <w:r>
              <w:rPr>
                <w:rFonts w:ascii="Arial" w:cs="Arial" w:eastAsia="Arial" w:hAnsi="Arial"/>
                <w:sz w:val="17"/>
                <w:szCs w:val="17"/>
                <w:color w:val="0000EE"/>
              </w:rPr>
              <w:t>2023 Grants of Plan-Based Awards</w:t>
            </w: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620" w:type="dxa"/>
            <w:vAlign w:val="bottom"/>
            <w:tcBorders>
              <w:top w:val="single" w:sz="8" w:color="0000EE"/>
            </w:tcBorders>
            <w:gridSpan w:val="20"/>
          </w:tcPr>
          <w:p>
            <w:pPr>
              <w:spacing w:after="0" w:line="167" w:lineRule="exact"/>
              <w:rPr>
                <w:sz w:val="20"/>
                <w:szCs w:val="20"/>
                <w:color w:val="auto"/>
              </w:rPr>
            </w:pPr>
            <w:r>
              <w:rPr>
                <w:rFonts w:ascii="Arial" w:cs="Arial" w:eastAsia="Arial" w:hAnsi="Arial"/>
                <w:sz w:val="17"/>
                <w:szCs w:val="17"/>
                <w:color w:val="0000EE"/>
                <w:w w:val="96"/>
              </w:rPr>
              <w:t>2023 Outstanding Equity Awards at</w:t>
            </w:r>
          </w:p>
        </w:tc>
        <w:tc>
          <w:tcPr>
            <w:tcW w:w="900" w:type="dxa"/>
            <w:vAlign w:val="bottom"/>
            <w:gridSpan w:val="9"/>
          </w:tcPr>
          <w:p>
            <w:pPr>
              <w:ind w:left="40"/>
              <w:spacing w:after="0" w:line="167" w:lineRule="exact"/>
              <w:rPr>
                <w:sz w:val="20"/>
                <w:szCs w:val="20"/>
                <w:color w:val="auto"/>
              </w:rPr>
            </w:pPr>
            <w:r>
              <w:rPr>
                <w:rFonts w:ascii="Arial" w:cs="Arial" w:eastAsia="Arial" w:hAnsi="Arial"/>
                <w:sz w:val="17"/>
                <w:szCs w:val="17"/>
                <w:color w:val="0000EE"/>
                <w:w w:val="98"/>
              </w:rPr>
              <w:t>Fiscal Year</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00" w:type="dxa"/>
            <w:vAlign w:val="bottom"/>
            <w:tcBorders>
              <w:top w:val="single" w:sz="8" w:color="0000EE"/>
              <w:bottom w:val="single" w:sz="8" w:color="0000EE"/>
            </w:tcBorders>
          </w:tcPr>
          <w:p>
            <w:pPr>
              <w:spacing w:after="0" w:line="167" w:lineRule="exact"/>
              <w:rPr>
                <w:sz w:val="20"/>
                <w:szCs w:val="20"/>
                <w:color w:val="auto"/>
              </w:rPr>
            </w:pPr>
            <w:r>
              <w:rPr>
                <w:rFonts w:ascii="Arial" w:cs="Arial" w:eastAsia="Arial" w:hAnsi="Arial"/>
                <w:sz w:val="17"/>
                <w:szCs w:val="17"/>
                <w:color w:val="0000EE"/>
                <w:w w:val="92"/>
              </w:rPr>
              <w:t>End</w:t>
            </w:r>
          </w:p>
        </w:tc>
        <w:tc>
          <w:tcPr>
            <w:tcW w:w="3000" w:type="dxa"/>
            <w:vAlign w:val="bottom"/>
            <w:tcBorders>
              <w:top w:val="single" w:sz="8" w:color="0000EE"/>
            </w:tcBorders>
            <w:gridSpan w:val="26"/>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480" w:type="dxa"/>
            <w:vAlign w:val="bottom"/>
            <w:gridSpan w:val="2"/>
          </w:tcPr>
          <w:p>
            <w:pPr>
              <w:spacing w:after="0" w:line="167" w:lineRule="exact"/>
              <w:rPr>
                <w:sz w:val="20"/>
                <w:szCs w:val="20"/>
                <w:color w:val="auto"/>
              </w:rPr>
            </w:pPr>
            <w:r>
              <w:rPr>
                <w:rFonts w:ascii="Arial" w:cs="Arial" w:eastAsia="Arial" w:hAnsi="Arial"/>
                <w:sz w:val="17"/>
                <w:szCs w:val="17"/>
                <w:color w:val="0000EE"/>
              </w:rPr>
              <w:t>2023</w:t>
            </w:r>
          </w:p>
        </w:tc>
        <w:tc>
          <w:tcPr>
            <w:tcW w:w="3040" w:type="dxa"/>
            <w:vAlign w:val="bottom"/>
            <w:gridSpan w:val="27"/>
          </w:tcPr>
          <w:p>
            <w:pPr>
              <w:spacing w:after="0" w:line="167" w:lineRule="exact"/>
              <w:rPr>
                <w:sz w:val="20"/>
                <w:szCs w:val="20"/>
                <w:color w:val="auto"/>
              </w:rPr>
            </w:pPr>
            <w:r>
              <w:rPr>
                <w:rFonts w:ascii="Arial" w:cs="Arial" w:eastAsia="Arial" w:hAnsi="Arial"/>
                <w:sz w:val="17"/>
                <w:szCs w:val="17"/>
                <w:color w:val="0000EE"/>
              </w:rPr>
              <w:t>Option Exercises and Stock Vested</w:t>
            </w: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020" w:type="dxa"/>
            <w:vAlign w:val="bottom"/>
            <w:tcBorders>
              <w:top w:val="single" w:sz="8" w:color="0000EE"/>
            </w:tcBorders>
            <w:gridSpan w:val="26"/>
          </w:tcPr>
          <w:p>
            <w:pPr>
              <w:spacing w:after="0" w:line="167" w:lineRule="exact"/>
              <w:rPr>
                <w:sz w:val="20"/>
                <w:szCs w:val="20"/>
                <w:color w:val="auto"/>
              </w:rPr>
            </w:pPr>
            <w:r>
              <w:rPr>
                <w:rFonts w:ascii="Arial" w:cs="Arial" w:eastAsia="Arial" w:hAnsi="Arial"/>
                <w:sz w:val="17"/>
                <w:szCs w:val="17"/>
                <w:color w:val="0000EE"/>
                <w:w w:val="98"/>
              </w:rPr>
              <w:t>Potential Payments upon Termination or</w:t>
            </w:r>
          </w:p>
        </w:tc>
        <w:tc>
          <w:tcPr>
            <w:tcW w:w="18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780" w:type="dxa"/>
            <w:vAlign w:val="bottom"/>
            <w:tcBorders>
              <w:top w:val="single" w:sz="8" w:color="0000EE"/>
            </w:tcBorders>
            <w:gridSpan w:val="23"/>
          </w:tcPr>
          <w:p>
            <w:pPr>
              <w:spacing w:after="0" w:line="167" w:lineRule="exact"/>
              <w:rPr>
                <w:sz w:val="20"/>
                <w:szCs w:val="20"/>
                <w:color w:val="auto"/>
              </w:rPr>
            </w:pPr>
            <w:r>
              <w:rPr>
                <w:rFonts w:ascii="Arial" w:cs="Arial" w:eastAsia="Arial" w:hAnsi="Arial"/>
                <w:sz w:val="17"/>
                <w:szCs w:val="17"/>
                <w:color w:val="0000EE"/>
              </w:rPr>
              <w:t>Change in Control</w:t>
            </w:r>
          </w:p>
        </w:tc>
        <w:tc>
          <w:tcPr>
            <w:tcW w:w="240" w:type="dxa"/>
            <w:vAlign w:val="bottom"/>
            <w:gridSpan w:val="3"/>
          </w:tcPr>
          <w:p>
            <w:pPr>
              <w:spacing w:after="0"/>
              <w:rPr>
                <w:sz w:val="14"/>
                <w:szCs w:val="14"/>
                <w:color w:val="auto"/>
              </w:rPr>
            </w:pPr>
          </w:p>
        </w:tc>
        <w:tc>
          <w:tcPr>
            <w:tcW w:w="320" w:type="dxa"/>
            <w:vAlign w:val="bottom"/>
            <w:gridSpan w:val="2"/>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820" w:type="dxa"/>
            <w:vAlign w:val="bottom"/>
            <w:gridSpan w:val="30"/>
          </w:tcPr>
          <w:p>
            <w:pPr>
              <w:spacing w:after="0"/>
              <w:rPr>
                <w:sz w:val="20"/>
                <w:szCs w:val="20"/>
                <w:color w:val="auto"/>
              </w:rPr>
            </w:pPr>
            <w:r>
              <w:rPr>
                <w:rFonts w:ascii="Arial" w:cs="Arial" w:eastAsia="Arial" w:hAnsi="Arial"/>
                <w:sz w:val="17"/>
                <w:szCs w:val="17"/>
                <w:b w:val="1"/>
                <w:bCs w:val="1"/>
                <w:color w:val="071D49"/>
              </w:rPr>
              <w:t>RATIFICATION OF ERNST &amp; YOUNG LLP AS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gridSpan w:val="9"/>
            <w:shd w:val="clear" w:color="auto" w:fill="071D49"/>
          </w:tcPr>
          <w:p>
            <w:pPr>
              <w:spacing w:after="0" w:line="20" w:lineRule="exact"/>
              <w:rPr>
                <w:sz w:val="1"/>
                <w:szCs w:val="1"/>
                <w:color w:val="auto"/>
              </w:rPr>
            </w:pPr>
          </w:p>
        </w:tc>
        <w:tc>
          <w:tcPr>
            <w:tcW w:w="1920" w:type="dxa"/>
            <w:vAlign w:val="bottom"/>
            <w:gridSpan w:val="19"/>
            <w:shd w:val="clear" w:color="auto" w:fill="071D4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20" w:type="dxa"/>
            <w:vAlign w:val="bottom"/>
            <w:tcBorders>
              <w:bottom w:val="single" w:sz="8" w:color="071D49"/>
            </w:tcBorders>
            <w:gridSpan w:val="30"/>
          </w:tcPr>
          <w:p>
            <w:pPr>
              <w:spacing w:after="0" w:line="167" w:lineRule="exact"/>
              <w:rPr>
                <w:sz w:val="20"/>
                <w:szCs w:val="20"/>
                <w:color w:val="auto"/>
              </w:rPr>
            </w:pPr>
            <w:r>
              <w:rPr>
                <w:rFonts w:ascii="Arial" w:cs="Arial" w:eastAsia="Arial" w:hAnsi="Arial"/>
                <w:sz w:val="17"/>
                <w:szCs w:val="17"/>
                <w:b w:val="1"/>
                <w:bCs w:val="1"/>
                <w:color w:val="071D49"/>
                <w:w w:val="97"/>
              </w:rPr>
              <w:t>ABBVIE’S INDEPENDENT REGISTERED PUBLIC</w:t>
            </w:r>
          </w:p>
        </w:tc>
        <w:tc>
          <w:tcPr>
            <w:tcW w:w="480" w:type="dxa"/>
            <w:vAlign w:val="bottom"/>
            <w:vMerge w:val="restart"/>
          </w:tcPr>
          <w:p>
            <w:pPr>
              <w:jc w:val="right"/>
              <w:spacing w:after="0"/>
              <w:rPr>
                <w:sz w:val="20"/>
                <w:szCs w:val="20"/>
                <w:color w:val="auto"/>
              </w:rPr>
            </w:pPr>
            <w:r>
              <w:rPr>
                <w:rFonts w:ascii="Arial" w:cs="Arial" w:eastAsia="Arial" w:hAnsi="Arial"/>
                <w:sz w:val="17"/>
                <w:szCs w:val="17"/>
                <w:b w:val="1"/>
                <w:bCs w:val="1"/>
                <w:color w:val="071D49"/>
              </w:rPr>
              <w:t>73</w:t>
            </w:r>
          </w:p>
        </w:tc>
        <w:tc>
          <w:tcPr>
            <w:tcW w:w="0" w:type="dxa"/>
            <w:vAlign w:val="bottom"/>
          </w:tcPr>
          <w:p>
            <w:pPr>
              <w:spacing w:after="0"/>
              <w:rPr>
                <w:sz w:val="1"/>
                <w:szCs w:val="1"/>
                <w:color w:val="auto"/>
              </w:rPr>
            </w:pPr>
          </w:p>
        </w:tc>
      </w:tr>
      <w:tr>
        <w:trPr>
          <w:trHeight w:val="168"/>
        </w:trPr>
        <w:tc>
          <w:tcPr>
            <w:tcW w:w="3820" w:type="dxa"/>
            <w:vAlign w:val="bottom"/>
            <w:gridSpan w:val="30"/>
          </w:tcPr>
          <w:p>
            <w:pPr>
              <w:spacing w:after="0" w:line="167" w:lineRule="exact"/>
              <w:rPr>
                <w:sz w:val="20"/>
                <w:szCs w:val="20"/>
                <w:color w:val="auto"/>
              </w:rPr>
            </w:pPr>
            <w:r>
              <w:rPr>
                <w:rFonts w:ascii="Arial" w:cs="Arial" w:eastAsia="Arial" w:hAnsi="Arial"/>
                <w:sz w:val="17"/>
                <w:szCs w:val="17"/>
                <w:b w:val="1"/>
                <w:bCs w:val="1"/>
                <w:color w:val="071D49"/>
              </w:rPr>
              <w:t>ACCOUNTING FIRM</w:t>
            </w: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3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2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80" w:type="dxa"/>
            <w:vAlign w:val="bottom"/>
            <w:tcBorders>
              <w:bottom w:val="single" w:sz="8" w:color="071D49"/>
            </w:tcBorders>
          </w:tcPr>
          <w:p>
            <w:pPr>
              <w:spacing w:after="0" w:line="20" w:lineRule="exact"/>
              <w:rPr>
                <w:sz w:val="1"/>
                <w:szCs w:val="1"/>
                <w:color w:val="auto"/>
              </w:rPr>
            </w:pPr>
          </w:p>
        </w:tc>
        <w:tc>
          <w:tcPr>
            <w:tcW w:w="2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2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4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588708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rPr>
              <w:t>AUDIT INFORMATION</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071D49"/>
              </w:rPr>
              <w:t>74</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8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3480" w:type="dxa"/>
            <w:vAlign w:val="bottom"/>
            <w:gridSpan w:val="31"/>
          </w:tcPr>
          <w:p>
            <w:pPr>
              <w:spacing w:after="0" w:line="140" w:lineRule="exact"/>
              <w:rPr>
                <w:sz w:val="20"/>
                <w:szCs w:val="20"/>
                <w:color w:val="auto"/>
              </w:rPr>
            </w:pPr>
            <w:r>
              <w:rPr>
                <w:rFonts w:ascii="Arial" w:cs="Arial" w:eastAsia="Arial" w:hAnsi="Arial"/>
                <w:sz w:val="16"/>
                <w:szCs w:val="16"/>
                <w:color w:val="0000EE"/>
              </w:rPr>
              <w:t>Audit Fees and Non-Audit Fees</w:t>
            </w:r>
          </w:p>
        </w:tc>
        <w:tc>
          <w:tcPr>
            <w:tcW w:w="520" w:type="dxa"/>
            <w:vAlign w:val="bottom"/>
            <w:gridSpan w:val="2"/>
          </w:tcPr>
          <w:p>
            <w:pPr>
              <w:jc w:val="right"/>
              <w:spacing w:after="0" w:line="140"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320" w:type="dxa"/>
            <w:vAlign w:val="bottom"/>
            <w:tcBorders>
              <w:top w:val="single" w:sz="8" w:color="0000EE"/>
            </w:tcBorders>
            <w:gridSpan w:val="19"/>
          </w:tcPr>
          <w:p>
            <w:pPr>
              <w:spacing w:after="0" w:line="167" w:lineRule="exact"/>
              <w:rPr>
                <w:sz w:val="20"/>
                <w:szCs w:val="20"/>
                <w:color w:val="auto"/>
              </w:rPr>
            </w:pPr>
            <w:r>
              <w:rPr>
                <w:rFonts w:ascii="Arial" w:cs="Arial" w:eastAsia="Arial" w:hAnsi="Arial"/>
                <w:sz w:val="17"/>
                <w:szCs w:val="17"/>
                <w:color w:val="0000EE"/>
                <w:w w:val="97"/>
              </w:rPr>
              <w:t>Policy on Audit Committee Pre-</w:t>
            </w:r>
          </w:p>
        </w:tc>
        <w:tc>
          <w:tcPr>
            <w:tcW w:w="1160" w:type="dxa"/>
            <w:vAlign w:val="bottom"/>
            <w:gridSpan w:val="12"/>
          </w:tcPr>
          <w:p>
            <w:pPr>
              <w:spacing w:after="0" w:line="167" w:lineRule="exact"/>
              <w:rPr>
                <w:sz w:val="20"/>
                <w:szCs w:val="20"/>
                <w:color w:val="auto"/>
              </w:rPr>
            </w:pPr>
            <w:r>
              <w:rPr>
                <w:rFonts w:ascii="Arial" w:cs="Arial" w:eastAsia="Arial" w:hAnsi="Arial"/>
                <w:sz w:val="17"/>
                <w:szCs w:val="17"/>
                <w:color w:val="0000EE"/>
              </w:rPr>
              <w:t>Approval of</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980" w:type="dxa"/>
            <w:vAlign w:val="bottom"/>
            <w:tcBorders>
              <w:top w:val="single" w:sz="8" w:color="0000EE"/>
            </w:tcBorders>
            <w:gridSpan w:val="25"/>
          </w:tcPr>
          <w:p>
            <w:pPr>
              <w:spacing w:after="0" w:line="167" w:lineRule="exact"/>
              <w:rPr>
                <w:sz w:val="20"/>
                <w:szCs w:val="20"/>
                <w:color w:val="auto"/>
              </w:rPr>
            </w:pPr>
            <w:r>
              <w:rPr>
                <w:rFonts w:ascii="Arial" w:cs="Arial" w:eastAsia="Arial" w:hAnsi="Arial"/>
                <w:sz w:val="17"/>
                <w:szCs w:val="17"/>
                <w:color w:val="0000EE"/>
                <w:w w:val="94"/>
              </w:rPr>
              <w:t>Audit and Permissible Non-Audit Services</w:t>
            </w:r>
          </w:p>
        </w:tc>
        <w:tc>
          <w:tcPr>
            <w:tcW w:w="120" w:type="dxa"/>
            <w:vAlign w:val="bottom"/>
          </w:tcPr>
          <w:p>
            <w:pPr>
              <w:spacing w:after="0"/>
              <w:rPr>
                <w:sz w:val="14"/>
                <w:szCs w:val="14"/>
                <w:color w:val="auto"/>
              </w:rPr>
            </w:pPr>
          </w:p>
        </w:tc>
        <w:tc>
          <w:tcPr>
            <w:tcW w:w="200" w:type="dxa"/>
            <w:vAlign w:val="bottom"/>
            <w:gridSpan w:val="4"/>
          </w:tcPr>
          <w:p>
            <w:pPr>
              <w:ind w:left="40"/>
              <w:spacing w:after="0" w:line="167" w:lineRule="exact"/>
              <w:rPr>
                <w:sz w:val="20"/>
                <w:szCs w:val="20"/>
                <w:color w:val="auto"/>
              </w:rPr>
            </w:pPr>
            <w:r>
              <w:rPr>
                <w:rFonts w:ascii="Arial" w:cs="Arial" w:eastAsia="Arial" w:hAnsi="Arial"/>
                <w:sz w:val="17"/>
                <w:szCs w:val="17"/>
                <w:color w:val="0000EE"/>
                <w:w w:val="98"/>
              </w:rPr>
              <w:t>of</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tcBorders>
              <w:top w:val="single" w:sz="8" w:color="0000EE"/>
            </w:tcBorders>
            <w:gridSpan w:val="29"/>
          </w:tcPr>
          <w:p>
            <w:pPr>
              <w:spacing w:after="0" w:line="167" w:lineRule="exact"/>
              <w:rPr>
                <w:sz w:val="20"/>
                <w:szCs w:val="20"/>
                <w:color w:val="auto"/>
              </w:rPr>
            </w:pPr>
            <w:r>
              <w:rPr>
                <w:rFonts w:ascii="Arial" w:cs="Arial" w:eastAsia="Arial" w:hAnsi="Arial"/>
                <w:sz w:val="17"/>
                <w:szCs w:val="17"/>
                <w:color w:val="0000EE"/>
              </w:rPr>
              <w:t>the Independent Registered Public</w:t>
            </w:r>
          </w:p>
        </w:tc>
        <w:tc>
          <w:tcPr>
            <w:tcW w:w="20" w:type="dxa"/>
            <w:vAlign w:val="bottom"/>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top w:val="single" w:sz="8" w:color="0000EE"/>
              <w:bottom w:val="single" w:sz="8" w:color="0000EE"/>
            </w:tcBorders>
            <w:gridSpan w:val="6"/>
          </w:tcPr>
          <w:p>
            <w:pPr>
              <w:spacing w:after="0" w:line="167" w:lineRule="exact"/>
              <w:rPr>
                <w:sz w:val="20"/>
                <w:szCs w:val="20"/>
                <w:color w:val="auto"/>
              </w:rPr>
            </w:pPr>
            <w:r>
              <w:rPr>
                <w:rFonts w:ascii="Arial" w:cs="Arial" w:eastAsia="Arial" w:hAnsi="Arial"/>
                <w:sz w:val="17"/>
                <w:szCs w:val="17"/>
                <w:color w:val="0000EE"/>
                <w:w w:val="97"/>
              </w:rPr>
              <w:t>Accounting Firm</w:t>
            </w:r>
          </w:p>
        </w:tc>
        <w:tc>
          <w:tcPr>
            <w:tcW w:w="1340" w:type="dxa"/>
            <w:vAlign w:val="bottom"/>
            <w:tcBorders>
              <w:top w:val="single" w:sz="8" w:color="0000EE"/>
            </w:tcBorders>
            <w:gridSpan w:val="14"/>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400" w:type="dxa"/>
            <w:vAlign w:val="bottom"/>
            <w:tcBorders>
              <w:bottom w:val="single" w:sz="8" w:color="0000EE"/>
            </w:tcBorders>
            <w:gridSpan w:val="7"/>
          </w:tcPr>
          <w:p>
            <w:pPr>
              <w:spacing w:after="0" w:line="167" w:lineRule="exact"/>
              <w:rPr>
                <w:sz w:val="20"/>
                <w:szCs w:val="20"/>
                <w:color w:val="auto"/>
              </w:rPr>
            </w:pPr>
            <w:r>
              <w:rPr>
                <w:rFonts w:ascii="Arial" w:cs="Arial" w:eastAsia="Arial" w:hAnsi="Arial"/>
                <w:sz w:val="17"/>
                <w:szCs w:val="17"/>
                <w:color w:val="0000EE"/>
              </w:rPr>
              <w:t>Audit Committee</w:t>
            </w:r>
          </w:p>
        </w:tc>
        <w:tc>
          <w:tcPr>
            <w:tcW w:w="380" w:type="dxa"/>
            <w:vAlign w:val="bottom"/>
            <w:tcBorders>
              <w:bottom w:val="single" w:sz="8" w:color="0000EE"/>
            </w:tcBorders>
            <w:gridSpan w:val="4"/>
          </w:tcPr>
          <w:p>
            <w:pPr>
              <w:spacing w:after="0" w:line="167" w:lineRule="exact"/>
              <w:rPr>
                <w:sz w:val="20"/>
                <w:szCs w:val="20"/>
                <w:color w:val="auto"/>
              </w:rPr>
            </w:pPr>
            <w:r>
              <w:rPr>
                <w:rFonts w:ascii="Arial" w:cs="Arial" w:eastAsia="Arial" w:hAnsi="Arial"/>
                <w:sz w:val="17"/>
                <w:szCs w:val="17"/>
                <w:color w:val="0000EE"/>
                <w:w w:val="70"/>
              </w:rPr>
              <w:t>Report</w:t>
            </w:r>
          </w:p>
        </w:tc>
        <w:tc>
          <w:tcPr>
            <w:tcW w:w="1700" w:type="dxa"/>
            <w:vAlign w:val="bottom"/>
            <w:gridSpan w:val="20"/>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393"/>
        </w:trPr>
        <w:tc>
          <w:tcPr>
            <w:tcW w:w="3200" w:type="dxa"/>
            <w:vAlign w:val="bottom"/>
            <w:tcBorders>
              <w:bottom w:val="single" w:sz="8" w:color="071D49"/>
            </w:tcBorders>
            <w:gridSpan w:val="23"/>
          </w:tcPr>
          <w:p>
            <w:pPr>
              <w:spacing w:after="0"/>
              <w:rPr>
                <w:sz w:val="20"/>
                <w:szCs w:val="20"/>
                <w:color w:val="auto"/>
              </w:rPr>
            </w:pPr>
            <w:r>
              <w:rPr>
                <w:rFonts w:ascii="Arial" w:cs="Arial" w:eastAsia="Arial" w:hAnsi="Arial"/>
                <w:sz w:val="17"/>
                <w:szCs w:val="17"/>
                <w:b w:val="1"/>
                <w:bCs w:val="1"/>
                <w:color w:val="071D49"/>
                <w:w w:val="96"/>
              </w:rPr>
              <w:t>SAY ON PAY—ADVISORY VOTE ON THE</w:t>
            </w:r>
          </w:p>
        </w:tc>
        <w:tc>
          <w:tcPr>
            <w:tcW w:w="580" w:type="dxa"/>
            <w:vAlign w:val="bottom"/>
            <w:gridSpan w:val="9"/>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071D49"/>
              </w:rPr>
              <w:t>76</w:t>
            </w:r>
          </w:p>
        </w:tc>
        <w:tc>
          <w:tcPr>
            <w:tcW w:w="0" w:type="dxa"/>
            <w:vAlign w:val="bottom"/>
          </w:tcPr>
          <w:p>
            <w:pPr>
              <w:spacing w:after="0"/>
              <w:rPr>
                <w:sz w:val="1"/>
                <w:szCs w:val="1"/>
                <w:color w:val="auto"/>
              </w:rPr>
            </w:pPr>
          </w:p>
        </w:tc>
      </w:tr>
      <w:tr>
        <w:trPr>
          <w:trHeight w:val="168"/>
        </w:trPr>
        <w:tc>
          <w:tcPr>
            <w:tcW w:w="3780" w:type="dxa"/>
            <w:vAlign w:val="bottom"/>
            <w:gridSpan w:val="32"/>
          </w:tcPr>
          <w:p>
            <w:pPr>
              <w:spacing w:after="0" w:line="167" w:lineRule="exact"/>
              <w:rPr>
                <w:sz w:val="20"/>
                <w:szCs w:val="20"/>
                <w:color w:val="auto"/>
              </w:rPr>
            </w:pPr>
            <w:r>
              <w:rPr>
                <w:rFonts w:ascii="Arial" w:cs="Arial" w:eastAsia="Arial" w:hAnsi="Arial"/>
                <w:sz w:val="17"/>
                <w:szCs w:val="17"/>
                <w:b w:val="1"/>
                <w:bCs w:val="1"/>
                <w:color w:val="071D49"/>
              </w:rPr>
              <w:t>APPROVAL OF EXECUTIVE COMPENSATION</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w w:val="97"/>
              </w:rPr>
              <w:t>SAY WHEN ON PAY—ADVISORY VOTE ON THE</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3740" w:type="dxa"/>
            <w:vAlign w:val="bottom"/>
            <w:tcBorders>
              <w:top w:val="single" w:sz="8" w:color="071D49"/>
            </w:tcBorders>
            <w:gridSpan w:val="30"/>
          </w:tcPr>
          <w:p>
            <w:pPr>
              <w:spacing w:after="0" w:line="167" w:lineRule="exact"/>
              <w:rPr>
                <w:sz w:val="20"/>
                <w:szCs w:val="20"/>
                <w:color w:val="auto"/>
              </w:rPr>
            </w:pPr>
            <w:r>
              <w:rPr>
                <w:rFonts w:ascii="Arial" w:cs="Arial" w:eastAsia="Arial" w:hAnsi="Arial"/>
                <w:sz w:val="17"/>
                <w:szCs w:val="17"/>
                <w:b w:val="1"/>
                <w:bCs w:val="1"/>
                <w:color w:val="071D49"/>
              </w:rPr>
              <w:t>FREQUENCY OF FUTURE APPROVALS OF</w:t>
            </w:r>
          </w:p>
        </w:tc>
        <w:tc>
          <w:tcPr>
            <w:tcW w:w="40" w:type="dxa"/>
            <w:vAlign w:val="bottom"/>
            <w:gridSpan w:val="2"/>
          </w:tcPr>
          <w:p>
            <w:pPr>
              <w:spacing w:after="0"/>
              <w:rPr>
                <w:sz w:val="14"/>
                <w:szCs w:val="1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77</w:t>
            </w:r>
          </w:p>
        </w:tc>
        <w:tc>
          <w:tcPr>
            <w:tcW w:w="0" w:type="dxa"/>
            <w:vAlign w:val="bottom"/>
          </w:tcPr>
          <w:p>
            <w:pPr>
              <w:spacing w:after="0"/>
              <w:rPr>
                <w:sz w:val="1"/>
                <w:szCs w:val="1"/>
                <w:color w:val="auto"/>
              </w:rPr>
            </w:pPr>
          </w:p>
        </w:tc>
      </w:tr>
      <w:tr>
        <w:trPr>
          <w:trHeight w:val="168"/>
        </w:trPr>
        <w:tc>
          <w:tcPr>
            <w:tcW w:w="3400" w:type="dxa"/>
            <w:vAlign w:val="bottom"/>
            <w:tcBorders>
              <w:top w:val="single" w:sz="8" w:color="071D49"/>
            </w:tcBorders>
            <w:gridSpan w:val="24"/>
          </w:tcPr>
          <w:p>
            <w:pPr>
              <w:spacing w:after="0" w:line="167" w:lineRule="exact"/>
              <w:rPr>
                <w:sz w:val="20"/>
                <w:szCs w:val="20"/>
                <w:color w:val="auto"/>
              </w:rPr>
            </w:pPr>
            <w:r>
              <w:rPr>
                <w:rFonts w:ascii="Arial" w:cs="Arial" w:eastAsia="Arial" w:hAnsi="Arial"/>
                <w:sz w:val="17"/>
                <w:szCs w:val="17"/>
                <w:b w:val="1"/>
                <w:bCs w:val="1"/>
                <w:color w:val="071D49"/>
              </w:rPr>
              <w:t>EXECUTIVE COMPENSATION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02060"/>
            </w:tcBorders>
          </w:tcPr>
          <w:p>
            <w:pPr>
              <w:spacing w:after="0" w:line="20" w:lineRule="exact"/>
              <w:rPr>
                <w:sz w:val="1"/>
                <w:szCs w:val="1"/>
                <w:color w:val="auto"/>
              </w:rPr>
            </w:pPr>
          </w:p>
        </w:tc>
        <w:tc>
          <w:tcPr>
            <w:tcW w:w="180" w:type="dxa"/>
            <w:vAlign w:val="bottom"/>
            <w:tcBorders>
              <w:top w:val="single" w:sz="8" w:color="071D49"/>
              <w:bottom w:val="single" w:sz="8" w:color="002060"/>
            </w:tcBorders>
          </w:tcPr>
          <w:p>
            <w:pPr>
              <w:spacing w:after="0" w:line="20" w:lineRule="exact"/>
              <w:rPr>
                <w:sz w:val="1"/>
                <w:szCs w:val="1"/>
                <w:color w:val="auto"/>
              </w:rPr>
            </w:pPr>
          </w:p>
        </w:tc>
        <w:tc>
          <w:tcPr>
            <w:tcW w:w="420" w:type="dxa"/>
            <w:vAlign w:val="bottom"/>
            <w:tcBorders>
              <w:top w:val="single" w:sz="8" w:color="071D49"/>
              <w:bottom w:val="single" w:sz="8" w:color="002060"/>
            </w:tcBorders>
          </w:tcPr>
          <w:p>
            <w:pPr>
              <w:spacing w:after="0" w:line="20" w:lineRule="exact"/>
              <w:rPr>
                <w:sz w:val="1"/>
                <w:szCs w:val="1"/>
                <w:color w:val="auto"/>
              </w:rPr>
            </w:pPr>
          </w:p>
        </w:tc>
        <w:tc>
          <w:tcPr>
            <w:tcW w:w="480" w:type="dxa"/>
            <w:vAlign w:val="bottom"/>
            <w:tcBorders>
              <w:top w:val="single" w:sz="8" w:color="071D49"/>
              <w:bottom w:val="single" w:sz="8" w:color="002060"/>
            </w:tcBorders>
          </w:tcPr>
          <w:p>
            <w:pPr>
              <w:spacing w:after="0" w:line="20" w:lineRule="exact"/>
              <w:rPr>
                <w:sz w:val="1"/>
                <w:szCs w:val="1"/>
                <w:color w:val="auto"/>
              </w:rPr>
            </w:pPr>
          </w:p>
        </w:tc>
        <w:tc>
          <w:tcPr>
            <w:tcW w:w="80" w:type="dxa"/>
            <w:vAlign w:val="bottom"/>
            <w:tcBorders>
              <w:top w:val="single" w:sz="8" w:color="071D49"/>
              <w:bottom w:val="single" w:sz="8" w:color="002060"/>
            </w:tcBorders>
          </w:tcPr>
          <w:p>
            <w:pPr>
              <w:spacing w:after="0" w:line="20" w:lineRule="exact"/>
              <w:rPr>
                <w:sz w:val="1"/>
                <w:szCs w:val="1"/>
                <w:color w:val="auto"/>
              </w:rPr>
            </w:pPr>
          </w:p>
        </w:tc>
        <w:tc>
          <w:tcPr>
            <w:tcW w:w="140" w:type="dxa"/>
            <w:vAlign w:val="bottom"/>
            <w:tcBorders>
              <w:top w:val="single" w:sz="8" w:color="071D49"/>
              <w:bottom w:val="single" w:sz="8" w:color="002060"/>
            </w:tcBorders>
          </w:tcPr>
          <w:p>
            <w:pPr>
              <w:spacing w:after="0" w:line="20" w:lineRule="exact"/>
              <w:rPr>
                <w:sz w:val="1"/>
                <w:szCs w:val="1"/>
                <w:color w:val="auto"/>
              </w:rPr>
            </w:pPr>
          </w:p>
        </w:tc>
        <w:tc>
          <w:tcPr>
            <w:tcW w:w="80" w:type="dxa"/>
            <w:vAlign w:val="bottom"/>
            <w:tcBorders>
              <w:top w:val="single" w:sz="8" w:color="071D49"/>
              <w:bottom w:val="single" w:sz="8" w:color="002060"/>
            </w:tcBorders>
          </w:tcPr>
          <w:p>
            <w:pPr>
              <w:spacing w:after="0" w:line="20" w:lineRule="exact"/>
              <w:rPr>
                <w:sz w:val="1"/>
                <w:szCs w:val="1"/>
                <w:color w:val="auto"/>
              </w:rPr>
            </w:pPr>
          </w:p>
        </w:tc>
        <w:tc>
          <w:tcPr>
            <w:tcW w:w="20" w:type="dxa"/>
            <w:vAlign w:val="bottom"/>
            <w:tcBorders>
              <w:top w:val="single" w:sz="8" w:color="071D49"/>
              <w:bottom w:val="single" w:sz="8" w:color="002060"/>
            </w:tcBorders>
          </w:tcPr>
          <w:p>
            <w:pPr>
              <w:spacing w:after="0" w:line="20" w:lineRule="exact"/>
              <w:rPr>
                <w:sz w:val="1"/>
                <w:szCs w:val="1"/>
                <w:color w:val="auto"/>
              </w:rPr>
            </w:pPr>
          </w:p>
        </w:tc>
        <w:tc>
          <w:tcPr>
            <w:tcW w:w="20" w:type="dxa"/>
            <w:vAlign w:val="bottom"/>
            <w:tcBorders>
              <w:top w:val="single" w:sz="8" w:color="071D49"/>
              <w:bottom w:val="single" w:sz="8" w:color="002060"/>
            </w:tcBorders>
          </w:tcPr>
          <w:p>
            <w:pPr>
              <w:spacing w:after="0" w:line="20" w:lineRule="exact"/>
              <w:rPr>
                <w:sz w:val="1"/>
                <w:szCs w:val="1"/>
                <w:color w:val="auto"/>
              </w:rPr>
            </w:pPr>
          </w:p>
        </w:tc>
        <w:tc>
          <w:tcPr>
            <w:tcW w:w="140" w:type="dxa"/>
            <w:vAlign w:val="bottom"/>
            <w:tcBorders>
              <w:top w:val="single" w:sz="8" w:color="071D49"/>
              <w:bottom w:val="single" w:sz="8" w:color="002060"/>
            </w:tcBorders>
          </w:tcPr>
          <w:p>
            <w:pPr>
              <w:spacing w:after="0" w:line="20" w:lineRule="exact"/>
              <w:rPr>
                <w:sz w:val="1"/>
                <w:szCs w:val="1"/>
                <w:color w:val="auto"/>
              </w:rPr>
            </w:pPr>
          </w:p>
        </w:tc>
        <w:tc>
          <w:tcPr>
            <w:tcW w:w="40" w:type="dxa"/>
            <w:vAlign w:val="bottom"/>
            <w:tcBorders>
              <w:top w:val="single" w:sz="8" w:color="071D49"/>
              <w:bottom w:val="single" w:sz="8" w:color="002060"/>
            </w:tcBorders>
          </w:tcPr>
          <w:p>
            <w:pPr>
              <w:spacing w:after="0" w:line="20" w:lineRule="exact"/>
              <w:rPr>
                <w:sz w:val="1"/>
                <w:szCs w:val="1"/>
                <w:color w:val="auto"/>
              </w:rPr>
            </w:pPr>
          </w:p>
        </w:tc>
        <w:tc>
          <w:tcPr>
            <w:tcW w:w="180" w:type="dxa"/>
            <w:vAlign w:val="bottom"/>
            <w:tcBorders>
              <w:top w:val="single" w:sz="8" w:color="071D49"/>
              <w:bottom w:val="single" w:sz="8" w:color="002060"/>
            </w:tcBorders>
          </w:tcPr>
          <w:p>
            <w:pPr>
              <w:spacing w:after="0" w:line="20" w:lineRule="exact"/>
              <w:rPr>
                <w:sz w:val="1"/>
                <w:szCs w:val="1"/>
                <w:color w:val="auto"/>
              </w:rPr>
            </w:pPr>
          </w:p>
        </w:tc>
        <w:tc>
          <w:tcPr>
            <w:tcW w:w="40" w:type="dxa"/>
            <w:vAlign w:val="bottom"/>
            <w:tcBorders>
              <w:top w:val="single" w:sz="8" w:color="071D49"/>
              <w:bottom w:val="single" w:sz="8" w:color="002060"/>
            </w:tcBorders>
          </w:tcPr>
          <w:p>
            <w:pPr>
              <w:spacing w:after="0" w:line="20" w:lineRule="exact"/>
              <w:rPr>
                <w:sz w:val="1"/>
                <w:szCs w:val="1"/>
                <w:color w:val="auto"/>
              </w:rPr>
            </w:pPr>
          </w:p>
        </w:tc>
        <w:tc>
          <w:tcPr>
            <w:tcW w:w="20" w:type="dxa"/>
            <w:vAlign w:val="bottom"/>
            <w:tcBorders>
              <w:top w:val="single" w:sz="8" w:color="071D49"/>
              <w:bottom w:val="single" w:sz="8" w:color="002060"/>
            </w:tcBorders>
          </w:tcPr>
          <w:p>
            <w:pPr>
              <w:spacing w:after="0" w:line="20" w:lineRule="exact"/>
              <w:rPr>
                <w:sz w:val="1"/>
                <w:szCs w:val="1"/>
                <w:color w:val="auto"/>
              </w:rPr>
            </w:pPr>
          </w:p>
        </w:tc>
        <w:tc>
          <w:tcPr>
            <w:tcW w:w="100" w:type="dxa"/>
            <w:vAlign w:val="bottom"/>
            <w:tcBorders>
              <w:top w:val="single" w:sz="8" w:color="071D49"/>
              <w:bottom w:val="single" w:sz="8" w:color="002060"/>
            </w:tcBorders>
          </w:tcPr>
          <w:p>
            <w:pPr>
              <w:spacing w:after="0" w:line="20" w:lineRule="exact"/>
              <w:rPr>
                <w:sz w:val="1"/>
                <w:szCs w:val="1"/>
                <w:color w:val="auto"/>
              </w:rPr>
            </w:pPr>
          </w:p>
        </w:tc>
        <w:tc>
          <w:tcPr>
            <w:tcW w:w="100" w:type="dxa"/>
            <w:vAlign w:val="bottom"/>
            <w:tcBorders>
              <w:top w:val="single" w:sz="8" w:color="071D49"/>
              <w:bottom w:val="single" w:sz="8" w:color="002060"/>
            </w:tcBorders>
          </w:tcPr>
          <w:p>
            <w:pPr>
              <w:spacing w:after="0" w:line="20" w:lineRule="exact"/>
              <w:rPr>
                <w:sz w:val="1"/>
                <w:szCs w:val="1"/>
                <w:color w:val="auto"/>
              </w:rPr>
            </w:pPr>
          </w:p>
        </w:tc>
        <w:tc>
          <w:tcPr>
            <w:tcW w:w="40" w:type="dxa"/>
            <w:vAlign w:val="bottom"/>
            <w:tcBorders>
              <w:bottom w:val="single" w:sz="8" w:color="002060"/>
            </w:tcBorders>
          </w:tcPr>
          <w:p>
            <w:pPr>
              <w:spacing w:after="0" w:line="20" w:lineRule="exact"/>
              <w:rPr>
                <w:sz w:val="1"/>
                <w:szCs w:val="1"/>
                <w:color w:val="auto"/>
              </w:rPr>
            </w:pPr>
          </w:p>
        </w:tc>
        <w:tc>
          <w:tcPr>
            <w:tcW w:w="10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120" w:type="dxa"/>
            <w:vAlign w:val="bottom"/>
            <w:tcBorders>
              <w:bottom w:val="single" w:sz="8" w:color="002060"/>
            </w:tcBorders>
          </w:tcPr>
          <w:p>
            <w:pPr>
              <w:spacing w:after="0" w:line="20" w:lineRule="exact"/>
              <w:rPr>
                <w:sz w:val="1"/>
                <w:szCs w:val="1"/>
                <w:color w:val="auto"/>
              </w:rPr>
            </w:pPr>
          </w:p>
        </w:tc>
        <w:tc>
          <w:tcPr>
            <w:tcW w:w="260" w:type="dxa"/>
            <w:vAlign w:val="bottom"/>
            <w:tcBorders>
              <w:bottom w:val="single" w:sz="8" w:color="002060"/>
            </w:tcBorders>
          </w:tcPr>
          <w:p>
            <w:pPr>
              <w:spacing w:after="0" w:line="20" w:lineRule="exact"/>
              <w:rPr>
                <w:sz w:val="1"/>
                <w:szCs w:val="1"/>
                <w:color w:val="auto"/>
              </w:rPr>
            </w:pPr>
          </w:p>
        </w:tc>
        <w:tc>
          <w:tcPr>
            <w:tcW w:w="160" w:type="dxa"/>
            <w:vAlign w:val="bottom"/>
            <w:tcBorders>
              <w:bottom w:val="single" w:sz="8" w:color="002060"/>
            </w:tcBorders>
          </w:tcPr>
          <w:p>
            <w:pPr>
              <w:spacing w:after="0" w:line="20" w:lineRule="exact"/>
              <w:rPr>
                <w:sz w:val="1"/>
                <w:szCs w:val="1"/>
                <w:color w:val="auto"/>
              </w:rPr>
            </w:pPr>
          </w:p>
        </w:tc>
        <w:tc>
          <w:tcPr>
            <w:tcW w:w="160" w:type="dxa"/>
            <w:vAlign w:val="bottom"/>
            <w:tcBorders>
              <w:bottom w:val="single" w:sz="8" w:color="002060"/>
            </w:tcBorders>
          </w:tcPr>
          <w:p>
            <w:pPr>
              <w:spacing w:after="0" w:line="20" w:lineRule="exact"/>
              <w:rPr>
                <w:sz w:val="1"/>
                <w:szCs w:val="1"/>
                <w:color w:val="auto"/>
              </w:rPr>
            </w:pPr>
          </w:p>
        </w:tc>
        <w:tc>
          <w:tcPr>
            <w:tcW w:w="20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120" w:type="dxa"/>
            <w:vAlign w:val="bottom"/>
            <w:tcBorders>
              <w:bottom w:val="single" w:sz="8" w:color="002060"/>
            </w:tcBorders>
          </w:tcPr>
          <w:p>
            <w:pPr>
              <w:spacing w:after="0" w:line="20" w:lineRule="exact"/>
              <w:rPr>
                <w:sz w:val="1"/>
                <w:szCs w:val="1"/>
                <w:color w:val="auto"/>
              </w:rPr>
            </w:pPr>
          </w:p>
        </w:tc>
        <w:tc>
          <w:tcPr>
            <w:tcW w:w="100" w:type="dxa"/>
            <w:vAlign w:val="bottom"/>
            <w:tcBorders>
              <w:bottom w:val="single" w:sz="8" w:color="002060"/>
            </w:tcBorders>
          </w:tcPr>
          <w:p>
            <w:pPr>
              <w:spacing w:after="0" w:line="20" w:lineRule="exact"/>
              <w:rPr>
                <w:sz w:val="1"/>
                <w:szCs w:val="1"/>
                <w:color w:val="auto"/>
              </w:rPr>
            </w:pPr>
          </w:p>
        </w:tc>
        <w:tc>
          <w:tcPr>
            <w:tcW w:w="6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20" w:type="dxa"/>
            <w:vAlign w:val="bottom"/>
            <w:tcBorders>
              <w:bottom w:val="single" w:sz="8" w:color="002060"/>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rPr>
              <w:t>MANAGEMENT PROPOSAL TO ELIMINATE</w:t>
            </w:r>
          </w:p>
        </w:tc>
        <w:tc>
          <w:tcPr>
            <w:tcW w:w="5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071D49"/>
              </w:rPr>
              <w:t>78</w:t>
            </w:r>
          </w:p>
        </w:tc>
        <w:tc>
          <w:tcPr>
            <w:tcW w:w="0" w:type="dxa"/>
            <w:vAlign w:val="bottom"/>
          </w:tcPr>
          <w:p>
            <w:pPr>
              <w:spacing w:after="0"/>
              <w:rPr>
                <w:sz w:val="1"/>
                <w:szCs w:val="1"/>
                <w:color w:val="auto"/>
              </w:rPr>
            </w:pPr>
          </w:p>
        </w:tc>
      </w:tr>
      <w:tr>
        <w:trPr>
          <w:trHeight w:val="168"/>
        </w:trPr>
        <w:tc>
          <w:tcPr>
            <w:tcW w:w="3440" w:type="dxa"/>
            <w:vAlign w:val="bottom"/>
            <w:tcBorders>
              <w:top w:val="single" w:sz="8" w:color="071D49"/>
            </w:tcBorders>
            <w:gridSpan w:val="26"/>
          </w:tcPr>
          <w:p>
            <w:pPr>
              <w:spacing w:after="0" w:line="167" w:lineRule="exact"/>
              <w:rPr>
                <w:sz w:val="20"/>
                <w:szCs w:val="20"/>
                <w:color w:val="auto"/>
              </w:rPr>
            </w:pPr>
            <w:r>
              <w:rPr>
                <w:rFonts w:ascii="Arial" w:cs="Arial" w:eastAsia="Arial" w:hAnsi="Arial"/>
                <w:sz w:val="17"/>
                <w:szCs w:val="17"/>
                <w:b w:val="1"/>
                <w:bCs w:val="1"/>
                <w:color w:val="071D49"/>
              </w:rPr>
              <w:t>SUPERMAJORITY VOTING</w:t>
            </w:r>
          </w:p>
        </w:tc>
        <w:tc>
          <w:tcPr>
            <w:tcW w:w="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rPr>
              <w:t>STOCKHOLDER PROPOSALS</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071D49"/>
              </w:rPr>
              <w:t>80</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3480" w:type="dxa"/>
            <w:vAlign w:val="bottom"/>
            <w:gridSpan w:val="31"/>
          </w:tcPr>
          <w:p>
            <w:pPr>
              <w:spacing w:after="0" w:line="140" w:lineRule="exact"/>
              <w:rPr>
                <w:sz w:val="20"/>
                <w:szCs w:val="20"/>
                <w:color w:val="auto"/>
              </w:rPr>
            </w:pPr>
            <w:r>
              <w:rPr>
                <w:rFonts w:ascii="Arial" w:cs="Arial" w:eastAsia="Arial" w:hAnsi="Arial"/>
                <w:sz w:val="16"/>
                <w:szCs w:val="16"/>
                <w:color w:val="0000EE"/>
              </w:rPr>
              <w:t>Stockholder Proposal on Simple Majority Vote</w:t>
            </w:r>
          </w:p>
        </w:tc>
        <w:tc>
          <w:tcPr>
            <w:tcW w:w="520" w:type="dxa"/>
            <w:vAlign w:val="bottom"/>
            <w:gridSpan w:val="2"/>
          </w:tcPr>
          <w:p>
            <w:pPr>
              <w:jc w:val="right"/>
              <w:spacing w:after="0" w:line="140"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2580" w:type="dxa"/>
            <w:vAlign w:val="bottom"/>
            <w:tcBorders>
              <w:top w:val="single" w:sz="8" w:color="0000EE"/>
              <w:bottom w:val="single" w:sz="8" w:color="0000EE"/>
            </w:tcBorders>
            <w:gridSpan w:val="20"/>
          </w:tcPr>
          <w:p>
            <w:pPr>
              <w:spacing w:after="0" w:line="180" w:lineRule="exact"/>
              <w:rPr>
                <w:sz w:val="20"/>
                <w:szCs w:val="20"/>
                <w:color w:val="auto"/>
              </w:rPr>
            </w:pPr>
            <w:r>
              <w:rPr>
                <w:rFonts w:ascii="Arial" w:cs="Arial" w:eastAsia="Arial" w:hAnsi="Arial"/>
                <w:sz w:val="17"/>
                <w:szCs w:val="17"/>
                <w:color w:val="0000EE"/>
                <w:w w:val="98"/>
              </w:rPr>
              <w:t xml:space="preserve">Stockholder Proposal on </w:t>
            </w:r>
            <w:r>
              <w:rPr>
                <w:rFonts w:ascii="Arial" w:cs="Arial" w:eastAsia="Arial" w:hAnsi="Arial"/>
                <w:sz w:val="17"/>
                <w:szCs w:val="17"/>
                <w:color w:val="0000EE"/>
                <w:highlight w:val="white"/>
                <w:w w:val="98"/>
              </w:rPr>
              <w:t>Lobbying</w:t>
            </w:r>
          </w:p>
        </w:tc>
        <w:tc>
          <w:tcPr>
            <w:tcW w:w="800" w:type="dxa"/>
            <w:vAlign w:val="bottom"/>
            <w:tcBorders>
              <w:top w:val="single" w:sz="8" w:color="0000EE"/>
            </w:tcBorders>
            <w:gridSpan w:val="8"/>
          </w:tcPr>
          <w:p>
            <w:pPr>
              <w:spacing w:after="0"/>
              <w:rPr>
                <w:sz w:val="15"/>
                <w:szCs w:val="15"/>
                <w:color w:val="auto"/>
              </w:rPr>
            </w:pPr>
          </w:p>
        </w:tc>
        <w:tc>
          <w:tcPr>
            <w:tcW w:w="100" w:type="dxa"/>
            <w:vAlign w:val="bottom"/>
            <w:gridSpan w:val="3"/>
          </w:tcPr>
          <w:p>
            <w:pPr>
              <w:spacing w:after="0"/>
              <w:rPr>
                <w:sz w:val="15"/>
                <w:szCs w:val="15"/>
                <w:color w:val="auto"/>
              </w:rPr>
            </w:pPr>
          </w:p>
        </w:tc>
        <w:tc>
          <w:tcPr>
            <w:tcW w:w="52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120" w:type="dxa"/>
            <w:vAlign w:val="bottom"/>
            <w:tcBorders>
              <w:bottom w:val="single" w:sz="8" w:color="0000EE"/>
            </w:tcBorders>
            <w:gridSpan w:val="24"/>
          </w:tcPr>
          <w:p>
            <w:pPr>
              <w:spacing w:after="0" w:line="180" w:lineRule="exact"/>
              <w:rPr>
                <w:sz w:val="20"/>
                <w:szCs w:val="20"/>
                <w:color w:val="auto"/>
              </w:rPr>
            </w:pPr>
            <w:r>
              <w:rPr>
                <w:rFonts w:ascii="Arial" w:cs="Arial" w:eastAsia="Arial" w:hAnsi="Arial"/>
                <w:sz w:val="17"/>
                <w:szCs w:val="17"/>
                <w:color w:val="0000EE"/>
              </w:rPr>
              <w:t>Stockholder Proposal on Patent Process</w:t>
            </w:r>
          </w:p>
        </w:tc>
        <w:tc>
          <w:tcPr>
            <w:tcW w:w="360" w:type="dxa"/>
            <w:vAlign w:val="bottom"/>
            <w:gridSpan w:val="7"/>
          </w:tcPr>
          <w:p>
            <w:pPr>
              <w:spacing w:after="0"/>
              <w:rPr>
                <w:sz w:val="15"/>
                <w:szCs w:val="15"/>
                <w:color w:val="auto"/>
              </w:rPr>
            </w:pPr>
          </w:p>
        </w:tc>
        <w:tc>
          <w:tcPr>
            <w:tcW w:w="520" w:type="dxa"/>
            <w:vAlign w:val="bottom"/>
            <w:gridSpan w:val="2"/>
          </w:tcPr>
          <w:p>
            <w:pPr>
              <w:jc w:val="right"/>
              <w:spacing w:after="0" w:line="180" w:lineRule="exact"/>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393"/>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rPr>
              <w:t>ADDITIONAL INFORMATION</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071D49"/>
              </w:rPr>
              <w:t>89</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4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160" w:type="dxa"/>
            <w:vAlign w:val="bottom"/>
            <w:tcBorders>
              <w:bottom w:val="single" w:sz="8" w:color="071D49"/>
            </w:tcBorders>
          </w:tcPr>
          <w:p>
            <w:pPr>
              <w:spacing w:after="0" w:line="20" w:lineRule="exact"/>
              <w:rPr>
                <w:sz w:val="1"/>
                <w:szCs w:val="1"/>
                <w:color w:val="auto"/>
              </w:rPr>
            </w:pPr>
          </w:p>
        </w:tc>
        <w:tc>
          <w:tcPr>
            <w:tcW w:w="2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120" w:type="dxa"/>
            <w:vAlign w:val="bottom"/>
            <w:tcBorders>
              <w:bottom w:val="single" w:sz="8" w:color="071D49"/>
            </w:tcBorders>
          </w:tcPr>
          <w:p>
            <w:pPr>
              <w:spacing w:after="0" w:line="20" w:lineRule="exact"/>
              <w:rPr>
                <w:sz w:val="1"/>
                <w:szCs w:val="1"/>
                <w:color w:val="auto"/>
              </w:rPr>
            </w:pPr>
          </w:p>
        </w:tc>
        <w:tc>
          <w:tcPr>
            <w:tcW w:w="100" w:type="dxa"/>
            <w:vAlign w:val="bottom"/>
            <w:tcBorders>
              <w:bottom w:val="single" w:sz="8" w:color="071D49"/>
            </w:tcBorders>
          </w:tcPr>
          <w:p>
            <w:pPr>
              <w:spacing w:after="0" w:line="20" w:lineRule="exact"/>
              <w:rPr>
                <w:sz w:val="1"/>
                <w:szCs w:val="1"/>
                <w:color w:val="auto"/>
              </w:rPr>
            </w:pPr>
          </w:p>
        </w:tc>
        <w:tc>
          <w:tcPr>
            <w:tcW w:w="6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780" w:type="dxa"/>
            <w:vAlign w:val="bottom"/>
            <w:gridSpan w:val="32"/>
          </w:tcPr>
          <w:p>
            <w:pPr>
              <w:spacing w:after="0"/>
              <w:rPr>
                <w:sz w:val="20"/>
                <w:szCs w:val="20"/>
                <w:color w:val="auto"/>
              </w:rPr>
            </w:pPr>
            <w:r>
              <w:rPr>
                <w:rFonts w:ascii="Arial" w:cs="Arial" w:eastAsia="Arial" w:hAnsi="Arial"/>
                <w:sz w:val="17"/>
                <w:szCs w:val="17"/>
                <w:b w:val="1"/>
                <w:bCs w:val="1"/>
                <w:color w:val="071D49"/>
                <w:w w:val="98"/>
              </w:rPr>
              <w:t>INFORMATION ABOUT THE ANNUAL MEETING</w:t>
            </w: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071D49"/>
              </w:rPr>
              <w:t>93</w:t>
            </w:r>
          </w:p>
        </w:tc>
        <w:tc>
          <w:tcPr>
            <w:tcW w:w="0" w:type="dxa"/>
            <w:vAlign w:val="bottom"/>
          </w:tcPr>
          <w:p>
            <w:pPr>
              <w:spacing w:after="0"/>
              <w:rPr>
                <w:sz w:val="1"/>
                <w:szCs w:val="1"/>
                <w:color w:val="auto"/>
              </w:rPr>
            </w:pPr>
          </w:p>
        </w:tc>
      </w:tr>
      <w:tr>
        <w:trPr>
          <w:trHeight w:val="20"/>
        </w:trPr>
        <w:tc>
          <w:tcPr>
            <w:tcW w:w="30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20" w:type="dxa"/>
            <w:vAlign w:val="bottom"/>
            <w:tcBorders>
              <w:top w:val="single" w:sz="8" w:color="071D49"/>
              <w:bottom w:val="single" w:sz="8" w:color="071D49"/>
            </w:tcBorders>
          </w:tcPr>
          <w:p>
            <w:pPr>
              <w:spacing w:after="0" w:line="20" w:lineRule="exact"/>
              <w:rPr>
                <w:sz w:val="1"/>
                <w:szCs w:val="1"/>
                <w:color w:val="auto"/>
              </w:rPr>
            </w:pPr>
          </w:p>
        </w:tc>
        <w:tc>
          <w:tcPr>
            <w:tcW w:w="48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8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4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8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4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2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160" w:type="dxa"/>
            <w:vAlign w:val="bottom"/>
            <w:tcBorders>
              <w:top w:val="single" w:sz="8" w:color="071D49"/>
              <w:bottom w:val="single" w:sz="8" w:color="071D49"/>
            </w:tcBorders>
          </w:tcPr>
          <w:p>
            <w:pPr>
              <w:spacing w:after="0" w:line="20" w:lineRule="exact"/>
              <w:rPr>
                <w:sz w:val="1"/>
                <w:szCs w:val="1"/>
                <w:color w:val="auto"/>
              </w:rPr>
            </w:pPr>
          </w:p>
        </w:tc>
        <w:tc>
          <w:tcPr>
            <w:tcW w:w="20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top w:val="single" w:sz="8" w:color="071D49"/>
              <w:bottom w:val="single" w:sz="8" w:color="071D49"/>
            </w:tcBorders>
          </w:tcPr>
          <w:p>
            <w:pPr>
              <w:spacing w:after="0" w:line="20" w:lineRule="exact"/>
              <w:rPr>
                <w:sz w:val="1"/>
                <w:szCs w:val="1"/>
                <w:color w:val="auto"/>
              </w:rPr>
            </w:pPr>
          </w:p>
        </w:tc>
        <w:tc>
          <w:tcPr>
            <w:tcW w:w="120" w:type="dxa"/>
            <w:vAlign w:val="bottom"/>
            <w:tcBorders>
              <w:top w:val="single" w:sz="8" w:color="071D49"/>
              <w:bottom w:val="single" w:sz="8" w:color="071D49"/>
            </w:tcBorders>
          </w:tcPr>
          <w:p>
            <w:pPr>
              <w:spacing w:after="0" w:line="20" w:lineRule="exact"/>
              <w:rPr>
                <w:sz w:val="1"/>
                <w:szCs w:val="1"/>
                <w:color w:val="auto"/>
              </w:rPr>
            </w:pPr>
          </w:p>
        </w:tc>
        <w:tc>
          <w:tcPr>
            <w:tcW w:w="100" w:type="dxa"/>
            <w:vAlign w:val="bottom"/>
            <w:tcBorders>
              <w:top w:val="single" w:sz="8" w:color="071D49"/>
              <w:bottom w:val="single" w:sz="8" w:color="071D49"/>
            </w:tcBorders>
          </w:tcPr>
          <w:p>
            <w:pPr>
              <w:spacing w:after="0" w:line="20" w:lineRule="exact"/>
              <w:rPr>
                <w:sz w:val="1"/>
                <w:szCs w:val="1"/>
                <w:color w:val="auto"/>
              </w:rPr>
            </w:pPr>
          </w:p>
        </w:tc>
        <w:tc>
          <w:tcPr>
            <w:tcW w:w="60" w:type="dxa"/>
            <w:vAlign w:val="bottom"/>
            <w:tcBorders>
              <w:top w:val="single" w:sz="8" w:color="071D49"/>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500" w:type="dxa"/>
            <w:vAlign w:val="bottom"/>
            <w:tcBorders>
              <w:bottom w:val="single" w:sz="8" w:color="071D49"/>
            </w:tcBorders>
          </w:tcPr>
          <w:p>
            <w:pPr>
              <w:spacing w:after="0" w:line="20" w:lineRule="exact"/>
              <w:rPr>
                <w:sz w:val="1"/>
                <w:szCs w:val="1"/>
                <w:color w:val="auto"/>
              </w:rPr>
            </w:pPr>
          </w:p>
        </w:tc>
        <w:tc>
          <w:tcPr>
            <w:tcW w:w="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0" w:type="dxa"/>
            <w:vAlign w:val="bottom"/>
          </w:tcPr>
          <w:p>
            <w:pPr>
              <w:spacing w:after="0"/>
              <w:rPr>
                <w:sz w:val="12"/>
                <w:szCs w:val="12"/>
                <w:color w:val="auto"/>
              </w:rPr>
            </w:pPr>
          </w:p>
        </w:tc>
        <w:tc>
          <w:tcPr>
            <w:tcW w:w="1080" w:type="dxa"/>
            <w:vAlign w:val="bottom"/>
            <w:tcBorders>
              <w:bottom w:val="single" w:sz="8" w:color="0000EE"/>
            </w:tcBorders>
            <w:gridSpan w:val="3"/>
          </w:tcPr>
          <w:p>
            <w:pPr>
              <w:spacing w:after="0" w:line="140" w:lineRule="exact"/>
              <w:rPr>
                <w:sz w:val="20"/>
                <w:szCs w:val="20"/>
                <w:color w:val="auto"/>
              </w:rPr>
            </w:pPr>
            <w:r>
              <w:rPr>
                <w:rFonts w:ascii="Arial" w:cs="Arial" w:eastAsia="Arial" w:hAnsi="Arial"/>
                <w:sz w:val="16"/>
                <w:szCs w:val="16"/>
                <w:color w:val="0000EE"/>
              </w:rPr>
              <w:t>Who Can Vote</w:t>
            </w:r>
          </w:p>
        </w:tc>
        <w:tc>
          <w:tcPr>
            <w:tcW w:w="2400" w:type="dxa"/>
            <w:vAlign w:val="bottom"/>
            <w:gridSpan w:val="28"/>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480" w:type="dxa"/>
            <w:vAlign w:val="bottom"/>
            <w:gridSpan w:val="31"/>
          </w:tcPr>
          <w:p>
            <w:pPr>
              <w:spacing w:after="0" w:line="167" w:lineRule="exact"/>
              <w:rPr>
                <w:sz w:val="20"/>
                <w:szCs w:val="20"/>
                <w:color w:val="auto"/>
              </w:rPr>
            </w:pPr>
            <w:r>
              <w:rPr>
                <w:rFonts w:ascii="Arial" w:cs="Arial" w:eastAsia="Arial" w:hAnsi="Arial"/>
                <w:sz w:val="17"/>
                <w:szCs w:val="17"/>
                <w:color w:val="0000EE"/>
              </w:rPr>
              <w:t>Notice and Access</w:t>
            </w: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4"/>
          </w:tcPr>
          <w:p>
            <w:pPr>
              <w:spacing w:after="0" w:line="167" w:lineRule="exact"/>
              <w:rPr>
                <w:sz w:val="20"/>
                <w:szCs w:val="20"/>
                <w:color w:val="auto"/>
              </w:rPr>
            </w:pPr>
            <w:r>
              <w:rPr>
                <w:rFonts w:ascii="Arial" w:cs="Arial" w:eastAsia="Arial" w:hAnsi="Arial"/>
                <w:sz w:val="17"/>
                <w:szCs w:val="17"/>
                <w:color w:val="0000EE"/>
                <w:w w:val="95"/>
              </w:rPr>
              <w:t>Voting by Proxy</w:t>
            </w:r>
          </w:p>
        </w:tc>
        <w:tc>
          <w:tcPr>
            <w:tcW w:w="220" w:type="dxa"/>
            <w:vAlign w:val="bottom"/>
            <w:tcBorders>
              <w:top w:val="single" w:sz="8" w:color="0000EE"/>
            </w:tcBorders>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3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13"/>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480" w:type="dxa"/>
            <w:vAlign w:val="bottom"/>
            <w:gridSpan w:val="31"/>
          </w:tcPr>
          <w:p>
            <w:pPr>
              <w:spacing w:after="0" w:line="167" w:lineRule="exact"/>
              <w:rPr>
                <w:sz w:val="20"/>
                <w:szCs w:val="20"/>
                <w:color w:val="auto"/>
              </w:rPr>
            </w:pPr>
            <w:r>
              <w:rPr>
                <w:rFonts w:ascii="Arial" w:cs="Arial" w:eastAsia="Arial" w:hAnsi="Arial"/>
                <w:sz w:val="17"/>
                <w:szCs w:val="17"/>
                <w:color w:val="0000EE"/>
              </w:rPr>
              <w:t>Revoking a Proxy</w:t>
            </w: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520" w:type="dxa"/>
            <w:vAlign w:val="bottom"/>
            <w:gridSpan w:val="2"/>
            <w:vMerge w:val="restart"/>
          </w:tcPr>
          <w:p>
            <w:pPr>
              <w:jc w:val="right"/>
              <w:spacing w:after="0" w:line="188" w:lineRule="exact"/>
              <w:rPr>
                <w:sz w:val="20"/>
                <w:szCs w:val="20"/>
                <w:color w:val="auto"/>
              </w:rPr>
            </w:pPr>
            <w:r>
              <w:rPr>
                <w:rFonts w:ascii="Arial" w:cs="Arial" w:eastAsia="Arial" w:hAnsi="Arial"/>
                <w:sz w:val="17"/>
                <w:szCs w:val="17"/>
                <w:color w:val="auto"/>
              </w:rPr>
              <w:t>93</w:t>
            </w:r>
          </w:p>
        </w:tc>
        <w:tc>
          <w:tcPr>
            <w:tcW w:w="0" w:type="dxa"/>
            <w:vAlign w:val="bottom"/>
          </w:tcPr>
          <w:p>
            <w:pPr>
              <w:spacing w:after="0" w:line="20" w:lineRule="exact"/>
              <w:rPr>
                <w:sz w:val="1"/>
                <w:szCs w:val="1"/>
                <w:color w:val="auto"/>
              </w:rPr>
            </w:pPr>
          </w:p>
        </w:tc>
      </w:tr>
      <w:tr>
        <w:trPr>
          <w:trHeight w:val="168"/>
        </w:trPr>
        <w:tc>
          <w:tcPr>
            <w:tcW w:w="300" w:type="dxa"/>
            <w:vAlign w:val="bottom"/>
          </w:tcPr>
          <w:p>
            <w:pPr>
              <w:spacing w:after="0"/>
              <w:rPr>
                <w:sz w:val="14"/>
                <w:szCs w:val="14"/>
                <w:color w:val="auto"/>
              </w:rPr>
            </w:pPr>
          </w:p>
        </w:tc>
        <w:tc>
          <w:tcPr>
            <w:tcW w:w="3480" w:type="dxa"/>
            <w:vAlign w:val="bottom"/>
            <w:gridSpan w:val="31"/>
          </w:tcPr>
          <w:p>
            <w:pPr>
              <w:spacing w:after="0" w:line="167" w:lineRule="exact"/>
              <w:rPr>
                <w:sz w:val="20"/>
                <w:szCs w:val="20"/>
                <w:color w:val="auto"/>
              </w:rPr>
            </w:pPr>
            <w:r>
              <w:rPr>
                <w:rFonts w:ascii="Arial" w:cs="Arial" w:eastAsia="Arial" w:hAnsi="Arial"/>
                <w:sz w:val="17"/>
                <w:szCs w:val="17"/>
                <w:color w:val="0000EE"/>
              </w:rPr>
              <w:t>Discretionary Voting Authority</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200" w:type="dxa"/>
            <w:vAlign w:val="bottom"/>
            <w:tcBorders>
              <w:top w:val="single" w:sz="8" w:color="0000EE"/>
            </w:tcBorders>
            <w:gridSpan w:val="18"/>
          </w:tcPr>
          <w:p>
            <w:pPr>
              <w:spacing w:after="0" w:line="167" w:lineRule="exact"/>
              <w:rPr>
                <w:sz w:val="20"/>
                <w:szCs w:val="20"/>
                <w:color w:val="auto"/>
              </w:rPr>
            </w:pPr>
            <w:r>
              <w:rPr>
                <w:rFonts w:ascii="Arial" w:cs="Arial" w:eastAsia="Arial" w:hAnsi="Arial"/>
                <w:sz w:val="17"/>
                <w:szCs w:val="17"/>
                <w:color w:val="0000EE"/>
              </w:rPr>
              <w:t>Quorum</w:t>
            </w:r>
          </w:p>
        </w:tc>
        <w:tc>
          <w:tcPr>
            <w:tcW w:w="1280" w:type="dxa"/>
            <w:vAlign w:val="bottom"/>
            <w:gridSpan w:val="13"/>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600" w:type="dxa"/>
            <w:vAlign w:val="bottom"/>
            <w:tcBorders>
              <w:top w:val="single" w:sz="8" w:color="0000EE"/>
            </w:tcBorders>
            <w:gridSpan w:val="2"/>
          </w:tcPr>
          <w:p>
            <w:pPr>
              <w:spacing w:after="0" w:line="167" w:lineRule="exact"/>
              <w:rPr>
                <w:sz w:val="20"/>
                <w:szCs w:val="20"/>
                <w:color w:val="auto"/>
              </w:rPr>
            </w:pPr>
            <w:r>
              <w:rPr>
                <w:rFonts w:ascii="Arial" w:cs="Arial" w:eastAsia="Arial" w:hAnsi="Arial"/>
                <w:sz w:val="17"/>
                <w:szCs w:val="17"/>
                <w:color w:val="0000EE"/>
              </w:rPr>
              <w:t>Votes</w:t>
            </w:r>
          </w:p>
        </w:tc>
        <w:tc>
          <w:tcPr>
            <w:tcW w:w="2880" w:type="dxa"/>
            <w:vAlign w:val="bottom"/>
            <w:gridSpan w:val="29"/>
          </w:tcPr>
          <w:p>
            <w:pPr>
              <w:spacing w:after="0" w:line="167" w:lineRule="exact"/>
              <w:rPr>
                <w:sz w:val="20"/>
                <w:szCs w:val="20"/>
                <w:color w:val="auto"/>
              </w:rPr>
            </w:pPr>
            <w:r>
              <w:rPr>
                <w:rFonts w:ascii="Arial" w:cs="Arial" w:eastAsia="Arial" w:hAnsi="Arial"/>
                <w:sz w:val="17"/>
                <w:szCs w:val="17"/>
                <w:color w:val="0000EE"/>
              </w:rPr>
              <w:t>Required for Each Item</w:t>
            </w: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10"/>
          </w:tcPr>
          <w:p>
            <w:pPr>
              <w:spacing w:after="0" w:line="167" w:lineRule="exact"/>
              <w:rPr>
                <w:sz w:val="20"/>
                <w:szCs w:val="20"/>
                <w:color w:val="auto"/>
              </w:rPr>
            </w:pPr>
            <w:r>
              <w:rPr>
                <w:rFonts w:ascii="Arial" w:cs="Arial" w:eastAsia="Arial" w:hAnsi="Arial"/>
                <w:sz w:val="17"/>
                <w:szCs w:val="17"/>
                <w:color w:val="0000EE"/>
                <w:w w:val="97"/>
              </w:rPr>
              <w:t>Inspectors of Election</w:t>
            </w:r>
          </w:p>
        </w:tc>
        <w:tc>
          <w:tcPr>
            <w:tcW w:w="580" w:type="dxa"/>
            <w:vAlign w:val="bottom"/>
            <w:tcBorders>
              <w:top w:val="single" w:sz="8" w:color="0000EE"/>
            </w:tcBorders>
            <w:gridSpan w:val="7"/>
          </w:tcPr>
          <w:p>
            <w:pPr>
              <w:spacing w:after="0"/>
              <w:rPr>
                <w:sz w:val="14"/>
                <w:szCs w:val="14"/>
                <w:color w:val="auto"/>
              </w:rPr>
            </w:pPr>
          </w:p>
        </w:tc>
        <w:tc>
          <w:tcPr>
            <w:tcW w:w="1300" w:type="dxa"/>
            <w:vAlign w:val="bottom"/>
            <w:gridSpan w:val="14"/>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480" w:type="dxa"/>
            <w:vAlign w:val="bottom"/>
            <w:gridSpan w:val="31"/>
          </w:tcPr>
          <w:p>
            <w:pPr>
              <w:spacing w:after="0" w:line="167" w:lineRule="exact"/>
              <w:rPr>
                <w:sz w:val="20"/>
                <w:szCs w:val="20"/>
                <w:color w:val="auto"/>
              </w:rPr>
            </w:pPr>
            <w:r>
              <w:rPr>
                <w:rFonts w:ascii="Arial" w:cs="Arial" w:eastAsia="Arial" w:hAnsi="Arial"/>
                <w:sz w:val="17"/>
                <w:szCs w:val="17"/>
                <w:color w:val="0000EE"/>
              </w:rPr>
              <w:t>Cost of Soliciting Proxies</w:t>
            </w: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560" w:type="dxa"/>
            <w:vAlign w:val="bottom"/>
            <w:tcBorders>
              <w:top w:val="single" w:sz="8" w:color="0000EE"/>
              <w:bottom w:val="single" w:sz="8" w:color="0000EE"/>
            </w:tcBorders>
            <w:gridSpan w:val="9"/>
          </w:tcPr>
          <w:p>
            <w:pPr>
              <w:spacing w:after="0" w:line="167" w:lineRule="exact"/>
              <w:rPr>
                <w:sz w:val="20"/>
                <w:szCs w:val="20"/>
                <w:color w:val="auto"/>
              </w:rPr>
            </w:pPr>
            <w:r>
              <w:rPr>
                <w:rFonts w:ascii="Arial" w:cs="Arial" w:eastAsia="Arial" w:hAnsi="Arial"/>
                <w:sz w:val="17"/>
                <w:szCs w:val="17"/>
                <w:color w:val="0000EE"/>
                <w:w w:val="96"/>
              </w:rPr>
              <w:t>AbbVie Savings Plan</w:t>
            </w:r>
          </w:p>
        </w:tc>
        <w:tc>
          <w:tcPr>
            <w:tcW w:w="280" w:type="dxa"/>
            <w:vAlign w:val="bottom"/>
            <w:tcBorders>
              <w:top w:val="single" w:sz="8" w:color="0000EE"/>
            </w:tcBorders>
            <w:gridSpan w:val="4"/>
          </w:tcPr>
          <w:p>
            <w:pPr>
              <w:spacing w:after="0"/>
              <w:rPr>
                <w:sz w:val="14"/>
                <w:szCs w:val="14"/>
                <w:color w:val="auto"/>
              </w:rPr>
            </w:pPr>
          </w:p>
        </w:tc>
        <w:tc>
          <w:tcPr>
            <w:tcW w:w="1640" w:type="dxa"/>
            <w:vAlign w:val="bottom"/>
            <w:gridSpan w:val="18"/>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bl>
    <w:p>
      <w:pPr>
        <w:sectPr>
          <w:pgSz w:w="11900" w:h="16838" w:orient="portrait"/>
          <w:cols w:equalWidth="0" w:num="2">
            <w:col w:w="4300" w:space="660"/>
            <w:col w:w="4300"/>
          </w:cols>
          <w:pgMar w:left="1320" w:top="486" w:right="131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30"/>
          <w:szCs w:val="30"/>
          <w:color w:val="auto"/>
        </w:rPr>
        <w:t>About the Meeting</w:t>
      </w:r>
    </w:p>
    <w:p>
      <w:pPr>
        <w:spacing w:after="0" w:line="203" w:lineRule="exact"/>
        <w:rPr>
          <w:sz w:val="20"/>
          <w:szCs w:val="20"/>
          <w:color w:val="auto"/>
        </w:rPr>
      </w:pPr>
    </w:p>
    <w:p>
      <w:pPr>
        <w:ind w:left="20"/>
        <w:spacing w:after="0" w:line="234" w:lineRule="auto"/>
        <w:rPr>
          <w:sz w:val="20"/>
          <w:szCs w:val="20"/>
          <w:color w:val="auto"/>
        </w:rPr>
      </w:pPr>
      <w:r>
        <w:rPr>
          <w:rFonts w:ascii="Arial" w:cs="Arial" w:eastAsia="Arial" w:hAnsi="Arial"/>
          <w:sz w:val="17"/>
          <w:szCs w:val="17"/>
          <w:color w:val="auto"/>
        </w:rPr>
        <w:t>This proxy statement and the accompanying proxy are being made available to stockholders on or about March 18, 2024. The accompanying proxy is solicited on behalf of the Board of Directors for use at the Annual Meeting of Stockholders. This summary highlights selected information in the proxy statement. Please review the entire proxy statement and the AbbVie 2023 Annual Report before voting. The voting items expected to be proposed at the meeting are listed below along with the board’s voting recommendations.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680"/>
        <w:spacing w:after="0"/>
        <w:rPr>
          <w:sz w:val="20"/>
          <w:szCs w:val="20"/>
          <w:color w:val="auto"/>
        </w:rPr>
      </w:pPr>
      <w:r>
        <w:rPr>
          <w:rFonts w:ascii="Arial" w:cs="Arial" w:eastAsia="Arial" w:hAnsi="Arial"/>
          <w:sz w:val="17"/>
          <w:szCs w:val="17"/>
          <w:b w:val="1"/>
          <w:bCs w:val="1"/>
          <w:color w:val="auto"/>
        </w:rPr>
        <w:t>2024 Annual Meeting of Stockholders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-231775</wp:posOffset>
            </wp:positionV>
            <wp:extent cx="3336925" cy="1040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36925" cy="104076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Date and Time: </w:t>
      </w:r>
      <w:r>
        <w:rPr>
          <w:rFonts w:ascii="Arial" w:cs="Arial" w:eastAsia="Arial" w:hAnsi="Arial"/>
          <w:sz w:val="15"/>
          <w:szCs w:val="15"/>
          <w:color w:val="auto"/>
        </w:rPr>
        <w:t>Friday, May 3, 2024 at 9:00 a.m. CT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Place: </w:t>
      </w:r>
      <w:r>
        <w:rPr>
          <w:rFonts w:ascii="Arial" w:cs="Arial" w:eastAsia="Arial" w:hAnsi="Arial"/>
          <w:sz w:val="15"/>
          <w:szCs w:val="15"/>
          <w:color w:val="auto"/>
        </w:rPr>
        <w:t>Via live webcast online at</w:t>
      </w:r>
    </w:p>
    <w:p>
      <w:pPr>
        <w:spacing w:after="0" w:line="17" w:lineRule="exact"/>
        <w:rPr>
          <w:sz w:val="20"/>
          <w:szCs w:val="20"/>
          <w:color w:val="auto"/>
        </w:rPr>
      </w:pPr>
    </w:p>
    <w:p>
      <w:pPr>
        <w:ind w:right="2000"/>
        <w:spacing w:after="0" w:line="419" w:lineRule="auto"/>
        <w:rPr>
          <w:sz w:val="20"/>
          <w:szCs w:val="20"/>
          <w:color w:val="auto"/>
        </w:rPr>
      </w:pPr>
      <w:r>
        <w:rPr>
          <w:rFonts w:ascii="Arial" w:cs="Arial" w:eastAsia="Arial" w:hAnsi="Arial"/>
          <w:sz w:val="14"/>
          <w:szCs w:val="14"/>
          <w:color w:val="auto"/>
        </w:rPr>
        <w:t xml:space="preserve">www.virtualshareholdermeeting.com/ABBV2024 </w:t>
      </w:r>
      <w:r>
        <w:rPr>
          <w:rFonts w:ascii="Arial" w:cs="Arial" w:eastAsia="Arial" w:hAnsi="Arial"/>
          <w:sz w:val="14"/>
          <w:szCs w:val="14"/>
          <w:b w:val="1"/>
          <w:bCs w:val="1"/>
          <w:color w:val="auto"/>
        </w:rPr>
        <w:t xml:space="preserve">Record Date: </w:t>
      </w:r>
      <w:r>
        <w:rPr>
          <w:rFonts w:ascii="Arial" w:cs="Arial" w:eastAsia="Arial" w:hAnsi="Arial"/>
          <w:sz w:val="14"/>
          <w:szCs w:val="14"/>
          <w:color w:val="auto"/>
        </w:rPr>
        <w:t>March 4, 2024</w:t>
      </w:r>
    </w:p>
    <w:p>
      <w:pPr>
        <w:spacing w:after="0" w:line="565" w:lineRule="exact"/>
        <w:rPr>
          <w:sz w:val="20"/>
          <w:szCs w:val="20"/>
          <w:color w:val="auto"/>
        </w:rPr>
      </w:pPr>
    </w:p>
    <w:p>
      <w:pPr>
        <w:sectPr>
          <w:pgSz w:w="11900" w:h="16838" w:orient="portrait"/>
          <w:cols w:equalWidth="0" w:num="2">
            <w:col w:w="3820" w:space="280"/>
            <w:col w:w="5180"/>
          </w:cols>
          <w:pgMar w:left="1300" w:top="486" w:right="131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3280" w:type="dxa"/>
            <w:vAlign w:val="bottom"/>
            <w:tcBorders>
              <w:bottom w:val="single" w:sz="8" w:color="071D49"/>
            </w:tcBorders>
            <w:gridSpan w:val="2"/>
          </w:tcPr>
          <w:p>
            <w:pPr>
              <w:spacing w:after="0"/>
              <w:rPr>
                <w:sz w:val="20"/>
                <w:szCs w:val="20"/>
                <w:color w:val="auto"/>
              </w:rPr>
            </w:pPr>
            <w:r>
              <w:rPr>
                <w:rFonts w:ascii="Arial" w:cs="Arial" w:eastAsia="Arial" w:hAnsi="Arial"/>
                <w:sz w:val="18"/>
                <w:szCs w:val="18"/>
                <w:b w:val="1"/>
                <w:bCs w:val="1"/>
                <w:color w:val="071D49"/>
              </w:rPr>
              <w:t>Proposal 1: Election of Directors</w:t>
            </w:r>
          </w:p>
        </w:tc>
        <w:tc>
          <w:tcPr>
            <w:tcW w:w="4660" w:type="dxa"/>
            <w:vAlign w:val="bottom"/>
            <w:tcBorders>
              <w:bottom w:val="single" w:sz="8" w:color="071D49"/>
            </w:tcBorders>
          </w:tcPr>
          <w:p>
            <w:pPr>
              <w:spacing w:after="0"/>
              <w:rPr>
                <w:sz w:val="19"/>
                <w:szCs w:val="19"/>
                <w:color w:val="auto"/>
              </w:rPr>
            </w:pPr>
          </w:p>
        </w:tc>
        <w:tc>
          <w:tcPr>
            <w:tcW w:w="1220" w:type="dxa"/>
            <w:vAlign w:val="bottom"/>
            <w:vMerge w:val="restart"/>
          </w:tcPr>
          <w:p>
            <w:pPr>
              <w:jc w:val="center"/>
              <w:spacing w:after="0"/>
              <w:rPr>
                <w:sz w:val="20"/>
                <w:szCs w:val="20"/>
                <w:color w:val="auto"/>
              </w:rPr>
            </w:pPr>
            <w:r>
              <w:rPr>
                <w:rFonts w:ascii="Arial" w:cs="Arial" w:eastAsia="Arial" w:hAnsi="Arial"/>
                <w:sz w:val="20"/>
                <w:szCs w:val="20"/>
                <w:b w:val="1"/>
                <w:bCs w:val="1"/>
                <w:color w:val="071D49"/>
                <w:w w:val="99"/>
              </w:rPr>
              <w:t>FOR</w:t>
            </w:r>
          </w:p>
        </w:tc>
        <w:tc>
          <w:tcPr>
            <w:tcW w:w="0" w:type="dxa"/>
            <w:vAlign w:val="bottom"/>
          </w:tcPr>
          <w:p>
            <w:pPr>
              <w:spacing w:after="0"/>
              <w:rPr>
                <w:sz w:val="1"/>
                <w:szCs w:val="1"/>
                <w:color w:val="auto"/>
              </w:rPr>
            </w:pPr>
          </w:p>
        </w:tc>
      </w:tr>
      <w:tr>
        <w:trPr>
          <w:trHeight w:val="138"/>
        </w:trPr>
        <w:tc>
          <w:tcPr>
            <w:tcW w:w="1580" w:type="dxa"/>
            <w:vAlign w:val="bottom"/>
          </w:tcPr>
          <w:p>
            <w:pPr>
              <w:ind w:left="120"/>
              <w:spacing w:after="0" w:line="138" w:lineRule="exact"/>
              <w:rPr>
                <w:sz w:val="20"/>
                <w:szCs w:val="20"/>
                <w:color w:val="auto"/>
              </w:rPr>
            </w:pPr>
            <w:r>
              <w:rPr>
                <w:rFonts w:ascii="Arial" w:cs="Arial" w:eastAsia="Arial" w:hAnsi="Arial"/>
                <w:sz w:val="15"/>
                <w:szCs w:val="15"/>
                <w:color w:val="071D49"/>
              </w:rPr>
              <w:t>Roxanne S. Austin</w:t>
            </w:r>
          </w:p>
        </w:tc>
        <w:tc>
          <w:tcPr>
            <w:tcW w:w="1700" w:type="dxa"/>
            <w:vAlign w:val="bottom"/>
          </w:tcPr>
          <w:p>
            <w:pPr>
              <w:ind w:left="140"/>
              <w:spacing w:after="0" w:line="138" w:lineRule="exact"/>
              <w:rPr>
                <w:sz w:val="20"/>
                <w:szCs w:val="20"/>
                <w:color w:val="auto"/>
              </w:rPr>
            </w:pPr>
            <w:r>
              <w:rPr>
                <w:rFonts w:ascii="Arial" w:cs="Arial" w:eastAsia="Arial" w:hAnsi="Arial"/>
                <w:sz w:val="15"/>
                <w:szCs w:val="15"/>
                <w:color w:val="071D49"/>
              </w:rPr>
              <w:t>Richard A. Gonzalez</w:t>
            </w:r>
          </w:p>
        </w:tc>
        <w:tc>
          <w:tcPr>
            <w:tcW w:w="4660" w:type="dxa"/>
            <w:vAlign w:val="bottom"/>
          </w:tcPr>
          <w:p>
            <w:pPr>
              <w:ind w:left="160"/>
              <w:spacing w:after="0" w:line="138" w:lineRule="exact"/>
              <w:rPr>
                <w:sz w:val="20"/>
                <w:szCs w:val="20"/>
                <w:color w:val="auto"/>
              </w:rPr>
            </w:pPr>
            <w:r>
              <w:rPr>
                <w:rFonts w:ascii="Arial" w:cs="Arial" w:eastAsia="Arial" w:hAnsi="Arial"/>
                <w:sz w:val="15"/>
                <w:szCs w:val="15"/>
                <w:color w:val="071D49"/>
              </w:rPr>
              <w:t>Susan E. Quaggin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120"/>
              <w:spacing w:after="0"/>
              <w:rPr>
                <w:sz w:val="20"/>
                <w:szCs w:val="20"/>
                <w:color w:val="auto"/>
              </w:rPr>
            </w:pPr>
            <w:r>
              <w:rPr>
                <w:rFonts w:ascii="Arial" w:cs="Arial" w:eastAsia="Arial" w:hAnsi="Arial"/>
                <w:sz w:val="15"/>
                <w:szCs w:val="15"/>
                <w:color w:val="071D49"/>
              </w:rPr>
              <w:t>Rebecca B. Roberts</w:t>
            </w:r>
          </w:p>
        </w:tc>
        <w:tc>
          <w:tcPr>
            <w:tcW w:w="1700" w:type="dxa"/>
            <w:vAlign w:val="bottom"/>
          </w:tcPr>
          <w:p>
            <w:pPr>
              <w:ind w:left="140"/>
              <w:spacing w:after="0"/>
              <w:rPr>
                <w:sz w:val="20"/>
                <w:szCs w:val="20"/>
                <w:color w:val="auto"/>
              </w:rPr>
            </w:pPr>
            <w:r>
              <w:rPr>
                <w:rFonts w:ascii="Arial" w:cs="Arial" w:eastAsia="Arial" w:hAnsi="Arial"/>
                <w:sz w:val="15"/>
                <w:szCs w:val="15"/>
                <w:color w:val="071D49"/>
              </w:rPr>
              <w:t>Glenn F. Tilton</w:t>
            </w:r>
          </w:p>
        </w:tc>
        <w:tc>
          <w:tcPr>
            <w:tcW w:w="46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071D49"/>
                <w:w w:val="97"/>
              </w:rPr>
              <w:t>Each Nominee</w:t>
            </w: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900" w:h="16838" w:orient="portrait"/>
          <w:cols w:equalWidth="0" w:num="1">
            <w:col w:w="9280"/>
          </w:cols>
          <w:pgMar w:left="1300" w:top="486" w:right="1319" w:bottom="1440" w:gutter="0" w:footer="0" w:header="0"/>
          <w:type w:val="continuous"/>
        </w:sectPr>
      </w:pPr>
    </w:p>
    <w:p>
      <w:pPr>
        <w:ind w:left="140"/>
        <w:spacing w:after="0" w:line="244" w:lineRule="auto"/>
        <w:rPr>
          <w:sz w:val="20"/>
          <w:szCs w:val="20"/>
          <w:color w:val="auto"/>
        </w:rPr>
      </w:pPr>
      <w:r>
        <w:rPr>
          <w:rFonts w:ascii="Arial" w:cs="Arial" w:eastAsia="Arial" w:hAnsi="Arial"/>
          <w:sz w:val="17"/>
          <w:szCs w:val="17"/>
          <w:i w:val="1"/>
          <w:iCs w:val="1"/>
          <w:color w:val="auto"/>
        </w:rPr>
        <w:t>Each of the nominees has the skills and experience necessary to fulfill their oversight role with respect to AbbVie’s business and culture. See pages 14-20 for more information about the qualifications of our directors.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1D49"/>
        </w:rPr>
        <w:t>Proposal 2: Ratification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503682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19" w:lineRule="exact"/>
        <w:rPr>
          <w:sz w:val="20"/>
          <w:szCs w:val="20"/>
          <w:color w:val="auto"/>
        </w:rPr>
      </w:pPr>
    </w:p>
    <w:p>
      <w:pPr>
        <w:ind w:left="140" w:right="100"/>
        <w:spacing w:after="0" w:line="237" w:lineRule="auto"/>
        <w:rPr>
          <w:sz w:val="20"/>
          <w:szCs w:val="20"/>
          <w:color w:val="auto"/>
        </w:rPr>
      </w:pPr>
      <w:r>
        <w:rPr>
          <w:rFonts w:ascii="Arial" w:cs="Arial" w:eastAsia="Arial" w:hAnsi="Arial"/>
          <w:sz w:val="17"/>
          <w:szCs w:val="17"/>
          <w:i w:val="1"/>
          <w:iCs w:val="1"/>
          <w:color w:val="auto"/>
        </w:rPr>
        <w:t>Ernst &amp; Young LLP has served as our independent auditor since 2013. The board and the audit committee believe it is in the best interests of the company and its stockholders to retain Ernst &amp; Young LLP as the company’s independent auditor. See page 73 for more information.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1D49"/>
        </w:rPr>
        <w:t>Proposal 3: Say on Pay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503682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19" w:lineRule="exact"/>
        <w:rPr>
          <w:sz w:val="20"/>
          <w:szCs w:val="20"/>
          <w:color w:val="auto"/>
        </w:rPr>
      </w:pPr>
    </w:p>
    <w:p>
      <w:pPr>
        <w:ind w:left="140" w:right="80"/>
        <w:spacing w:after="0" w:line="237" w:lineRule="auto"/>
        <w:rPr>
          <w:sz w:val="20"/>
          <w:szCs w:val="20"/>
          <w:color w:val="auto"/>
        </w:rPr>
      </w:pPr>
      <w:r>
        <w:rPr>
          <w:rFonts w:ascii="Arial" w:cs="Arial" w:eastAsia="Arial" w:hAnsi="Arial"/>
          <w:sz w:val="17"/>
          <w:szCs w:val="17"/>
          <w:i w:val="1"/>
          <w:iCs w:val="1"/>
          <w:color w:val="auto"/>
        </w:rPr>
        <w:t>AbbVie’s compensation program aligns executive interests with the drivers of long-term, sustainable growth. Our program balances short- and long-term strategic objectives and directly links compensation to stockholder value. See pages 33-72 for more information.</w:t>
      </w:r>
    </w:p>
    <w:p>
      <w:pPr>
        <w:spacing w:after="0" w:line="63" w:lineRule="exact"/>
        <w:rPr>
          <w:sz w:val="20"/>
          <w:szCs w:val="20"/>
          <w:color w:val="auto"/>
        </w:rPr>
      </w:pPr>
    </w:p>
    <w:p>
      <w:pPr>
        <w:ind w:left="20" w:right="220"/>
        <w:spacing w:after="0" w:line="258" w:lineRule="auto"/>
        <w:rPr>
          <w:sz w:val="20"/>
          <w:szCs w:val="20"/>
          <w:color w:val="auto"/>
        </w:rPr>
      </w:pPr>
      <w:r>
        <w:rPr>
          <w:rFonts w:ascii="Arial" w:cs="Arial" w:eastAsia="Arial" w:hAnsi="Arial"/>
          <w:sz w:val="18"/>
          <w:szCs w:val="18"/>
          <w:b w:val="1"/>
          <w:bCs w:val="1"/>
          <w:color w:val="071D49"/>
        </w:rPr>
        <w:t>Proposal 4: Say When on Pay – Advisory Vote on the Frequency of Future Approvals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-13970</wp:posOffset>
            </wp:positionV>
            <wp:extent cx="503682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ind w:left="140" w:right="160"/>
        <w:spacing w:after="0" w:line="242" w:lineRule="auto"/>
        <w:rPr>
          <w:sz w:val="20"/>
          <w:szCs w:val="20"/>
          <w:color w:val="auto"/>
        </w:rPr>
      </w:pPr>
      <w:r>
        <w:rPr>
          <w:rFonts w:ascii="Arial" w:cs="Arial" w:eastAsia="Arial" w:hAnsi="Arial"/>
          <w:sz w:val="17"/>
          <w:szCs w:val="17"/>
          <w:i w:val="1"/>
          <w:iCs w:val="1"/>
          <w:color w:val="auto"/>
        </w:rPr>
        <w:t>The board recommends that future advisory approvals of named executive officer compensation occur every year. See page 77 for more information.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71D49"/>
        </w:rPr>
        <w:t>Proposal 5: 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wp:posOffset>
            </wp:positionV>
            <wp:extent cx="503682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19" w:lineRule="exact"/>
        <w:rPr>
          <w:sz w:val="20"/>
          <w:szCs w:val="20"/>
          <w:color w:val="auto"/>
        </w:rPr>
      </w:pPr>
    </w:p>
    <w:p>
      <w:pPr>
        <w:ind w:left="200"/>
        <w:spacing w:after="0" w:line="242" w:lineRule="auto"/>
        <w:rPr>
          <w:sz w:val="20"/>
          <w:szCs w:val="20"/>
          <w:color w:val="auto"/>
        </w:rPr>
      </w:pPr>
      <w:r>
        <w:rPr>
          <w:rFonts w:ascii="Arial" w:cs="Arial" w:eastAsia="Arial" w:hAnsi="Arial"/>
          <w:sz w:val="17"/>
          <w:szCs w:val="17"/>
          <w:i w:val="1"/>
          <w:iCs w:val="1"/>
          <w:color w:val="auto"/>
        </w:rPr>
        <w:t>AbbVie is again seeking stockholder approval to eliminate supermajority voting thresholds in our charter and by-laws. See pages 78-79 for more information.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808080"/>
        </w:rPr>
        <w:t>Stockholder Proposals</w:t>
      </w:r>
    </w:p>
    <w:p>
      <w:pPr>
        <w:spacing w:after="0" w:line="3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7"/>
          <w:szCs w:val="17"/>
          <w:b w:val="1"/>
          <w:bCs w:val="1"/>
          <w:color w:val="808080"/>
        </w:rPr>
        <w:t>Proposal 6:</w:t>
      </w:r>
      <w:r>
        <w:rPr>
          <w:sz w:val="20"/>
          <w:szCs w:val="20"/>
          <w:color w:val="auto"/>
        </w:rPr>
        <w:tab/>
      </w:r>
      <w:r>
        <w:rPr>
          <w:rFonts w:ascii="Arial" w:cs="Arial" w:eastAsia="Arial" w:hAnsi="Arial"/>
          <w:sz w:val="16"/>
          <w:szCs w:val="16"/>
          <w:b w:val="1"/>
          <w:bCs w:val="1"/>
          <w:color w:val="808080"/>
        </w:rPr>
        <w:t>Stockholder Proposal on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503682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20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7"/>
          <w:szCs w:val="17"/>
          <w:b w:val="1"/>
          <w:bCs w:val="1"/>
          <w:color w:val="808080"/>
        </w:rPr>
        <w:t>Proposal 7:</w:t>
      </w:r>
      <w:r>
        <w:rPr>
          <w:sz w:val="20"/>
          <w:szCs w:val="20"/>
          <w:color w:val="auto"/>
        </w:rPr>
        <w:tab/>
      </w:r>
      <w:r>
        <w:rPr>
          <w:rFonts w:ascii="Arial" w:cs="Arial" w:eastAsia="Arial" w:hAnsi="Arial"/>
          <w:sz w:val="16"/>
          <w:szCs w:val="16"/>
          <w:b w:val="1"/>
          <w:bCs w:val="1"/>
          <w:color w:val="808080"/>
        </w:rPr>
        <w:t>Stockholder Proposal on Lobbying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503682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7"/>
          <w:szCs w:val="17"/>
          <w:b w:val="1"/>
          <w:bCs w:val="1"/>
          <w:color w:val="808080"/>
        </w:rPr>
        <w:t>Proposal 8:</w:t>
      </w:r>
      <w:r>
        <w:rPr>
          <w:sz w:val="20"/>
          <w:szCs w:val="20"/>
          <w:color w:val="auto"/>
        </w:rPr>
        <w:tab/>
      </w:r>
      <w:r>
        <w:rPr>
          <w:rFonts w:ascii="Arial" w:cs="Arial" w:eastAsia="Arial" w:hAnsi="Arial"/>
          <w:sz w:val="16"/>
          <w:szCs w:val="16"/>
          <w:b w:val="1"/>
          <w:bCs w:val="1"/>
          <w:color w:val="808080"/>
        </w:rPr>
        <w:t>Stockholder Proposal on Patent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503682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3682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-605790</wp:posOffset>
            </wp:positionV>
            <wp:extent cx="294005" cy="238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4005" cy="23812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13335</wp:posOffset>
            </wp:positionV>
            <wp:extent cx="309880" cy="262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988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13335</wp:posOffset>
            </wp:positionV>
            <wp:extent cx="309880" cy="262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988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 xml:space="preserve">1 Year </w:t>
      </w:r>
      <w:r>
        <w:rPr>
          <w:sz w:val="1"/>
          <w:szCs w:val="1"/>
          <w:color w:val="auto"/>
        </w:rPr>
        <w:drawing>
          <wp:inline distT="0" distB="0" distL="0" distR="0">
            <wp:extent cx="127000" cy="1035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0" cy="103505"/>
                    </a:xfrm>
                    <a:prstGeom prst="rect">
                      <a:avLst/>
                    </a:prstGeom>
                    <a:noFill/>
                    <a:ln>
                      <a:noFill/>
                    </a:ln>
                  </pic:spPr>
                </pic:pic>
              </a:graphicData>
            </a:graphic>
          </wp:inline>
        </w:drawing>
      </w:r>
    </w:p>
    <w:p>
      <w:pPr>
        <w:spacing w:after="0" w:line="5" w:lineRule="exact"/>
        <w:rPr>
          <w:sz w:val="20"/>
          <w:szCs w:val="20"/>
          <w:color w:val="auto"/>
        </w:rPr>
      </w:pPr>
    </w:p>
    <w:p>
      <w:pPr>
        <w:ind w:left="160" w:hanging="135"/>
        <w:spacing w:after="0"/>
        <w:tabs>
          <w:tab w:leader="none" w:pos="160" w:val="left"/>
        </w:tabs>
        <w:numPr>
          <w:ilvl w:val="0"/>
          <w:numId w:val="5"/>
        </w:numPr>
        <w:rPr>
          <w:rFonts w:ascii="Arial" w:cs="Arial" w:eastAsia="Arial" w:hAnsi="Arial"/>
          <w:sz w:val="17"/>
          <w:szCs w:val="17"/>
          <w:b w:val="1"/>
          <w:bCs w:val="1"/>
          <w:color w:val="071D49"/>
        </w:rPr>
      </w:pPr>
      <w:r>
        <w:rPr>
          <w:rFonts w:ascii="Arial" w:cs="Arial" w:eastAsia="Arial" w:hAnsi="Arial"/>
          <w:sz w:val="17"/>
          <w:szCs w:val="17"/>
          <w:b w:val="1"/>
          <w:bCs w:val="1"/>
          <w:color w:val="071D49"/>
        </w:rPr>
        <w:t>Year</w:t>
      </w:r>
    </w:p>
    <w:p>
      <w:pPr>
        <w:ind w:left="20"/>
        <w:spacing w:after="0"/>
        <w:rPr>
          <w:rFonts w:ascii="Arial" w:cs="Arial" w:eastAsia="Arial" w:hAnsi="Arial"/>
          <w:sz w:val="17"/>
          <w:szCs w:val="17"/>
          <w:b w:val="1"/>
          <w:bCs w:val="1"/>
          <w:color w:val="071D49"/>
        </w:rPr>
      </w:pPr>
      <w:r>
        <w:rPr>
          <w:rFonts w:ascii="Arial" w:cs="Arial" w:eastAsia="Arial" w:hAnsi="Arial"/>
          <w:sz w:val="17"/>
          <w:szCs w:val="17"/>
          <w:b w:val="1"/>
          <w:bCs w:val="1"/>
          <w:color w:val="071D49"/>
        </w:rPr>
        <w:t>3 Year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71D49"/>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13335</wp:posOffset>
            </wp:positionV>
            <wp:extent cx="309880" cy="262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988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AGAINST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AGAINST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808080"/>
        </w:rPr>
        <w:t>AGAINST</w:t>
      </w:r>
    </w:p>
    <w:p>
      <w:pPr>
        <w:spacing w:after="0" w:line="200" w:lineRule="exact"/>
        <w:rPr>
          <w:sz w:val="20"/>
          <w:szCs w:val="20"/>
          <w:color w:val="auto"/>
        </w:rPr>
      </w:pPr>
    </w:p>
    <w:p>
      <w:pPr>
        <w:sectPr>
          <w:pgSz w:w="11900" w:h="16838" w:orient="portrait"/>
          <w:cols w:equalWidth="0" w:num="2">
            <w:col w:w="7840" w:space="360"/>
            <w:col w:w="1080"/>
          </w:cols>
          <w:pgMar w:left="1300" w:top="486" w:right="131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340" w:type="dxa"/>
            <w:vAlign w:val="bottom"/>
          </w:tcPr>
          <w:p>
            <w:pPr>
              <w:ind w:left="55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071D49"/>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88"/>
        </w:trPr>
        <w:tc>
          <w:tcPr>
            <w:tcW w:w="8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-508000</wp:posOffset>
            </wp:positionV>
            <wp:extent cx="810260" cy="151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PROXY SUMMARY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9"/>
          <w:szCs w:val="29"/>
          <w:color w:val="auto"/>
        </w:rPr>
        <w:t>Who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3500" cy="3312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00" cy="3312795"/>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130810</wp:posOffset>
            </wp:positionV>
            <wp:extent cx="588010" cy="572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01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spacing w:after="0"/>
        <w:rPr>
          <w:sz w:val="20"/>
          <w:szCs w:val="20"/>
          <w:color w:val="auto"/>
        </w:rPr>
      </w:pPr>
      <w:r>
        <w:rPr>
          <w:rFonts w:ascii="Arial" w:cs="Arial" w:eastAsia="Arial" w:hAnsi="Arial"/>
          <w:sz w:val="23"/>
          <w:szCs w:val="23"/>
          <w:b w:val="1"/>
          <w:bCs w:val="1"/>
          <w:color w:val="auto"/>
        </w:rPr>
        <w:t>~ 50,000</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employees</w:t>
      </w:r>
    </w:p>
    <w:p>
      <w:pPr>
        <w:ind w:left="700"/>
        <w:spacing w:after="0"/>
        <w:rPr>
          <w:sz w:val="20"/>
          <w:szCs w:val="20"/>
          <w:color w:val="auto"/>
        </w:rPr>
      </w:pPr>
      <w:r>
        <w:rPr>
          <w:rFonts w:ascii="Arial" w:cs="Arial" w:eastAsia="Arial" w:hAnsi="Arial"/>
          <w:sz w:val="17"/>
          <w:szCs w:val="17"/>
          <w:color w:val="auto"/>
        </w:rPr>
        <w:t>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114935</wp:posOffset>
            </wp:positionV>
            <wp:extent cx="100076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0760" cy="15875"/>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249555</wp:posOffset>
            </wp:positionV>
            <wp:extent cx="611505" cy="603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505" cy="60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Launched in</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3"/>
          <w:szCs w:val="2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109220</wp:posOffset>
            </wp:positionV>
            <wp:extent cx="100076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0760" cy="1587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228600</wp:posOffset>
            </wp:positionV>
            <wp:extent cx="730885" cy="540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8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20"/>
        <w:spacing w:after="0"/>
        <w:rPr>
          <w:sz w:val="20"/>
          <w:szCs w:val="20"/>
          <w:color w:val="auto"/>
        </w:rPr>
      </w:pPr>
      <w:r>
        <w:rPr>
          <w:rFonts w:ascii="Arial" w:cs="Arial" w:eastAsia="Arial" w:hAnsi="Arial"/>
          <w:sz w:val="23"/>
          <w:szCs w:val="23"/>
          <w:b w:val="1"/>
          <w:bCs w:val="1"/>
          <w:color w:val="auto"/>
        </w:rPr>
        <w:t>Millions</w:t>
      </w:r>
    </w:p>
    <w:p>
      <w:pPr>
        <w:spacing w:after="0" w:line="2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of patient lives</w:t>
      </w:r>
    </w:p>
    <w:p>
      <w:pPr>
        <w:jc w:val="center"/>
        <w:ind w:left="420"/>
        <w:spacing w:after="0"/>
        <w:rPr>
          <w:sz w:val="20"/>
          <w:szCs w:val="20"/>
          <w:color w:val="auto"/>
        </w:rPr>
      </w:pPr>
      <w:r>
        <w:rPr>
          <w:rFonts w:ascii="Arial" w:cs="Arial" w:eastAsia="Arial" w:hAnsi="Arial"/>
          <w:sz w:val="17"/>
          <w:szCs w:val="17"/>
          <w:color w:val="auto"/>
        </w:rPr>
        <w:t>touched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23"/>
          <w:szCs w:val="23"/>
          <w:b w:val="1"/>
          <w:bCs w:val="1"/>
          <w:color w:val="071D49"/>
        </w:rPr>
        <w:t>In more than 70 countries, AbbVie employees are working every day to advance health solutions for people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-784860</wp:posOffset>
            </wp:positionV>
            <wp:extent cx="15875" cy="3312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875" cy="3312795"/>
                    </a:xfrm>
                    <a:prstGeom prst="rect">
                      <a:avLst/>
                    </a:prstGeom>
                    <a:noFill/>
                  </pic:spPr>
                </pic:pic>
              </a:graphicData>
            </a:graphic>
          </wp:anchor>
        </w:drawing>
      </w:r>
    </w:p>
    <w:p>
      <w:pPr>
        <w:spacing w:after="0" w:line="390"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AbbVie is a global, diversified research-based biopharmaceutical company positioned for success with a comprehensive product portfolio that has leadership positions across immunology, oncology, aesthetics, neuroscience and eye care. AbbVie uses its expertise, dedicated people and unique approach to innovation to develop and market advanced therapies that address some of the world’s most complex and serious diseases.</w:t>
      </w:r>
    </w:p>
    <w:p>
      <w:pPr>
        <w:spacing w:after="0" w:line="20"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Over the last decade, we have expanded to approximately 50,000 employees who are focused every day on making a remarkable impact. Globally, our employees represent diverse backgrounds and perspectives, and our company values treating everyone equally, with dignity and respect, which we believe allows us to achieve our best.</w:t>
      </w:r>
    </w:p>
    <w:p>
      <w:pPr>
        <w:spacing w:after="0" w:line="3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At AbbVie, we care deeply for patients and customers, their families, our employees, and our communities. We strive to do the right thing, pursuing the highest standards in quality, compliance, safety, and performance. Our products help patients and customers in over 175 countries around the world.</w:t>
      </w:r>
    </w:p>
    <w:p>
      <w:pPr>
        <w:spacing w:after="0" w:line="44"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Our commitment to health does not stop with our medicines. Each day, we work to deliver sustainable solutions that improve the health of our business and the health of humankind.</w:t>
      </w:r>
    </w:p>
    <w:p>
      <w:pPr>
        <w:spacing w:after="0" w:line="687" w:lineRule="exact"/>
        <w:rPr>
          <w:sz w:val="20"/>
          <w:szCs w:val="20"/>
          <w:color w:val="auto"/>
        </w:rPr>
      </w:pPr>
    </w:p>
    <w:p>
      <w:pPr>
        <w:sectPr>
          <w:pgSz w:w="11900" w:h="16838" w:orient="portrait"/>
          <w:cols w:equalWidth="0" w:num="2">
            <w:col w:w="1700" w:space="660"/>
            <w:col w:w="6920"/>
          </w:cols>
          <w:pgMar w:left="1300" w:top="486" w:right="1319" w:bottom="1440" w:gutter="0" w:footer="0" w:header="0"/>
        </w:sect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27"/>
          <w:szCs w:val="27"/>
          <w:color w:val="FFFFFF"/>
        </w:rPr>
        <w:t>AbbVie’s Principles are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5878830" cy="198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8830" cy="198755"/>
                    </a:xfrm>
                    <a:prstGeom prst="rect">
                      <a:avLst/>
                    </a:prstGeom>
                    <a:noFill/>
                  </pic:spPr>
                </pic:pic>
              </a:graphicData>
            </a:graphic>
          </wp:anchor>
        </w:drawing>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120" w:type="dxa"/>
            <w:vAlign w:val="bottom"/>
          </w:tcPr>
          <w:p>
            <w:pPr>
              <w:spacing w:after="0"/>
              <w:rPr>
                <w:sz w:val="2"/>
                <w:szCs w:val="2"/>
                <w:color w:val="auto"/>
              </w:rPr>
            </w:pPr>
          </w:p>
        </w:tc>
        <w:tc>
          <w:tcPr>
            <w:tcW w:w="192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Transforming</w:t>
            </w:r>
          </w:p>
        </w:tc>
        <w:tc>
          <w:tcPr>
            <w:tcW w:w="20" w:type="dxa"/>
            <w:vAlign w:val="bottom"/>
          </w:tcPr>
          <w:p>
            <w:pPr>
              <w:spacing w:after="0"/>
              <w:rPr>
                <w:sz w:val="2"/>
                <w:szCs w:val="2"/>
                <w:color w:val="auto"/>
              </w:rPr>
            </w:pPr>
          </w:p>
        </w:tc>
        <w:tc>
          <w:tcPr>
            <w:tcW w:w="172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Acting with</w:t>
            </w:r>
          </w:p>
        </w:tc>
        <w:tc>
          <w:tcPr>
            <w:tcW w:w="40" w:type="dxa"/>
            <w:vAlign w:val="bottom"/>
          </w:tcPr>
          <w:p>
            <w:pPr>
              <w:spacing w:after="0"/>
              <w:rPr>
                <w:sz w:val="2"/>
                <w:szCs w:val="2"/>
                <w:color w:val="auto"/>
              </w:rPr>
            </w:pPr>
          </w:p>
        </w:tc>
        <w:tc>
          <w:tcPr>
            <w:tcW w:w="172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Driving</w:t>
            </w:r>
          </w:p>
        </w:tc>
        <w:tc>
          <w:tcPr>
            <w:tcW w:w="20" w:type="dxa"/>
            <w:vAlign w:val="bottom"/>
          </w:tcPr>
          <w:p>
            <w:pPr>
              <w:spacing w:after="0"/>
              <w:rPr>
                <w:sz w:val="2"/>
                <w:szCs w:val="2"/>
                <w:color w:val="auto"/>
              </w:rPr>
            </w:pPr>
          </w:p>
        </w:tc>
        <w:tc>
          <w:tcPr>
            <w:tcW w:w="21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Embracing</w:t>
            </w:r>
          </w:p>
        </w:tc>
        <w:tc>
          <w:tcPr>
            <w:tcW w:w="20" w:type="dxa"/>
            <w:vAlign w:val="bottom"/>
          </w:tcPr>
          <w:p>
            <w:pPr>
              <w:spacing w:after="0"/>
              <w:rPr>
                <w:sz w:val="2"/>
                <w:szCs w:val="2"/>
                <w:color w:val="auto"/>
              </w:rPr>
            </w:pPr>
          </w:p>
        </w:tc>
        <w:tc>
          <w:tcPr>
            <w:tcW w:w="160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Serving the</w:t>
            </w:r>
          </w:p>
        </w:tc>
        <w:tc>
          <w:tcPr>
            <w:tcW w:w="0" w:type="dxa"/>
            <w:vAlign w:val="bottom"/>
          </w:tcPr>
          <w:p>
            <w:pPr>
              <w:spacing w:after="0" w:line="20" w:lineRule="exact"/>
              <w:rPr>
                <w:sz w:val="1"/>
                <w:szCs w:val="1"/>
                <w:color w:val="auto"/>
              </w:rPr>
            </w:pPr>
          </w:p>
        </w:tc>
      </w:tr>
      <w:tr>
        <w:trPr>
          <w:trHeight w:val="199"/>
        </w:trPr>
        <w:tc>
          <w:tcPr>
            <w:tcW w:w="120" w:type="dxa"/>
            <w:vAlign w:val="bottom"/>
            <w:tcBorders>
              <w:left w:val="single" w:sz="8" w:color="071D49"/>
            </w:tcBorders>
          </w:tcPr>
          <w:p>
            <w:pPr>
              <w:spacing w:after="0"/>
              <w:rPr>
                <w:sz w:val="17"/>
                <w:szCs w:val="17"/>
                <w:color w:val="auto"/>
              </w:rPr>
            </w:pPr>
          </w:p>
        </w:tc>
        <w:tc>
          <w:tcPr>
            <w:tcW w:w="192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720" w:type="dxa"/>
            <w:vAlign w:val="bottom"/>
            <w:vMerge w:val="continue"/>
          </w:tcPr>
          <w:p>
            <w:pPr>
              <w:spacing w:after="0"/>
              <w:rPr>
                <w:sz w:val="17"/>
                <w:szCs w:val="17"/>
                <w:color w:val="auto"/>
              </w:rPr>
            </w:pPr>
          </w:p>
        </w:tc>
        <w:tc>
          <w:tcPr>
            <w:tcW w:w="40" w:type="dxa"/>
            <w:vAlign w:val="bottom"/>
            <w:shd w:val="clear" w:color="auto" w:fill="071D49"/>
          </w:tcPr>
          <w:p>
            <w:pPr>
              <w:spacing w:after="0"/>
              <w:rPr>
                <w:sz w:val="17"/>
                <w:szCs w:val="17"/>
                <w:color w:val="auto"/>
              </w:rPr>
            </w:pPr>
          </w:p>
        </w:tc>
        <w:tc>
          <w:tcPr>
            <w:tcW w:w="172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2100" w:type="dxa"/>
            <w:vAlign w:val="bottom"/>
            <w:vMerge w:val="continue"/>
          </w:tcPr>
          <w:p>
            <w:pPr>
              <w:spacing w:after="0"/>
              <w:rPr>
                <w:sz w:val="17"/>
                <w:szCs w:val="17"/>
                <w:color w:val="auto"/>
              </w:rPr>
            </w:pPr>
          </w:p>
        </w:tc>
        <w:tc>
          <w:tcPr>
            <w:tcW w:w="20" w:type="dxa"/>
            <w:vAlign w:val="bottom"/>
            <w:shd w:val="clear" w:color="auto" w:fill="071D49"/>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0" w:type="dxa"/>
            <w:vAlign w:val="bottom"/>
            <w:tcBorders>
              <w:left w:val="single" w:sz="8" w:color="071D49"/>
            </w:tcBorders>
          </w:tcPr>
          <w:p>
            <w:pPr>
              <w:spacing w:after="0"/>
              <w:rPr>
                <w:sz w:val="19"/>
                <w:szCs w:val="19"/>
                <w:color w:val="auto"/>
              </w:rPr>
            </w:pPr>
          </w:p>
        </w:tc>
        <w:tc>
          <w:tcPr>
            <w:tcW w:w="1920" w:type="dxa"/>
            <w:vAlign w:val="bottom"/>
          </w:tcPr>
          <w:p>
            <w:pPr>
              <w:ind w:left="20"/>
              <w:spacing w:after="0" w:line="226" w:lineRule="exact"/>
              <w:rPr>
                <w:sz w:val="20"/>
                <w:szCs w:val="20"/>
                <w:color w:val="auto"/>
              </w:rPr>
            </w:pPr>
            <w:r>
              <w:rPr>
                <w:rFonts w:ascii="Arial" w:cs="Arial" w:eastAsia="Arial" w:hAnsi="Arial"/>
                <w:sz w:val="20"/>
                <w:szCs w:val="20"/>
                <w:b w:val="1"/>
                <w:bCs w:val="1"/>
                <w:color w:val="auto"/>
              </w:rPr>
              <w:t>Lives</w:t>
            </w:r>
          </w:p>
        </w:tc>
        <w:tc>
          <w:tcPr>
            <w:tcW w:w="20" w:type="dxa"/>
            <w:vAlign w:val="bottom"/>
            <w:shd w:val="clear" w:color="auto" w:fill="071D49"/>
          </w:tcPr>
          <w:p>
            <w:pPr>
              <w:spacing w:after="0"/>
              <w:rPr>
                <w:sz w:val="19"/>
                <w:szCs w:val="19"/>
                <w:color w:val="auto"/>
              </w:rPr>
            </w:pPr>
          </w:p>
        </w:tc>
        <w:tc>
          <w:tcPr>
            <w:tcW w:w="1720" w:type="dxa"/>
            <w:vAlign w:val="bottom"/>
          </w:tcPr>
          <w:p>
            <w:pPr>
              <w:ind w:left="120"/>
              <w:spacing w:after="0" w:line="226" w:lineRule="exact"/>
              <w:rPr>
                <w:sz w:val="20"/>
                <w:szCs w:val="20"/>
                <w:color w:val="auto"/>
              </w:rPr>
            </w:pPr>
            <w:r>
              <w:rPr>
                <w:rFonts w:ascii="Arial" w:cs="Arial" w:eastAsia="Arial" w:hAnsi="Arial"/>
                <w:sz w:val="20"/>
                <w:szCs w:val="20"/>
                <w:b w:val="1"/>
                <w:bCs w:val="1"/>
                <w:color w:val="auto"/>
              </w:rPr>
              <w:t>Integrity</w:t>
            </w:r>
          </w:p>
        </w:tc>
        <w:tc>
          <w:tcPr>
            <w:tcW w:w="40" w:type="dxa"/>
            <w:vAlign w:val="bottom"/>
            <w:shd w:val="clear" w:color="auto" w:fill="071D49"/>
          </w:tcPr>
          <w:p>
            <w:pPr>
              <w:spacing w:after="0"/>
              <w:rPr>
                <w:sz w:val="19"/>
                <w:szCs w:val="19"/>
                <w:color w:val="auto"/>
              </w:rPr>
            </w:pPr>
          </w:p>
        </w:tc>
        <w:tc>
          <w:tcPr>
            <w:tcW w:w="1720" w:type="dxa"/>
            <w:vAlign w:val="bottom"/>
          </w:tcPr>
          <w:p>
            <w:pPr>
              <w:ind w:left="100"/>
              <w:spacing w:after="0" w:line="226" w:lineRule="exact"/>
              <w:rPr>
                <w:sz w:val="20"/>
                <w:szCs w:val="20"/>
                <w:color w:val="auto"/>
              </w:rPr>
            </w:pPr>
            <w:r>
              <w:rPr>
                <w:rFonts w:ascii="Arial" w:cs="Arial" w:eastAsia="Arial" w:hAnsi="Arial"/>
                <w:sz w:val="20"/>
                <w:szCs w:val="20"/>
                <w:b w:val="1"/>
                <w:bCs w:val="1"/>
                <w:color w:val="auto"/>
              </w:rPr>
              <w:t>Innovation</w:t>
            </w:r>
          </w:p>
        </w:tc>
        <w:tc>
          <w:tcPr>
            <w:tcW w:w="20" w:type="dxa"/>
            <w:vAlign w:val="bottom"/>
            <w:shd w:val="clear" w:color="auto" w:fill="071D49"/>
          </w:tcPr>
          <w:p>
            <w:pPr>
              <w:spacing w:after="0"/>
              <w:rPr>
                <w:sz w:val="19"/>
                <w:szCs w:val="19"/>
                <w:color w:val="auto"/>
              </w:rPr>
            </w:pPr>
          </w:p>
        </w:tc>
        <w:tc>
          <w:tcPr>
            <w:tcW w:w="2100" w:type="dxa"/>
            <w:vAlign w:val="bottom"/>
          </w:tcPr>
          <w:p>
            <w:pPr>
              <w:ind w:left="120"/>
              <w:spacing w:after="0" w:line="226" w:lineRule="exact"/>
              <w:rPr>
                <w:sz w:val="20"/>
                <w:szCs w:val="20"/>
                <w:color w:val="auto"/>
              </w:rPr>
            </w:pPr>
            <w:r>
              <w:rPr>
                <w:rFonts w:ascii="Arial" w:cs="Arial" w:eastAsia="Arial" w:hAnsi="Arial"/>
                <w:sz w:val="20"/>
                <w:szCs w:val="20"/>
                <w:b w:val="1"/>
                <w:bCs w:val="1"/>
                <w:color w:val="auto"/>
              </w:rPr>
              <w:t>Diversity</w:t>
            </w:r>
          </w:p>
        </w:tc>
        <w:tc>
          <w:tcPr>
            <w:tcW w:w="20" w:type="dxa"/>
            <w:vAlign w:val="bottom"/>
            <w:shd w:val="clear" w:color="auto" w:fill="071D49"/>
          </w:tcPr>
          <w:p>
            <w:pPr>
              <w:spacing w:after="0"/>
              <w:rPr>
                <w:sz w:val="19"/>
                <w:szCs w:val="19"/>
                <w:color w:val="auto"/>
              </w:rPr>
            </w:pPr>
          </w:p>
        </w:tc>
        <w:tc>
          <w:tcPr>
            <w:tcW w:w="1600" w:type="dxa"/>
            <w:vAlign w:val="bottom"/>
          </w:tcPr>
          <w:p>
            <w:pPr>
              <w:ind w:left="120"/>
              <w:spacing w:after="0" w:line="226" w:lineRule="exact"/>
              <w:rPr>
                <w:sz w:val="20"/>
                <w:szCs w:val="20"/>
                <w:color w:val="auto"/>
              </w:rPr>
            </w:pPr>
            <w:r>
              <w:rPr>
                <w:rFonts w:ascii="Arial" w:cs="Arial" w:eastAsia="Arial" w:hAnsi="Arial"/>
                <w:sz w:val="20"/>
                <w:szCs w:val="20"/>
                <w:b w:val="1"/>
                <w:bCs w:val="1"/>
                <w:color w:val="auto"/>
              </w:rPr>
              <w:t>Community</w:t>
            </w:r>
          </w:p>
        </w:tc>
        <w:tc>
          <w:tcPr>
            <w:tcW w:w="0" w:type="dxa"/>
            <w:vAlign w:val="bottom"/>
          </w:tcPr>
          <w:p>
            <w:pPr>
              <w:spacing w:after="0"/>
              <w:rPr>
                <w:sz w:val="1"/>
                <w:szCs w:val="1"/>
                <w:color w:val="auto"/>
              </w:rPr>
            </w:pPr>
          </w:p>
        </w:tc>
      </w:tr>
      <w:tr>
        <w:trPr>
          <w:trHeight w:val="201"/>
        </w:trPr>
        <w:tc>
          <w:tcPr>
            <w:tcW w:w="120" w:type="dxa"/>
            <w:vAlign w:val="bottom"/>
            <w:tcBorders>
              <w:left w:val="single" w:sz="8" w:color="071D49"/>
            </w:tcBorders>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We inspire hope and</w:t>
            </w: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rPr>
                <w:sz w:val="20"/>
                <w:szCs w:val="20"/>
                <w:color w:val="auto"/>
              </w:rPr>
            </w:pPr>
            <w:r>
              <w:rPr>
                <w:rFonts w:ascii="Arial" w:cs="Arial" w:eastAsia="Arial" w:hAnsi="Arial"/>
                <w:sz w:val="17"/>
                <w:szCs w:val="17"/>
                <w:color w:val="auto"/>
              </w:rPr>
              <w:t>We strive to always</w:t>
            </w:r>
          </w:p>
        </w:tc>
        <w:tc>
          <w:tcPr>
            <w:tcW w:w="40" w:type="dxa"/>
            <w:vAlign w:val="bottom"/>
            <w:shd w:val="clear" w:color="auto" w:fill="071D49"/>
          </w:tcPr>
          <w:p>
            <w:pPr>
              <w:spacing w:after="0"/>
              <w:rPr>
                <w:sz w:val="17"/>
                <w:szCs w:val="17"/>
                <w:color w:val="auto"/>
              </w:rPr>
            </w:pPr>
          </w:p>
        </w:tc>
        <w:tc>
          <w:tcPr>
            <w:tcW w:w="1720" w:type="dxa"/>
            <w:vAlign w:val="bottom"/>
          </w:tcPr>
          <w:p>
            <w:pPr>
              <w:ind w:left="100"/>
              <w:spacing w:after="0"/>
              <w:rPr>
                <w:sz w:val="20"/>
                <w:szCs w:val="20"/>
                <w:color w:val="auto"/>
              </w:rPr>
            </w:pPr>
            <w:r>
              <w:rPr>
                <w:rFonts w:ascii="Arial" w:cs="Arial" w:eastAsia="Arial" w:hAnsi="Arial"/>
                <w:sz w:val="17"/>
                <w:szCs w:val="17"/>
                <w:color w:val="auto"/>
              </w:rPr>
              <w:t>We innovate</w:t>
            </w:r>
          </w:p>
        </w:tc>
        <w:tc>
          <w:tcPr>
            <w:tcW w:w="20" w:type="dxa"/>
            <w:vAlign w:val="bottom"/>
            <w:shd w:val="clear" w:color="auto" w:fill="071D49"/>
          </w:tcPr>
          <w:p>
            <w:pPr>
              <w:spacing w:after="0"/>
              <w:rPr>
                <w:sz w:val="17"/>
                <w:szCs w:val="17"/>
                <w:color w:val="auto"/>
              </w:rPr>
            </w:pPr>
          </w:p>
        </w:tc>
        <w:tc>
          <w:tcPr>
            <w:tcW w:w="2100" w:type="dxa"/>
            <w:vAlign w:val="bottom"/>
          </w:tcPr>
          <w:p>
            <w:pPr>
              <w:ind w:left="120"/>
              <w:spacing w:after="0" w:line="201" w:lineRule="exact"/>
              <w:rPr>
                <w:sz w:val="20"/>
                <w:szCs w:val="20"/>
                <w:color w:val="auto"/>
              </w:rPr>
            </w:pPr>
            <w:r>
              <w:rPr>
                <w:rFonts w:ascii="Arial" w:cs="Arial" w:eastAsia="Arial" w:hAnsi="Arial"/>
                <w:sz w:val="20"/>
                <w:szCs w:val="20"/>
                <w:b w:val="1"/>
                <w:bCs w:val="1"/>
                <w:color w:val="auto"/>
              </w:rPr>
              <w:t>&amp; Inclusion</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We are proud to</w:t>
            </w:r>
          </w:p>
        </w:tc>
        <w:tc>
          <w:tcPr>
            <w:tcW w:w="0" w:type="dxa"/>
            <w:vAlign w:val="bottom"/>
          </w:tcPr>
          <w:p>
            <w:pPr>
              <w:spacing w:after="0"/>
              <w:rPr>
                <w:sz w:val="1"/>
                <w:szCs w:val="1"/>
                <w:color w:val="auto"/>
              </w:rPr>
            </w:pPr>
          </w:p>
        </w:tc>
      </w:tr>
      <w:tr>
        <w:trPr>
          <w:trHeight w:val="200"/>
        </w:trPr>
        <w:tc>
          <w:tcPr>
            <w:tcW w:w="120" w:type="dxa"/>
            <w:vAlign w:val="bottom"/>
            <w:tcBorders>
              <w:left w:val="single" w:sz="8" w:color="071D49"/>
            </w:tcBorders>
          </w:tcPr>
          <w:p>
            <w:pPr>
              <w:spacing w:after="0"/>
              <w:rPr>
                <w:sz w:val="17"/>
                <w:szCs w:val="17"/>
                <w:color w:val="auto"/>
              </w:rPr>
            </w:pPr>
          </w:p>
        </w:tc>
        <w:tc>
          <w:tcPr>
            <w:tcW w:w="1920" w:type="dxa"/>
            <w:vAlign w:val="bottom"/>
          </w:tcPr>
          <w:p>
            <w:pPr>
              <w:ind w:left="20"/>
              <w:spacing w:after="0"/>
              <w:rPr>
                <w:sz w:val="20"/>
                <w:szCs w:val="20"/>
                <w:color w:val="auto"/>
              </w:rPr>
            </w:pPr>
            <w:r>
              <w:rPr>
                <w:rFonts w:ascii="Arial" w:cs="Arial" w:eastAsia="Arial" w:hAnsi="Arial"/>
                <w:sz w:val="17"/>
                <w:szCs w:val="17"/>
                <w:color w:val="auto"/>
              </w:rPr>
              <w:t>transform lives every</w:t>
            </w:r>
          </w:p>
        </w:tc>
        <w:tc>
          <w:tcPr>
            <w:tcW w:w="20" w:type="dxa"/>
            <w:vAlign w:val="bottom"/>
            <w:shd w:val="clear" w:color="auto" w:fill="071D49"/>
          </w:tcPr>
          <w:p>
            <w:pPr>
              <w:spacing w:after="0"/>
              <w:rPr>
                <w:sz w:val="17"/>
                <w:szCs w:val="17"/>
                <w:color w:val="auto"/>
              </w:rPr>
            </w:pPr>
          </w:p>
        </w:tc>
        <w:tc>
          <w:tcPr>
            <w:tcW w:w="1720" w:type="dxa"/>
            <w:vAlign w:val="bottom"/>
          </w:tcPr>
          <w:p>
            <w:pPr>
              <w:ind w:left="120"/>
              <w:spacing w:after="0"/>
              <w:rPr>
                <w:sz w:val="20"/>
                <w:szCs w:val="20"/>
                <w:color w:val="auto"/>
              </w:rPr>
            </w:pPr>
            <w:r>
              <w:rPr>
                <w:rFonts w:ascii="Arial" w:cs="Arial" w:eastAsia="Arial" w:hAnsi="Arial"/>
                <w:sz w:val="17"/>
                <w:szCs w:val="17"/>
                <w:color w:val="auto"/>
              </w:rPr>
              <w:t>do the right thing.</w:t>
            </w:r>
          </w:p>
        </w:tc>
        <w:tc>
          <w:tcPr>
            <w:tcW w:w="40" w:type="dxa"/>
            <w:vAlign w:val="bottom"/>
            <w:shd w:val="clear" w:color="auto" w:fill="071D49"/>
          </w:tcPr>
          <w:p>
            <w:pPr>
              <w:spacing w:after="0"/>
              <w:rPr>
                <w:sz w:val="17"/>
                <w:szCs w:val="17"/>
                <w:color w:val="auto"/>
              </w:rPr>
            </w:pPr>
          </w:p>
        </w:tc>
        <w:tc>
          <w:tcPr>
            <w:tcW w:w="1720" w:type="dxa"/>
            <w:vAlign w:val="bottom"/>
          </w:tcPr>
          <w:p>
            <w:pPr>
              <w:ind w:left="100"/>
              <w:spacing w:after="0"/>
              <w:rPr>
                <w:sz w:val="20"/>
                <w:szCs w:val="20"/>
                <w:color w:val="auto"/>
              </w:rPr>
            </w:pPr>
            <w:r>
              <w:rPr>
                <w:rFonts w:ascii="Arial" w:cs="Arial" w:eastAsia="Arial" w:hAnsi="Arial"/>
                <w:sz w:val="17"/>
                <w:szCs w:val="17"/>
                <w:color w:val="auto"/>
              </w:rPr>
              <w:t>relentlessly in</w:t>
            </w:r>
          </w:p>
        </w:tc>
        <w:tc>
          <w:tcPr>
            <w:tcW w:w="20" w:type="dxa"/>
            <w:vAlign w:val="bottom"/>
            <w:shd w:val="clear" w:color="auto" w:fill="071D49"/>
          </w:tcPr>
          <w:p>
            <w:pPr>
              <w:spacing w:after="0"/>
              <w:rPr>
                <w:sz w:val="17"/>
                <w:szCs w:val="17"/>
                <w:color w:val="auto"/>
              </w:rPr>
            </w:pPr>
          </w:p>
        </w:tc>
        <w:tc>
          <w:tcPr>
            <w:tcW w:w="2100" w:type="dxa"/>
            <w:vAlign w:val="bottom"/>
          </w:tcPr>
          <w:p>
            <w:pPr>
              <w:ind w:left="120"/>
              <w:spacing w:after="0"/>
              <w:rPr>
                <w:sz w:val="20"/>
                <w:szCs w:val="20"/>
                <w:color w:val="auto"/>
              </w:rPr>
            </w:pPr>
            <w:r>
              <w:rPr>
                <w:rFonts w:ascii="Arial" w:cs="Arial" w:eastAsia="Arial" w:hAnsi="Arial"/>
                <w:sz w:val="17"/>
                <w:szCs w:val="17"/>
                <w:color w:val="auto"/>
              </w:rPr>
              <w:t>We treat everyone</w:t>
            </w:r>
          </w:p>
        </w:tc>
        <w:tc>
          <w:tcPr>
            <w:tcW w:w="20" w:type="dxa"/>
            <w:vAlign w:val="bottom"/>
            <w:shd w:val="clear" w:color="auto" w:fill="071D49"/>
          </w:tcPr>
          <w:p>
            <w:pPr>
              <w:spacing w:after="0"/>
              <w:rPr>
                <w:sz w:val="17"/>
                <w:szCs w:val="17"/>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serve and support</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day. We make</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With</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everything we do to</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equally, with dignity and</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the community and</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decisions based on our</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uncompromising</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tackle unmet</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respect. Around the</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do our part to</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deep caring and</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integrity at the</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needs. We invest in</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world, our employees</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protect the</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compassion for people,</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heart of everything</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the discovery and</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embrace diverse</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environment. We</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delivering a lasting</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we do, we pursue</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development of</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backgrounds and</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make a remarkable</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impact to our patients,</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the highest</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new medicines and</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perspectives, which</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impact that's felt</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Arial" w:cs="Arial" w:eastAsia="Arial" w:hAnsi="Arial"/>
                <w:sz w:val="17"/>
                <w:szCs w:val="17"/>
                <w:color w:val="auto"/>
              </w:rPr>
              <w:t>their families, our</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8" w:lineRule="exact"/>
              <w:rPr>
                <w:sz w:val="20"/>
                <w:szCs w:val="20"/>
                <w:color w:val="auto"/>
              </w:rPr>
            </w:pPr>
            <w:r>
              <w:rPr>
                <w:rFonts w:ascii="Arial" w:cs="Arial" w:eastAsia="Arial" w:hAnsi="Arial"/>
                <w:sz w:val="17"/>
                <w:szCs w:val="17"/>
                <w:color w:val="auto"/>
              </w:rPr>
              <w:t>standards in quality,</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8" w:lineRule="exact"/>
              <w:rPr>
                <w:sz w:val="20"/>
                <w:szCs w:val="20"/>
                <w:color w:val="auto"/>
              </w:rPr>
            </w:pPr>
            <w:r>
              <w:rPr>
                <w:rFonts w:ascii="Arial" w:cs="Arial" w:eastAsia="Arial" w:hAnsi="Arial"/>
                <w:sz w:val="17"/>
                <w:szCs w:val="17"/>
                <w:color w:val="auto"/>
              </w:rPr>
              <w:t>healthcare</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8" w:lineRule="exact"/>
              <w:rPr>
                <w:sz w:val="20"/>
                <w:szCs w:val="20"/>
                <w:color w:val="auto"/>
              </w:rPr>
            </w:pPr>
            <w:r>
              <w:rPr>
                <w:rFonts w:ascii="Arial" w:cs="Arial" w:eastAsia="Arial" w:hAnsi="Arial"/>
                <w:sz w:val="17"/>
                <w:szCs w:val="17"/>
                <w:color w:val="auto"/>
              </w:rPr>
              <w:t>allows us all to achieve</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8" w:lineRule="exact"/>
              <w:rPr>
                <w:sz w:val="20"/>
                <w:szCs w:val="20"/>
                <w:color w:val="auto"/>
              </w:rPr>
            </w:pPr>
            <w:r>
              <w:rPr>
                <w:rFonts w:ascii="Arial" w:cs="Arial" w:eastAsia="Arial" w:hAnsi="Arial"/>
                <w:sz w:val="17"/>
                <w:szCs w:val="17"/>
                <w:color w:val="auto"/>
              </w:rPr>
              <w:t>within healthcare</w:t>
            </w:r>
          </w:p>
        </w:tc>
        <w:tc>
          <w:tcPr>
            <w:tcW w:w="0" w:type="dxa"/>
            <w:vAlign w:val="bottom"/>
          </w:tcPr>
          <w:p>
            <w:pPr>
              <w:spacing w:after="0"/>
              <w:rPr>
                <w:sz w:val="1"/>
                <w:szCs w:val="1"/>
                <w:color w:val="auto"/>
              </w:rPr>
            </w:pPr>
          </w:p>
        </w:tc>
      </w:tr>
      <w:tr>
        <w:trPr>
          <w:trHeight w:val="187"/>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7" w:lineRule="exact"/>
              <w:rPr>
                <w:sz w:val="20"/>
                <w:szCs w:val="20"/>
                <w:color w:val="auto"/>
              </w:rPr>
            </w:pPr>
            <w:r>
              <w:rPr>
                <w:rFonts w:ascii="Arial" w:cs="Arial" w:eastAsia="Arial" w:hAnsi="Arial"/>
                <w:sz w:val="17"/>
                <w:szCs w:val="17"/>
                <w:color w:val="auto"/>
              </w:rPr>
              <w:t>employees and the</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7" w:lineRule="exact"/>
              <w:rPr>
                <w:sz w:val="20"/>
                <w:szCs w:val="20"/>
                <w:color w:val="auto"/>
              </w:rPr>
            </w:pPr>
            <w:r>
              <w:rPr>
                <w:rFonts w:ascii="Arial" w:cs="Arial" w:eastAsia="Arial" w:hAnsi="Arial"/>
                <w:sz w:val="17"/>
                <w:szCs w:val="17"/>
                <w:color w:val="auto"/>
              </w:rPr>
              <w:t>compliance, safety</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7" w:lineRule="exact"/>
              <w:rPr>
                <w:sz w:val="20"/>
                <w:szCs w:val="20"/>
                <w:color w:val="auto"/>
              </w:rPr>
            </w:pPr>
            <w:r>
              <w:rPr>
                <w:rFonts w:ascii="Arial" w:cs="Arial" w:eastAsia="Arial" w:hAnsi="Arial"/>
                <w:sz w:val="17"/>
                <w:szCs w:val="17"/>
                <w:color w:val="auto"/>
              </w:rPr>
              <w:t>approaches for a</w:t>
            </w:r>
          </w:p>
        </w:tc>
        <w:tc>
          <w:tcPr>
            <w:tcW w:w="20" w:type="dxa"/>
            <w:vAlign w:val="bottom"/>
            <w:shd w:val="clear" w:color="auto" w:fill="071D49"/>
          </w:tcPr>
          <w:p>
            <w:pPr>
              <w:spacing w:after="0"/>
              <w:rPr>
                <w:sz w:val="16"/>
                <w:szCs w:val="16"/>
                <w:color w:val="auto"/>
              </w:rPr>
            </w:pPr>
          </w:p>
        </w:tc>
        <w:tc>
          <w:tcPr>
            <w:tcW w:w="2100" w:type="dxa"/>
            <w:vAlign w:val="bottom"/>
          </w:tcPr>
          <w:p>
            <w:pPr>
              <w:ind w:left="120"/>
              <w:spacing w:after="0" w:line="187" w:lineRule="exact"/>
              <w:rPr>
                <w:sz w:val="20"/>
                <w:szCs w:val="20"/>
                <w:color w:val="auto"/>
              </w:rPr>
            </w:pPr>
            <w:r>
              <w:rPr>
                <w:rFonts w:ascii="Arial" w:cs="Arial" w:eastAsia="Arial" w:hAnsi="Arial"/>
                <w:sz w:val="17"/>
                <w:szCs w:val="17"/>
                <w:color w:val="auto"/>
              </w:rPr>
              <w:t>our best.</w:t>
            </w:r>
          </w:p>
        </w:tc>
        <w:tc>
          <w:tcPr>
            <w:tcW w:w="20" w:type="dxa"/>
            <w:vAlign w:val="bottom"/>
            <w:shd w:val="clear" w:color="auto" w:fill="071D49"/>
          </w:tcPr>
          <w:p>
            <w:pPr>
              <w:spacing w:after="0"/>
              <w:rPr>
                <w:sz w:val="16"/>
                <w:szCs w:val="16"/>
                <w:color w:val="auto"/>
              </w:rPr>
            </w:pPr>
          </w:p>
        </w:tc>
        <w:tc>
          <w:tcPr>
            <w:tcW w:w="1600" w:type="dxa"/>
            <w:vAlign w:val="bottom"/>
          </w:tcPr>
          <w:p>
            <w:pPr>
              <w:ind w:left="120"/>
              <w:spacing w:after="0" w:line="187" w:lineRule="exact"/>
              <w:rPr>
                <w:sz w:val="20"/>
                <w:szCs w:val="20"/>
                <w:color w:val="auto"/>
              </w:rPr>
            </w:pPr>
            <w:r>
              <w:rPr>
                <w:rFonts w:ascii="Arial" w:cs="Arial" w:eastAsia="Arial" w:hAnsi="Arial"/>
                <w:sz w:val="17"/>
                <w:szCs w:val="17"/>
                <w:color w:val="auto"/>
              </w:rPr>
              <w:t>and beyond.</w:t>
            </w:r>
          </w:p>
        </w:tc>
        <w:tc>
          <w:tcPr>
            <w:tcW w:w="0" w:type="dxa"/>
            <w:vAlign w:val="bottom"/>
          </w:tcPr>
          <w:p>
            <w:pPr>
              <w:spacing w:after="0"/>
              <w:rPr>
                <w:sz w:val="1"/>
                <w:szCs w:val="1"/>
                <w:color w:val="auto"/>
              </w:rPr>
            </w:pPr>
          </w:p>
        </w:tc>
      </w:tr>
      <w:tr>
        <w:trPr>
          <w:trHeight w:val="188"/>
        </w:trPr>
        <w:tc>
          <w:tcPr>
            <w:tcW w:w="120" w:type="dxa"/>
            <w:vAlign w:val="bottom"/>
            <w:tcBorders>
              <w:left w:val="single" w:sz="8" w:color="071D49"/>
            </w:tcBorders>
          </w:tcPr>
          <w:p>
            <w:pPr>
              <w:spacing w:after="0"/>
              <w:rPr>
                <w:sz w:val="16"/>
                <w:szCs w:val="16"/>
                <w:color w:val="auto"/>
              </w:rPr>
            </w:pPr>
          </w:p>
        </w:tc>
        <w:tc>
          <w:tcPr>
            <w:tcW w:w="1920" w:type="dxa"/>
            <w:vAlign w:val="bottom"/>
          </w:tcPr>
          <w:p>
            <w:pPr>
              <w:ind w:left="20"/>
              <w:spacing w:after="0" w:line="189" w:lineRule="exact"/>
              <w:rPr>
                <w:sz w:val="20"/>
                <w:szCs w:val="20"/>
                <w:color w:val="auto"/>
              </w:rPr>
            </w:pPr>
            <w:r>
              <w:rPr>
                <w:rFonts w:ascii="Arial" w:cs="Arial" w:eastAsia="Arial" w:hAnsi="Arial"/>
                <w:sz w:val="17"/>
                <w:szCs w:val="17"/>
                <w:color w:val="auto"/>
              </w:rPr>
              <w:t>community.</w:t>
            </w:r>
          </w:p>
        </w:tc>
        <w:tc>
          <w:tcPr>
            <w:tcW w:w="20" w:type="dxa"/>
            <w:vAlign w:val="bottom"/>
            <w:shd w:val="clear" w:color="auto" w:fill="071D49"/>
          </w:tcPr>
          <w:p>
            <w:pPr>
              <w:spacing w:after="0"/>
              <w:rPr>
                <w:sz w:val="16"/>
                <w:szCs w:val="16"/>
                <w:color w:val="auto"/>
              </w:rPr>
            </w:pPr>
          </w:p>
        </w:tc>
        <w:tc>
          <w:tcPr>
            <w:tcW w:w="1720" w:type="dxa"/>
            <w:vAlign w:val="bottom"/>
          </w:tcPr>
          <w:p>
            <w:pPr>
              <w:ind w:left="120"/>
              <w:spacing w:after="0" w:line="189" w:lineRule="exact"/>
              <w:rPr>
                <w:sz w:val="20"/>
                <w:szCs w:val="20"/>
                <w:color w:val="auto"/>
              </w:rPr>
            </w:pPr>
            <w:r>
              <w:rPr>
                <w:rFonts w:ascii="Arial" w:cs="Arial" w:eastAsia="Arial" w:hAnsi="Arial"/>
                <w:sz w:val="17"/>
                <w:szCs w:val="17"/>
                <w:color w:val="auto"/>
              </w:rPr>
              <w:t>and performance.</w:t>
            </w:r>
          </w:p>
        </w:tc>
        <w:tc>
          <w:tcPr>
            <w:tcW w:w="40" w:type="dxa"/>
            <w:vAlign w:val="bottom"/>
            <w:shd w:val="clear" w:color="auto" w:fill="071D49"/>
          </w:tcPr>
          <w:p>
            <w:pPr>
              <w:spacing w:after="0"/>
              <w:rPr>
                <w:sz w:val="16"/>
                <w:szCs w:val="16"/>
                <w:color w:val="auto"/>
              </w:rPr>
            </w:pPr>
          </w:p>
        </w:tc>
        <w:tc>
          <w:tcPr>
            <w:tcW w:w="1720" w:type="dxa"/>
            <w:vAlign w:val="bottom"/>
          </w:tcPr>
          <w:p>
            <w:pPr>
              <w:ind w:left="100"/>
              <w:spacing w:after="0" w:line="189" w:lineRule="exact"/>
              <w:rPr>
                <w:sz w:val="20"/>
                <w:szCs w:val="20"/>
                <w:color w:val="auto"/>
              </w:rPr>
            </w:pPr>
            <w:r>
              <w:rPr>
                <w:rFonts w:ascii="Arial" w:cs="Arial" w:eastAsia="Arial" w:hAnsi="Arial"/>
                <w:sz w:val="17"/>
                <w:szCs w:val="17"/>
                <w:color w:val="auto"/>
              </w:rPr>
              <w:t>healthier world.</w:t>
            </w:r>
          </w:p>
        </w:tc>
        <w:tc>
          <w:tcPr>
            <w:tcW w:w="20" w:type="dxa"/>
            <w:vAlign w:val="bottom"/>
            <w:shd w:val="clear" w:color="auto" w:fill="071D49"/>
          </w:tcPr>
          <w:p>
            <w:pPr>
              <w:spacing w:after="0"/>
              <w:rPr>
                <w:sz w:val="16"/>
                <w:szCs w:val="16"/>
                <w:color w:val="auto"/>
              </w:rPr>
            </w:pPr>
          </w:p>
        </w:tc>
        <w:tc>
          <w:tcPr>
            <w:tcW w:w="2100" w:type="dxa"/>
            <w:vAlign w:val="bottom"/>
          </w:tcPr>
          <w:p>
            <w:pPr>
              <w:spacing w:after="0"/>
              <w:rPr>
                <w:sz w:val="16"/>
                <w:szCs w:val="16"/>
                <w:color w:val="auto"/>
              </w:rPr>
            </w:pPr>
          </w:p>
        </w:tc>
        <w:tc>
          <w:tcPr>
            <w:tcW w:w="20" w:type="dxa"/>
            <w:vAlign w:val="bottom"/>
            <w:shd w:val="clear" w:color="auto" w:fill="071D49"/>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3"/>
        </w:trPr>
        <w:tc>
          <w:tcPr>
            <w:tcW w:w="12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1920" w:type="dxa"/>
            <w:vAlign w:val="bottom"/>
          </w:tcPr>
          <w:p>
            <w:pPr>
              <w:ind w:left="1680"/>
              <w:spacing w:after="0"/>
              <w:rPr>
                <w:sz w:val="20"/>
                <w:szCs w:val="20"/>
                <w:color w:val="auto"/>
              </w:rPr>
            </w:pPr>
            <w:r>
              <w:rPr>
                <w:rFonts w:ascii="Arial" w:cs="Arial" w:eastAsia="Arial" w:hAnsi="Arial"/>
                <w:sz w:val="25"/>
                <w:szCs w:val="25"/>
                <w:i w:val="1"/>
                <w:iCs w:val="1"/>
                <w:color w:val="auto"/>
              </w:rPr>
              <w:t>|</w:t>
            </w:r>
          </w:p>
        </w:tc>
        <w:tc>
          <w:tcPr>
            <w:tcW w:w="2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7"/>
                <w:szCs w:val="17"/>
                <w:i w:val="1"/>
                <w:iCs w:val="1"/>
                <w:color w:val="auto"/>
                <w:w w:val="98"/>
              </w:rPr>
              <w:t>2024 Proxy Statement</w:t>
            </w: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-508000</wp:posOffset>
            </wp:positionV>
            <wp:extent cx="810260" cy="15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PROXY SUMMARY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Our Business Performance</w:t>
      </w:r>
    </w:p>
    <w:p>
      <w:pPr>
        <w:spacing w:after="0" w:line="131" w:lineRule="exact"/>
        <w:rPr>
          <w:sz w:val="20"/>
          <w:szCs w:val="20"/>
          <w:color w:val="auto"/>
        </w:rPr>
      </w:pPr>
    </w:p>
    <w:p>
      <w:pPr>
        <w:ind w:left="20" w:right="20"/>
        <w:spacing w:after="0" w:line="282" w:lineRule="auto"/>
        <w:rPr>
          <w:sz w:val="20"/>
          <w:szCs w:val="20"/>
          <w:color w:val="auto"/>
        </w:rPr>
      </w:pPr>
      <w:r>
        <w:rPr>
          <w:rFonts w:ascii="Arial" w:cs="Arial" w:eastAsia="Arial" w:hAnsi="Arial"/>
          <w:sz w:val="20"/>
          <w:szCs w:val="20"/>
          <w:b w:val="1"/>
          <w:bCs w:val="1"/>
          <w:color w:val="071D49"/>
        </w:rPr>
        <w:t>Advanced our strategy through outstanding operational execution and investments in innovation during 2023</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Total Net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Growth Platform Net 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7"/>
              </w:rPr>
              <w:t>Operating Cash Flow</w:t>
            </w:r>
          </w:p>
        </w:tc>
        <w:tc>
          <w:tcPr>
            <w:tcW w:w="0" w:type="dxa"/>
            <w:vAlign w:val="bottom"/>
          </w:tcPr>
          <w:p>
            <w:pPr>
              <w:spacing w:after="0"/>
              <w:rPr>
                <w:sz w:val="1"/>
                <w:szCs w:val="1"/>
                <w:color w:val="auto"/>
              </w:rPr>
            </w:pPr>
          </w:p>
        </w:tc>
      </w:tr>
      <w:tr>
        <w:trPr>
          <w:trHeight w:val="681"/>
        </w:trPr>
        <w:tc>
          <w:tcPr>
            <w:tcW w:w="3080" w:type="dxa"/>
            <w:vAlign w:val="bottom"/>
            <w:gridSpan w:val="2"/>
          </w:tcPr>
          <w:p>
            <w:pPr>
              <w:jc w:val="center"/>
              <w:ind w:right="100"/>
              <w:spacing w:after="0" w:line="679" w:lineRule="exact"/>
              <w:rPr>
                <w:sz w:val="20"/>
                <w:szCs w:val="20"/>
                <w:color w:val="auto"/>
              </w:rPr>
            </w:pPr>
            <w:r>
              <w:rPr>
                <w:rFonts w:ascii="Arial" w:cs="Arial" w:eastAsia="Arial" w:hAnsi="Arial"/>
                <w:sz w:val="60"/>
                <w:szCs w:val="60"/>
                <w:color w:val="071D49"/>
              </w:rPr>
              <w:t>$54.3BN</w:t>
            </w:r>
          </w:p>
        </w:tc>
        <w:tc>
          <w:tcPr>
            <w:tcW w:w="2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79" w:lineRule="exact"/>
              <w:rPr>
                <w:sz w:val="20"/>
                <w:szCs w:val="20"/>
                <w:color w:val="auto"/>
              </w:rPr>
            </w:pPr>
            <w:r>
              <w:rPr>
                <w:rFonts w:ascii="Arial" w:cs="Arial" w:eastAsia="Arial" w:hAnsi="Arial"/>
                <w:sz w:val="60"/>
                <w:szCs w:val="60"/>
                <w:color w:val="071D49"/>
              </w:rPr>
              <w:t>$39.9BN</w:t>
            </w:r>
          </w:p>
        </w:tc>
        <w:tc>
          <w:tcPr>
            <w:tcW w:w="40" w:type="dxa"/>
            <w:vAlign w:val="bottom"/>
            <w:shd w:val="clear" w:color="auto" w:fill="071D49"/>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jc w:val="center"/>
              <w:spacing w:after="0" w:line="679" w:lineRule="exact"/>
              <w:rPr>
                <w:sz w:val="20"/>
                <w:szCs w:val="20"/>
                <w:color w:val="auto"/>
              </w:rPr>
            </w:pPr>
            <w:r>
              <w:rPr>
                <w:rFonts w:ascii="Arial" w:cs="Arial" w:eastAsia="Arial" w:hAnsi="Arial"/>
                <w:sz w:val="60"/>
                <w:szCs w:val="60"/>
                <w:color w:val="071D49"/>
              </w:rPr>
              <w:t>$22.8BN</w:t>
            </w:r>
          </w:p>
        </w:tc>
        <w:tc>
          <w:tcPr>
            <w:tcW w:w="0" w:type="dxa"/>
            <w:vAlign w:val="bottom"/>
          </w:tcPr>
          <w:p>
            <w:pPr>
              <w:spacing w:after="0"/>
              <w:rPr>
                <w:sz w:val="1"/>
                <w:szCs w:val="1"/>
                <w:color w:val="auto"/>
              </w:rPr>
            </w:pPr>
          </w:p>
        </w:tc>
      </w:tr>
      <w:tr>
        <w:trPr>
          <w:trHeight w:val="158"/>
        </w:trPr>
        <w:tc>
          <w:tcPr>
            <w:tcW w:w="3080" w:type="dxa"/>
            <w:vAlign w:val="bottom"/>
            <w:gridSpan w:val="2"/>
          </w:tcPr>
          <w:p>
            <w:pPr>
              <w:jc w:val="center"/>
              <w:ind w:right="80"/>
              <w:spacing w:after="0"/>
              <w:rPr>
                <w:sz w:val="20"/>
                <w:szCs w:val="20"/>
                <w:color w:val="auto"/>
              </w:rPr>
            </w:pPr>
            <w:r>
              <w:rPr>
                <w:rFonts w:ascii="Arial" w:cs="Arial" w:eastAsia="Arial" w:hAnsi="Arial"/>
                <w:sz w:val="13"/>
                <w:szCs w:val="13"/>
                <w:color w:val="auto"/>
              </w:rPr>
              <w:t>-6.4% compared to 2022*</w:t>
            </w:r>
          </w:p>
        </w:tc>
        <w:tc>
          <w:tcPr>
            <w:tcW w:w="20" w:type="dxa"/>
            <w:vAlign w:val="bottom"/>
            <w:shd w:val="clear" w:color="auto" w:fill="071D49"/>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3"/>
                <w:szCs w:val="13"/>
                <w:color w:val="auto"/>
              </w:rPr>
              <w:t>+8.4% compared to 2022**</w:t>
            </w:r>
          </w:p>
        </w:tc>
        <w:tc>
          <w:tcPr>
            <w:tcW w:w="40" w:type="dxa"/>
            <w:vAlign w:val="bottom"/>
            <w:shd w:val="clear" w:color="auto" w:fill="071D49"/>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Arial" w:cs="Arial" w:eastAsia="Arial" w:hAnsi="Arial"/>
                <w:sz w:val="13"/>
                <w:szCs w:val="13"/>
                <w:color w:val="auto"/>
              </w:rPr>
              <w:t>in 2023</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071D49"/>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Borders>
              <w:bottom w:val="single" w:sz="8" w:color="071D49"/>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8"/>
              </w:rPr>
              <w:t>Blockbuster Products</w:t>
            </w:r>
          </w:p>
        </w:tc>
        <w:tc>
          <w:tcPr>
            <w:tcW w:w="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306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8"/>
              </w:rPr>
              <w:t>Adjusted R&amp;D Investment</w:t>
            </w:r>
          </w:p>
        </w:tc>
        <w:tc>
          <w:tcPr>
            <w:tcW w:w="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Development Pipeline</w:t>
            </w:r>
          </w:p>
        </w:tc>
        <w:tc>
          <w:tcPr>
            <w:tcW w:w="0" w:type="dxa"/>
            <w:vAlign w:val="bottom"/>
          </w:tcPr>
          <w:p>
            <w:pPr>
              <w:spacing w:after="0"/>
              <w:rPr>
                <w:sz w:val="1"/>
                <w:szCs w:val="1"/>
                <w:color w:val="auto"/>
              </w:rPr>
            </w:pPr>
          </w:p>
        </w:tc>
      </w:tr>
      <w:tr>
        <w:trPr>
          <w:trHeight w:val="188"/>
        </w:trPr>
        <w:tc>
          <w:tcPr>
            <w:tcW w:w="308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80" w:type="dxa"/>
            <w:vAlign w:val="bottom"/>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2980" w:type="dxa"/>
            <w:vAlign w:val="bottom"/>
          </w:tcPr>
          <w:p>
            <w:pPr>
              <w:jc w:val="right"/>
              <w:ind w:right="1010"/>
              <w:spacing w:after="0" w:line="688" w:lineRule="exact"/>
              <w:rPr>
                <w:sz w:val="20"/>
                <w:szCs w:val="20"/>
                <w:color w:val="auto"/>
              </w:rPr>
            </w:pPr>
            <w:r>
              <w:rPr>
                <w:rFonts w:ascii="Arial" w:cs="Arial" w:eastAsia="Arial" w:hAnsi="Arial"/>
                <w:sz w:val="60"/>
                <w:szCs w:val="60"/>
                <w:color w:val="071D49"/>
              </w:rPr>
              <w:t>12</w:t>
            </w:r>
          </w:p>
        </w:tc>
        <w:tc>
          <w:tcPr>
            <w:tcW w:w="100" w:type="dxa"/>
            <w:vAlign w:val="bottom"/>
          </w:tcPr>
          <w:p>
            <w:pPr>
              <w:spacing w:after="0"/>
              <w:rPr>
                <w:sz w:val="24"/>
                <w:szCs w:val="24"/>
                <w:color w:val="auto"/>
              </w:rPr>
            </w:pPr>
          </w:p>
        </w:tc>
        <w:tc>
          <w:tcPr>
            <w:tcW w:w="2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100"/>
              <w:spacing w:after="0" w:line="688" w:lineRule="exact"/>
              <w:rPr>
                <w:sz w:val="20"/>
                <w:szCs w:val="20"/>
                <w:color w:val="auto"/>
              </w:rPr>
            </w:pPr>
            <w:r>
              <w:rPr>
                <w:rFonts w:ascii="Arial" w:cs="Arial" w:eastAsia="Arial" w:hAnsi="Arial"/>
                <w:sz w:val="60"/>
                <w:szCs w:val="60"/>
                <w:color w:val="071D49"/>
                <w:w w:val="99"/>
              </w:rPr>
              <w:t>$7.8BN</w:t>
            </w:r>
          </w:p>
        </w:tc>
        <w:tc>
          <w:tcPr>
            <w:tcW w:w="40" w:type="dxa"/>
            <w:vAlign w:val="bottom"/>
            <w:shd w:val="clear" w:color="auto" w:fill="071D49"/>
          </w:tcPr>
          <w:p>
            <w:pPr>
              <w:spacing w:after="0"/>
              <w:rPr>
                <w:sz w:val="24"/>
                <w:szCs w:val="24"/>
                <w:color w:val="auto"/>
              </w:rPr>
            </w:pPr>
          </w:p>
        </w:tc>
        <w:tc>
          <w:tcPr>
            <w:tcW w:w="2960" w:type="dxa"/>
            <w:vAlign w:val="bottom"/>
            <w:gridSpan w:val="2"/>
          </w:tcPr>
          <w:p>
            <w:pPr>
              <w:jc w:val="right"/>
              <w:ind w:right="820"/>
              <w:spacing w:after="0" w:line="688" w:lineRule="exact"/>
              <w:rPr>
                <w:sz w:val="20"/>
                <w:szCs w:val="20"/>
                <w:color w:val="auto"/>
              </w:rPr>
            </w:pPr>
            <w:r>
              <w:rPr>
                <w:rFonts w:ascii="Arial" w:cs="Arial" w:eastAsia="Arial" w:hAnsi="Arial"/>
                <w:sz w:val="60"/>
                <w:szCs w:val="60"/>
                <w:color w:val="071D49"/>
              </w:rPr>
              <w:t>~90</w:t>
            </w:r>
          </w:p>
        </w:tc>
        <w:tc>
          <w:tcPr>
            <w:tcW w:w="0" w:type="dxa"/>
            <w:vAlign w:val="bottom"/>
          </w:tcPr>
          <w:p>
            <w:pPr>
              <w:spacing w:after="0"/>
              <w:rPr>
                <w:sz w:val="1"/>
                <w:szCs w:val="1"/>
                <w:color w:val="auto"/>
              </w:rPr>
            </w:pPr>
          </w:p>
        </w:tc>
      </w:tr>
      <w:tr>
        <w:trPr>
          <w:trHeight w:val="175"/>
        </w:trPr>
        <w:tc>
          <w:tcPr>
            <w:tcW w:w="3080" w:type="dxa"/>
            <w:vAlign w:val="bottom"/>
            <w:gridSpan w:val="2"/>
          </w:tcPr>
          <w:p>
            <w:pPr>
              <w:jc w:val="center"/>
              <w:ind w:right="120"/>
              <w:spacing w:after="0"/>
              <w:rPr>
                <w:sz w:val="20"/>
                <w:szCs w:val="20"/>
                <w:color w:val="auto"/>
              </w:rPr>
            </w:pPr>
            <w:r>
              <w:rPr>
                <w:rFonts w:ascii="Arial" w:cs="Arial" w:eastAsia="Arial" w:hAnsi="Arial"/>
                <w:sz w:val="13"/>
                <w:szCs w:val="13"/>
                <w:color w:val="auto"/>
              </w:rPr>
              <w:t>assets with 2023 net revenues &gt; $1.0BN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3"/>
                <w:szCs w:val="13"/>
                <w:color w:val="auto"/>
              </w:rPr>
              <w:t>increased $0.7BN compared to 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3"/>
                <w:szCs w:val="13"/>
                <w:color w:val="auto"/>
              </w:rPr>
              <w:t>active clinical and device programs****</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The measures set forth in this table were calculated as of 12/31/2023.</w:t>
      </w:r>
    </w:p>
    <w:p>
      <w:pPr>
        <w:ind w:left="80" w:hanging="68"/>
        <w:spacing w:after="0" w:line="184" w:lineRule="auto"/>
        <w:tabs>
          <w:tab w:leader="none" w:pos="80" w:val="left"/>
        </w:tabs>
        <w:numPr>
          <w:ilvl w:val="0"/>
          <w:numId w:val="6"/>
        </w:numPr>
        <w:rPr>
          <w:rFonts w:ascii="Arial" w:cs="Arial" w:eastAsia="Arial" w:hAnsi="Arial"/>
          <w:sz w:val="17"/>
          <w:szCs w:val="17"/>
          <w:color w:val="auto"/>
          <w:vertAlign w:val="superscript"/>
        </w:rPr>
      </w:pPr>
      <w:r>
        <w:rPr>
          <w:rFonts w:ascii="Arial" w:cs="Arial" w:eastAsia="Arial" w:hAnsi="Arial"/>
          <w:sz w:val="12"/>
          <w:szCs w:val="12"/>
          <w:color w:val="auto"/>
        </w:rPr>
        <w:t>Decline primarily due to the U.S. Humira loss of exclusivity in 2023.</w:t>
      </w:r>
    </w:p>
    <w:p>
      <w:pPr>
        <w:ind w:left="120" w:hanging="108"/>
        <w:spacing w:after="0" w:line="187" w:lineRule="auto"/>
        <w:tabs>
          <w:tab w:leader="none" w:pos="12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Growth Platform reflects total net revenues less Humira net revenues.</w:t>
      </w:r>
    </w:p>
    <w:p>
      <w:pPr>
        <w:ind w:left="160" w:hanging="148"/>
        <w:spacing w:after="0" w:line="184" w:lineRule="auto"/>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2"/>
          <w:szCs w:val="12"/>
          <w:color w:val="auto"/>
        </w:rPr>
        <w:t>Reflects a non-GAAP measure and is adjusted for certain items, which are reconciled in Appendix B.</w:t>
      </w:r>
    </w:p>
    <w:p>
      <w:pPr>
        <w:ind w:left="200" w:hanging="188"/>
        <w:spacing w:after="0" w:line="188" w:lineRule="auto"/>
        <w:tabs>
          <w:tab w:leader="none" w:pos="20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Compounds, devices or indications in development individually or under collaboration or license agreements.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Strong operational execution</w:t>
      </w:r>
    </w:p>
    <w:p>
      <w:pPr>
        <w:spacing w:after="0" w:line="33" w:lineRule="exact"/>
        <w:rPr>
          <w:sz w:val="20"/>
          <w:szCs w:val="20"/>
          <w:color w:val="auto"/>
        </w:rPr>
      </w:pPr>
    </w:p>
    <w:p>
      <w:pPr>
        <w:ind w:left="560" w:right="900" w:hanging="298"/>
        <w:spacing w:after="0" w:line="237" w:lineRule="auto"/>
        <w:tabs>
          <w:tab w:leader="none" w:pos="56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Total net revenues of $54.3 billion, driven by strong performance from our Growth Platform and successful management of the U.S. Humira loss of exclusivity (LOE).</w:t>
      </w:r>
    </w:p>
    <w:p>
      <w:pPr>
        <w:spacing w:after="0" w:line="1" w:lineRule="exact"/>
        <w:rPr>
          <w:rFonts w:ascii="Times New Roman" w:cs="Times New Roman" w:eastAsia="Times New Roman" w:hAnsi="Times New Roman"/>
          <w:sz w:val="17"/>
          <w:szCs w:val="17"/>
          <w:color w:val="auto"/>
        </w:rPr>
      </w:pPr>
    </w:p>
    <w:p>
      <w:pPr>
        <w:ind w:left="940" w:right="240" w:hanging="300"/>
        <w:spacing w:after="0" w:line="223"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Key asset performance drove Growth Platform net revenues of $39.9 billion, an increase of 8.4% compared to</w:t>
      </w:r>
      <w:r>
        <w:rPr>
          <w:rFonts w:ascii="Courier New" w:cs="Courier New" w:eastAsia="Courier New" w:hAnsi="Courier New"/>
          <w:sz w:val="17"/>
          <w:szCs w:val="17"/>
          <w:color w:val="auto"/>
        </w:rPr>
        <w:t xml:space="preserve"> </w:t>
      </w:r>
      <w:r>
        <w:rPr>
          <w:rFonts w:ascii="Arial" w:cs="Arial" w:eastAsia="Arial" w:hAnsi="Arial"/>
          <w:sz w:val="17"/>
          <w:szCs w:val="17"/>
          <w:color w:val="auto"/>
        </w:rPr>
        <w:t>2022.</w:t>
      </w:r>
    </w:p>
    <w:p>
      <w:pPr>
        <w:spacing w:after="0" w:line="1" w:lineRule="exact"/>
        <w:rPr>
          <w:rFonts w:ascii="Times New Roman" w:cs="Times New Roman" w:eastAsia="Times New Roman" w:hAnsi="Times New Roman"/>
          <w:sz w:val="17"/>
          <w:szCs w:val="17"/>
          <w:color w:val="auto"/>
        </w:rPr>
      </w:pPr>
    </w:p>
    <w:p>
      <w:pPr>
        <w:ind w:left="940" w:right="140" w:hanging="300"/>
        <w:spacing w:after="0" w:line="225"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AbbVie had eight assets in its Growth Platform with double-digit sales growth in 2023, including Skyrizi, Rinvoq,</w:t>
      </w:r>
      <w:r>
        <w:rPr>
          <w:rFonts w:ascii="Courier New" w:cs="Courier New" w:eastAsia="Courier New" w:hAnsi="Courier New"/>
          <w:sz w:val="17"/>
          <w:szCs w:val="17"/>
          <w:color w:val="auto"/>
        </w:rPr>
        <w:t xml:space="preserve"> </w:t>
      </w:r>
      <w:r>
        <w:rPr>
          <w:rFonts w:ascii="Arial" w:cs="Arial" w:eastAsia="Arial" w:hAnsi="Arial"/>
          <w:sz w:val="17"/>
          <w:szCs w:val="17"/>
          <w:color w:val="auto"/>
        </w:rPr>
        <w:t>and Vraylar.</w:t>
      </w:r>
    </w:p>
    <w:p>
      <w:pPr>
        <w:ind w:left="640"/>
        <w:spacing w:after="0" w:line="228"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AbbVie retained strong parity access for U.S. Humira.</w:t>
      </w:r>
    </w:p>
    <w:p>
      <w:pPr>
        <w:ind w:left="580" w:right="640" w:hanging="305"/>
        <w:spacing w:after="0"/>
        <w:tabs>
          <w:tab w:leader="none" w:pos="58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Reported diluted EPS of $2.72 on a GAAP basis and adjusted diluted EPS of $11.11. See Appendix B for the reconciliation.</w:t>
      </w:r>
    </w:p>
    <w:p>
      <w:pPr>
        <w:ind w:left="580" w:hanging="305"/>
        <w:spacing w:after="0"/>
        <w:tabs>
          <w:tab w:leader="none" w:pos="580" w:val="left"/>
        </w:tabs>
        <w:numPr>
          <w:ilvl w:val="1"/>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Generated operating cash flow of $22.8 billion.</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Advancing new medicines with an innovative R&amp;D pipeline</w:t>
      </w:r>
    </w:p>
    <w:p>
      <w:pPr>
        <w:spacing w:after="0" w:line="33" w:lineRule="exact"/>
        <w:rPr>
          <w:sz w:val="20"/>
          <w:szCs w:val="20"/>
          <w:color w:val="auto"/>
        </w:rPr>
      </w:pPr>
    </w:p>
    <w:p>
      <w:pPr>
        <w:ind w:left="580" w:right="20" w:hanging="305"/>
        <w:spacing w:after="0" w:line="233" w:lineRule="auto"/>
        <w:tabs>
          <w:tab w:leader="none" w:pos="5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Achieved regulatory approvals for several new products or major indications, including Rinvoq for the treatment of adult patients with moderately to severely active Crohn’s disease (CD) who have had an inadequate response or intolerance to one or more tumor necrosis factor blockers, Epkinly as the first bispecific antibody to treat adult patients with relapsed/refractory (r/r) diffuse large B-cell lymphoma (DLBCL) and Qulipta for the preventive treatment of chronic migraine in adults.</w:t>
      </w:r>
    </w:p>
    <w:p>
      <w:pPr>
        <w:spacing w:after="0" w:line="1" w:lineRule="exact"/>
        <w:rPr>
          <w:rFonts w:ascii="Times New Roman" w:cs="Times New Roman" w:eastAsia="Times New Roman" w:hAnsi="Times New Roman"/>
          <w:sz w:val="17"/>
          <w:szCs w:val="17"/>
          <w:color w:val="auto"/>
        </w:rPr>
      </w:pPr>
    </w:p>
    <w:p>
      <w:pPr>
        <w:ind w:left="580" w:right="340" w:hanging="305"/>
        <w:spacing w:after="0" w:line="251" w:lineRule="auto"/>
        <w:tabs>
          <w:tab w:leader="none" w:pos="58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Submitted regulatory applications in key development programs, including Skyrizi for the treatment of adults with moderately to severely active ulcerative colitis (UC), Epkinly for adult patients with r/r follicular lymphoma (FL) previously treated with two or more prior therapies and Botox Cosmetic for the treatment of platysma prominence.</w:t>
      </w:r>
    </w:p>
    <w:p>
      <w:pPr>
        <w:spacing w:after="0" w:line="2" w:lineRule="exact"/>
        <w:rPr>
          <w:rFonts w:ascii="Times New Roman" w:cs="Times New Roman" w:eastAsia="Times New Roman" w:hAnsi="Times New Roman"/>
          <w:sz w:val="16"/>
          <w:szCs w:val="16"/>
          <w:color w:val="auto"/>
        </w:rPr>
      </w:pPr>
    </w:p>
    <w:p>
      <w:pPr>
        <w:ind w:left="580" w:right="20" w:hanging="305"/>
        <w:spacing w:after="0" w:line="236" w:lineRule="auto"/>
        <w:tabs>
          <w:tab w:leader="none" w:pos="5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Generated positive data for key late-stage assets, including Phase 3 data for trenibotulinumtoxinE (BoNT/E) for the treatment of moderate to severe glabellar lines and Phase 2 data for telisotuzumab-vedotin (Teliso-V) for patients with c-Met protein overexpression, epidermal growth factor receptor (EGFR) wild type, advanced/metastatic nonsquamous non-small cell lung cancer (NSCLC).</w:t>
      </w:r>
    </w:p>
    <w:p>
      <w:pPr>
        <w:spacing w:after="0" w:line="1" w:lineRule="exact"/>
        <w:rPr>
          <w:rFonts w:ascii="Times New Roman" w:cs="Times New Roman" w:eastAsia="Times New Roman" w:hAnsi="Times New Roman"/>
          <w:sz w:val="17"/>
          <w:szCs w:val="17"/>
          <w:color w:val="auto"/>
        </w:rPr>
      </w:pPr>
    </w:p>
    <w:p>
      <w:pPr>
        <w:ind w:left="580" w:right="140" w:hanging="305"/>
        <w:spacing w:after="0" w:line="237" w:lineRule="auto"/>
        <w:tabs>
          <w:tab w:leader="none" w:pos="58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our pipeline and long-term growth outlook with the announced acquisition of ImmunoGen, Inc. and pending acquisition of Cerevel Therapeutics, which include a collection of on-market and pipeline assets in oncology and neuroscience. These transactions, and others, represent the company’s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340" w:type="dxa"/>
            <w:vAlign w:val="bottom"/>
          </w:tcPr>
          <w:p>
            <w:pPr>
              <w:ind w:left="55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501"/>
        </w:trPr>
        <w:tc>
          <w:tcPr>
            <w:tcW w:w="8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-515620</wp:posOffset>
            </wp:positionV>
            <wp:extent cx="810260" cy="151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PROXY SUMMARY</w:t>
      </w:r>
    </w:p>
    <w:p>
      <w:pPr>
        <w:spacing w:after="0" w:line="192" w:lineRule="exact"/>
        <w:rPr>
          <w:sz w:val="20"/>
          <w:szCs w:val="20"/>
          <w:color w:val="auto"/>
        </w:rPr>
      </w:pPr>
    </w:p>
    <w:p>
      <w:pPr>
        <w:ind w:left="560" w:right="160"/>
        <w:spacing w:after="0" w:line="261" w:lineRule="auto"/>
        <w:rPr>
          <w:sz w:val="20"/>
          <w:szCs w:val="20"/>
          <w:color w:val="auto"/>
        </w:rPr>
      </w:pPr>
      <w:r>
        <w:rPr>
          <w:rFonts w:ascii="Arial" w:cs="Arial" w:eastAsia="Arial" w:hAnsi="Arial"/>
          <w:sz w:val="17"/>
          <w:szCs w:val="17"/>
          <w:color w:val="auto"/>
        </w:rPr>
        <w:t>commitment to continuing to invest in research and development and business development during the U.S. Humira LOE.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Significant long-term value creation</w:t>
      </w:r>
    </w:p>
    <w:p>
      <w:pPr>
        <w:spacing w:after="0" w:line="205" w:lineRule="exact"/>
        <w:rPr>
          <w:sz w:val="20"/>
          <w:szCs w:val="20"/>
          <w:color w:val="auto"/>
        </w:rPr>
      </w:pPr>
    </w:p>
    <w:p>
      <w:pPr>
        <w:ind w:left="640"/>
        <w:spacing w:after="0"/>
        <w:tabs>
          <w:tab w:leader="none" w:pos="3560" w:val="left"/>
          <w:tab w:leader="none" w:pos="6800" w:val="left"/>
        </w:tabs>
        <w:rPr>
          <w:sz w:val="20"/>
          <w:szCs w:val="20"/>
          <w:color w:val="auto"/>
        </w:rPr>
      </w:pPr>
      <w:r>
        <w:rPr>
          <w:rFonts w:ascii="Arial" w:cs="Arial" w:eastAsia="Arial" w:hAnsi="Arial"/>
          <w:sz w:val="17"/>
          <w:szCs w:val="17"/>
          <w:b w:val="1"/>
          <w:bCs w:val="1"/>
          <w:color w:val="auto"/>
        </w:rPr>
        <w:t>Market Capitalization</w:t>
      </w:r>
      <w:r>
        <w:rPr>
          <w:sz w:val="20"/>
          <w:szCs w:val="20"/>
          <w:color w:val="auto"/>
        </w:rPr>
        <w:tab/>
      </w:r>
      <w:r>
        <w:rPr>
          <w:rFonts w:ascii="Arial" w:cs="Arial" w:eastAsia="Arial" w:hAnsi="Arial"/>
          <w:sz w:val="17"/>
          <w:szCs w:val="17"/>
          <w:b w:val="1"/>
          <w:bCs w:val="1"/>
          <w:color w:val="auto"/>
        </w:rPr>
        <w:t>Quarterly Dividend Increase</w:t>
      </w:r>
      <w:r>
        <w:rPr>
          <w:sz w:val="20"/>
          <w:szCs w:val="20"/>
          <w:color w:val="auto"/>
        </w:rPr>
        <w:tab/>
      </w:r>
      <w:r>
        <w:rPr>
          <w:rFonts w:ascii="Arial" w:cs="Arial" w:eastAsia="Arial" w:hAnsi="Arial"/>
          <w:sz w:val="16"/>
          <w:szCs w:val="16"/>
          <w:b w:val="1"/>
          <w:bCs w:val="1"/>
          <w:color w:val="auto"/>
        </w:rPr>
        <w:t>Total Stockholder Return</w:t>
      </w:r>
    </w:p>
    <w:p>
      <w:pPr>
        <w:spacing w:after="0" w:line="195" w:lineRule="exact"/>
        <w:rPr>
          <w:sz w:val="20"/>
          <w:szCs w:val="20"/>
          <w:color w:val="auto"/>
        </w:rPr>
      </w:pPr>
    </w:p>
    <w:tbl>
      <w:tblPr>
        <w:tblLayout w:type="fixed"/>
        <w:tblInd w:w="220" w:type="dxa"/>
        <w:tblCellMar>
          <w:top w:w="0" w:type="dxa"/>
          <w:left w:w="0" w:type="dxa"/>
          <w:bottom w:w="0" w:type="dxa"/>
          <w:right w:w="0" w:type="dxa"/>
        </w:tblCellMar>
      </w:tblPr>
      <w:tr>
        <w:trPr>
          <w:trHeight w:val="690"/>
        </w:trPr>
        <w:tc>
          <w:tcPr>
            <w:tcW w:w="2880" w:type="dxa"/>
            <w:vAlign w:val="bottom"/>
            <w:tcBorders>
              <w:right w:val="single" w:sz="8" w:color="071D49"/>
            </w:tcBorders>
          </w:tcPr>
          <w:p>
            <w:pPr>
              <w:jc w:val="center"/>
              <w:ind w:right="210"/>
              <w:spacing w:after="0"/>
              <w:rPr>
                <w:sz w:val="20"/>
                <w:szCs w:val="20"/>
                <w:color w:val="auto"/>
              </w:rPr>
            </w:pPr>
            <w:r>
              <w:rPr>
                <w:rFonts w:ascii="Arial" w:cs="Arial" w:eastAsia="Arial" w:hAnsi="Arial"/>
                <w:sz w:val="60"/>
                <w:szCs w:val="60"/>
                <w:color w:val="071D49"/>
              </w:rPr>
              <w:t>+$190BN</w:t>
            </w:r>
          </w:p>
        </w:tc>
        <w:tc>
          <w:tcPr>
            <w:tcW w:w="3200" w:type="dxa"/>
            <w:vAlign w:val="bottom"/>
            <w:tcBorders>
              <w:right w:val="single" w:sz="8" w:color="071D49"/>
            </w:tcBorders>
          </w:tcPr>
          <w:p>
            <w:pPr>
              <w:jc w:val="center"/>
              <w:spacing w:after="0"/>
              <w:rPr>
                <w:sz w:val="20"/>
                <w:szCs w:val="20"/>
                <w:color w:val="auto"/>
              </w:rPr>
            </w:pPr>
            <w:r>
              <w:rPr>
                <w:rFonts w:ascii="Arial" w:cs="Arial" w:eastAsia="Arial" w:hAnsi="Arial"/>
                <w:sz w:val="60"/>
                <w:szCs w:val="60"/>
                <w:color w:val="071D49"/>
                <w:w w:val="99"/>
              </w:rPr>
              <w:t>&gt;285%</w:t>
            </w:r>
          </w:p>
        </w:tc>
        <w:tc>
          <w:tcPr>
            <w:tcW w:w="2460" w:type="dxa"/>
            <w:vAlign w:val="bottom"/>
          </w:tcPr>
          <w:p>
            <w:pPr>
              <w:jc w:val="right"/>
              <w:spacing w:after="0"/>
              <w:rPr>
                <w:sz w:val="20"/>
                <w:szCs w:val="20"/>
                <w:color w:val="auto"/>
              </w:rPr>
            </w:pPr>
            <w:r>
              <w:rPr>
                <w:rFonts w:ascii="Arial" w:cs="Arial" w:eastAsia="Arial" w:hAnsi="Arial"/>
                <w:sz w:val="60"/>
                <w:szCs w:val="60"/>
                <w:color w:val="071D49"/>
              </w:rPr>
              <w:t>+343%</w:t>
            </w:r>
          </w:p>
        </w:tc>
      </w:tr>
      <w:tr>
        <w:trPr>
          <w:trHeight w:val="163"/>
        </w:trPr>
        <w:tc>
          <w:tcPr>
            <w:tcW w:w="2880" w:type="dxa"/>
            <w:vAlign w:val="bottom"/>
            <w:tcBorders>
              <w:right w:val="single" w:sz="8" w:color="auto"/>
            </w:tcBorders>
          </w:tcPr>
          <w:p>
            <w:pPr>
              <w:jc w:val="center"/>
              <w:ind w:right="210"/>
              <w:spacing w:after="0" w:line="163" w:lineRule="exact"/>
              <w:rPr>
                <w:sz w:val="20"/>
                <w:szCs w:val="20"/>
                <w:color w:val="auto"/>
              </w:rPr>
            </w:pPr>
            <w:r>
              <w:rPr>
                <w:rFonts w:ascii="Arial" w:cs="Arial" w:eastAsia="Arial" w:hAnsi="Arial"/>
                <w:sz w:val="15"/>
                <w:szCs w:val="15"/>
                <w:color w:val="auto"/>
              </w:rPr>
              <w:t>10-year increase, adding significant</w:t>
            </w:r>
          </w:p>
        </w:tc>
        <w:tc>
          <w:tcPr>
            <w:tcW w:w="32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5"/>
                <w:szCs w:val="15"/>
                <w:color w:val="auto"/>
              </w:rPr>
              <w:t>raised to $1.55 per share from $0.40 per</w:t>
            </w:r>
          </w:p>
        </w:tc>
        <w:tc>
          <w:tcPr>
            <w:tcW w:w="2460" w:type="dxa"/>
            <w:vAlign w:val="bottom"/>
          </w:tcPr>
          <w:p>
            <w:pPr>
              <w:jc w:val="center"/>
              <w:ind w:left="392"/>
              <w:spacing w:after="0" w:line="163" w:lineRule="exact"/>
              <w:rPr>
                <w:sz w:val="20"/>
                <w:szCs w:val="20"/>
                <w:color w:val="auto"/>
              </w:rPr>
            </w:pPr>
            <w:r>
              <w:rPr>
                <w:rFonts w:ascii="Arial" w:cs="Arial" w:eastAsia="Arial" w:hAnsi="Arial"/>
                <w:sz w:val="15"/>
                <w:szCs w:val="15"/>
                <w:color w:val="auto"/>
              </w:rPr>
              <w:t>over the last decade</w:t>
            </w:r>
          </w:p>
        </w:tc>
      </w:tr>
      <w:tr>
        <w:trPr>
          <w:trHeight w:val="187"/>
        </w:trPr>
        <w:tc>
          <w:tcPr>
            <w:tcW w:w="2880" w:type="dxa"/>
            <w:vAlign w:val="bottom"/>
            <w:tcBorders>
              <w:right w:val="single" w:sz="8" w:color="auto"/>
            </w:tcBorders>
          </w:tcPr>
          <w:p>
            <w:pPr>
              <w:jc w:val="center"/>
              <w:ind w:right="210"/>
              <w:spacing w:after="0"/>
              <w:rPr>
                <w:sz w:val="20"/>
                <w:szCs w:val="20"/>
                <w:color w:val="auto"/>
              </w:rPr>
            </w:pPr>
            <w:r>
              <w:rPr>
                <w:rFonts w:ascii="Arial" w:cs="Arial" w:eastAsia="Arial" w:hAnsi="Arial"/>
                <w:sz w:val="15"/>
                <w:szCs w:val="15"/>
                <w:color w:val="auto"/>
                <w:w w:val="99"/>
              </w:rPr>
              <w:t>stockholder value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share over the last decade</w:t>
            </w: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587883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83" w:lineRule="exact"/>
        <w:rPr>
          <w:sz w:val="20"/>
          <w:szCs w:val="20"/>
          <w:color w:val="auto"/>
        </w:rPr>
      </w:pPr>
    </w:p>
    <w:p>
      <w:pPr>
        <w:jc w:val="both"/>
        <w:ind w:right="500"/>
        <w:spacing w:after="0" w:line="297" w:lineRule="auto"/>
        <w:rPr>
          <w:sz w:val="20"/>
          <w:szCs w:val="20"/>
          <w:color w:val="auto"/>
        </w:rPr>
      </w:pPr>
      <w:r>
        <w:rPr>
          <w:rFonts w:ascii="Arial" w:cs="Arial" w:eastAsia="Arial" w:hAnsi="Arial"/>
          <w:sz w:val="13"/>
          <w:szCs w:val="13"/>
          <w:b w:val="1"/>
          <w:bCs w:val="1"/>
          <w:color w:val="auto"/>
        </w:rPr>
        <w:t>The measures set forth in this table were calculated as of 12/31/2023 versus 12/31/2013. The quarterly dividend increase is calculated on a declared basis.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Total stockholder return (TSR)</w:t>
      </w:r>
    </w:p>
    <w:p>
      <w:pPr>
        <w:spacing w:after="0" w:line="45"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AbbVie has a track record of robust total stockholder returns. Over the last decade, AbbVie’s TSR ranks in the top tier of its named peers and surpasses the cumulative total returns of the Standard &amp; Poor’s 500 Index and the NYSE Arca Pharmaceutical Index, as shown in the tables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80" w:type="dxa"/>
            <w:vAlign w:val="bottom"/>
            <w:tcBorders>
              <w:right w:val="single" w:sz="8" w:color="071D49"/>
            </w:tcBorders>
            <w:gridSpan w:val="2"/>
          </w:tcPr>
          <w:p>
            <w:pPr>
              <w:ind w:left="860"/>
              <w:spacing w:after="0"/>
              <w:rPr>
                <w:sz w:val="20"/>
                <w:szCs w:val="20"/>
                <w:color w:val="auto"/>
              </w:rPr>
            </w:pPr>
            <w:r>
              <w:rPr>
                <w:rFonts w:ascii="Arial" w:cs="Arial" w:eastAsia="Arial" w:hAnsi="Arial"/>
                <w:sz w:val="17"/>
                <w:szCs w:val="17"/>
                <w:b w:val="1"/>
                <w:bCs w:val="1"/>
                <w:color w:val="auto"/>
              </w:rPr>
              <w:t>1-Year</w:t>
            </w:r>
          </w:p>
        </w:tc>
        <w:tc>
          <w:tcPr>
            <w:tcW w:w="2320" w:type="dxa"/>
            <w:vAlign w:val="bottom"/>
            <w:tcBorders>
              <w:right w:val="single" w:sz="8" w:color="071D49"/>
            </w:tcBorders>
            <w:gridSpan w:val="4"/>
          </w:tcPr>
          <w:p>
            <w:pPr>
              <w:jc w:val="center"/>
              <w:ind w:right="20"/>
              <w:spacing w:after="0"/>
              <w:rPr>
                <w:sz w:val="20"/>
                <w:szCs w:val="20"/>
                <w:color w:val="auto"/>
              </w:rPr>
            </w:pPr>
            <w:r>
              <w:rPr>
                <w:rFonts w:ascii="Arial" w:cs="Arial" w:eastAsia="Arial" w:hAnsi="Arial"/>
                <w:sz w:val="17"/>
                <w:szCs w:val="17"/>
                <w:b w:val="1"/>
                <w:bCs w:val="1"/>
                <w:color w:val="auto"/>
                <w:w w:val="96"/>
              </w:rPr>
              <w:t>3-Year</w:t>
            </w:r>
          </w:p>
        </w:tc>
        <w:tc>
          <w:tcPr>
            <w:tcW w:w="2320" w:type="dxa"/>
            <w:vAlign w:val="bottom"/>
            <w:tcBorders>
              <w:right w:val="single" w:sz="8" w:color="071D49"/>
            </w:tcBorders>
          </w:tcPr>
          <w:p>
            <w:pPr>
              <w:jc w:val="center"/>
              <w:spacing w:after="0"/>
              <w:rPr>
                <w:sz w:val="20"/>
                <w:szCs w:val="20"/>
                <w:color w:val="auto"/>
              </w:rPr>
            </w:pPr>
            <w:r>
              <w:rPr>
                <w:rFonts w:ascii="Arial" w:cs="Arial" w:eastAsia="Arial" w:hAnsi="Arial"/>
                <w:sz w:val="17"/>
                <w:szCs w:val="17"/>
                <w:b w:val="1"/>
                <w:bCs w:val="1"/>
                <w:color w:val="auto"/>
                <w:w w:val="96"/>
              </w:rPr>
              <w:t>5-Year</w:t>
            </w:r>
          </w:p>
        </w:tc>
        <w:tc>
          <w:tcPr>
            <w:tcW w:w="2320" w:type="dxa"/>
            <w:vAlign w:val="bottom"/>
          </w:tcPr>
          <w:p>
            <w:pPr>
              <w:jc w:val="center"/>
              <w:spacing w:after="0"/>
              <w:rPr>
                <w:sz w:val="20"/>
                <w:szCs w:val="20"/>
                <w:color w:val="auto"/>
              </w:rPr>
            </w:pPr>
            <w:r>
              <w:rPr>
                <w:rFonts w:ascii="Arial" w:cs="Arial" w:eastAsia="Arial" w:hAnsi="Arial"/>
                <w:sz w:val="17"/>
                <w:szCs w:val="17"/>
                <w:b w:val="1"/>
                <w:bCs w:val="1"/>
                <w:color w:val="auto"/>
                <w:w w:val="94"/>
              </w:rPr>
              <w:t>10-Year</w:t>
            </w:r>
          </w:p>
        </w:tc>
        <w:tc>
          <w:tcPr>
            <w:tcW w:w="0" w:type="dxa"/>
            <w:vAlign w:val="bottom"/>
          </w:tcPr>
          <w:p>
            <w:pPr>
              <w:spacing w:after="0"/>
              <w:rPr>
                <w:sz w:val="1"/>
                <w:szCs w:val="1"/>
                <w:color w:val="auto"/>
              </w:rPr>
            </w:pPr>
          </w:p>
        </w:tc>
      </w:tr>
      <w:tr>
        <w:trPr>
          <w:trHeight w:val="576"/>
        </w:trPr>
        <w:tc>
          <w:tcPr>
            <w:tcW w:w="2140" w:type="dxa"/>
            <w:vAlign w:val="bottom"/>
            <w:gridSpan w:val="2"/>
          </w:tcPr>
          <w:p>
            <w:pPr>
              <w:ind w:left="820"/>
              <w:spacing w:after="0"/>
              <w:rPr>
                <w:sz w:val="20"/>
                <w:szCs w:val="20"/>
                <w:color w:val="auto"/>
              </w:rPr>
            </w:pPr>
            <w:r>
              <w:rPr>
                <w:rFonts w:ascii="Arial" w:cs="Arial" w:eastAsia="Arial" w:hAnsi="Arial"/>
                <w:sz w:val="43"/>
                <w:szCs w:val="43"/>
                <w:color w:val="071D49"/>
              </w:rPr>
              <w:t>0%</w:t>
            </w:r>
          </w:p>
        </w:tc>
        <w:tc>
          <w:tcPr>
            <w:tcW w:w="160" w:type="dxa"/>
            <w:vAlign w:val="bottom"/>
            <w:tcBorders>
              <w:right w:val="single" w:sz="8" w:color="071D49"/>
            </w:tcBorders>
          </w:tcPr>
          <w:p>
            <w:pPr>
              <w:spacing w:after="0"/>
              <w:rPr>
                <w:sz w:val="24"/>
                <w:szCs w:val="24"/>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43"/>
                <w:szCs w:val="43"/>
                <w:color w:val="071D49"/>
              </w:rPr>
              <w:t>+64%</w:t>
            </w:r>
          </w:p>
        </w:tc>
        <w:tc>
          <w:tcPr>
            <w:tcW w:w="360" w:type="dxa"/>
            <w:vAlign w:val="bottom"/>
            <w:tcBorders>
              <w:right w:val="single" w:sz="8" w:color="071D49"/>
            </w:tcBorders>
          </w:tcPr>
          <w:p>
            <w:pPr>
              <w:spacing w:after="0"/>
              <w:rPr>
                <w:sz w:val="24"/>
                <w:szCs w:val="24"/>
                <w:color w:val="auto"/>
              </w:rPr>
            </w:pPr>
          </w:p>
        </w:tc>
        <w:tc>
          <w:tcPr>
            <w:tcW w:w="2320" w:type="dxa"/>
            <w:vAlign w:val="bottom"/>
            <w:tcBorders>
              <w:right w:val="single" w:sz="8" w:color="071D49"/>
            </w:tcBorders>
          </w:tcPr>
          <w:p>
            <w:pPr>
              <w:jc w:val="right"/>
              <w:ind w:right="372"/>
              <w:spacing w:after="0"/>
              <w:rPr>
                <w:sz w:val="20"/>
                <w:szCs w:val="20"/>
                <w:color w:val="auto"/>
              </w:rPr>
            </w:pPr>
            <w:r>
              <w:rPr>
                <w:rFonts w:ascii="Arial" w:cs="Arial" w:eastAsia="Arial" w:hAnsi="Arial"/>
                <w:sz w:val="43"/>
                <w:szCs w:val="43"/>
                <w:color w:val="071D49"/>
              </w:rPr>
              <w:t>+112%</w:t>
            </w:r>
          </w:p>
        </w:tc>
        <w:tc>
          <w:tcPr>
            <w:tcW w:w="2320" w:type="dxa"/>
            <w:vAlign w:val="bottom"/>
          </w:tcPr>
          <w:p>
            <w:pPr>
              <w:jc w:val="right"/>
              <w:ind w:right="350"/>
              <w:spacing w:after="0"/>
              <w:rPr>
                <w:sz w:val="20"/>
                <w:szCs w:val="20"/>
                <w:color w:val="auto"/>
              </w:rPr>
            </w:pPr>
            <w:r>
              <w:rPr>
                <w:rFonts w:ascii="Arial" w:cs="Arial" w:eastAsia="Arial" w:hAnsi="Arial"/>
                <w:sz w:val="43"/>
                <w:szCs w:val="43"/>
                <w:color w:val="071D49"/>
              </w:rPr>
              <w:t>+343%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80" w:type="dxa"/>
            <w:vAlign w:val="bottom"/>
            <w:gridSpan w:val="2"/>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20" w:type="dxa"/>
            <w:vAlign w:val="bottom"/>
            <w:shd w:val="clear" w:color="auto" w:fill="071D49"/>
          </w:tcPr>
          <w:p>
            <w:pPr>
              <w:spacing w:after="0"/>
              <w:rPr>
                <w:sz w:val="23"/>
                <w:szCs w:val="23"/>
                <w:color w:val="auto"/>
              </w:rPr>
            </w:pPr>
          </w:p>
        </w:tc>
        <w:tc>
          <w:tcPr>
            <w:tcW w:w="160" w:type="dxa"/>
            <w:vAlign w:val="bottom"/>
            <w:tcBorders>
              <w:right w:val="single" w:sz="8" w:color="071D49"/>
            </w:tcBorders>
            <w:shd w:val="clear" w:color="auto" w:fill="071D49"/>
          </w:tcPr>
          <w:p>
            <w:pPr>
              <w:spacing w:after="0"/>
              <w:rPr>
                <w:sz w:val="23"/>
                <w:szCs w:val="23"/>
                <w:color w:val="auto"/>
              </w:rPr>
            </w:pPr>
          </w:p>
        </w:tc>
        <w:tc>
          <w:tcPr>
            <w:tcW w:w="4640" w:type="dxa"/>
            <w:vAlign w:val="bottom"/>
            <w:tcBorders>
              <w:right w:val="single" w:sz="8" w:color="071D49"/>
            </w:tcBorders>
            <w:gridSpan w:val="5"/>
            <w:shd w:val="clear" w:color="auto" w:fill="071D49"/>
          </w:tcPr>
          <w:p>
            <w:pPr>
              <w:ind w:left="340"/>
              <w:spacing w:after="0"/>
              <w:rPr>
                <w:sz w:val="20"/>
                <w:szCs w:val="20"/>
                <w:color w:val="auto"/>
              </w:rPr>
            </w:pPr>
            <w:r>
              <w:rPr>
                <w:rFonts w:ascii="Arial" w:cs="Arial" w:eastAsia="Arial" w:hAnsi="Arial"/>
                <w:sz w:val="23"/>
                <w:szCs w:val="23"/>
                <w:b w:val="1"/>
                <w:bCs w:val="1"/>
                <w:color w:val="FFFFFF"/>
              </w:rPr>
              <w:t>AbbVie’s Relative TSR Performance</w:t>
            </w:r>
          </w:p>
        </w:tc>
        <w:tc>
          <w:tcPr>
            <w:tcW w:w="2320" w:type="dxa"/>
            <w:vAlign w:val="bottom"/>
            <w:shd w:val="clear" w:color="auto" w:fill="071D49"/>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00" w:type="dxa"/>
            <w:vAlign w:val="bottom"/>
            <w:gridSpan w:val="6"/>
          </w:tcPr>
          <w:p>
            <w:pPr>
              <w:ind w:left="880"/>
              <w:spacing w:after="0"/>
              <w:rPr>
                <w:sz w:val="20"/>
                <w:szCs w:val="20"/>
                <w:color w:val="auto"/>
              </w:rPr>
            </w:pPr>
            <w:r>
              <w:rPr>
                <w:rFonts w:ascii="Arial" w:cs="Arial" w:eastAsia="Arial" w:hAnsi="Arial"/>
                <w:sz w:val="17"/>
                <w:szCs w:val="17"/>
                <w:b w:val="1"/>
                <w:bCs w:val="1"/>
                <w:color w:val="auto"/>
              </w:rPr>
              <w:t>Versus Peer Group (Multi-Year)</w:t>
            </w:r>
          </w:p>
        </w:tc>
        <w:tc>
          <w:tcPr>
            <w:tcW w:w="4640" w:type="dxa"/>
            <w:vAlign w:val="bottom"/>
            <w:gridSpan w:val="2"/>
          </w:tcPr>
          <w:p>
            <w:pPr>
              <w:ind w:left="1240"/>
              <w:spacing w:after="0"/>
              <w:rPr>
                <w:sz w:val="20"/>
                <w:szCs w:val="20"/>
                <w:color w:val="auto"/>
              </w:rPr>
            </w:pPr>
            <w:r>
              <w:rPr>
                <w:rFonts w:ascii="Arial" w:cs="Arial" w:eastAsia="Arial" w:hAnsi="Arial"/>
                <w:sz w:val="17"/>
                <w:szCs w:val="17"/>
                <w:b w:val="1"/>
                <w:bCs w:val="1"/>
                <w:color w:val="auto"/>
              </w:rPr>
              <w:t>Versus Select Indices (10-Year)</w:t>
            </w:r>
          </w:p>
        </w:tc>
        <w:tc>
          <w:tcPr>
            <w:tcW w:w="0" w:type="dxa"/>
            <w:vAlign w:val="bottom"/>
          </w:tcPr>
          <w:p>
            <w:pPr>
              <w:spacing w:after="0"/>
              <w:rPr>
                <w:sz w:val="1"/>
                <w:szCs w:val="1"/>
                <w:color w:val="auto"/>
              </w:rPr>
            </w:pPr>
          </w:p>
        </w:tc>
      </w:tr>
      <w:tr>
        <w:trPr>
          <w:trHeight w:val="76"/>
        </w:trPr>
        <w:tc>
          <w:tcPr>
            <w:tcW w:w="2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Borders>
              <w:right w:val="single" w:sz="8" w:color="071D49"/>
            </w:tcBorders>
          </w:tcPr>
          <w:p>
            <w:pPr>
              <w:spacing w:after="0"/>
              <w:rPr>
                <w:sz w:val="21"/>
                <w:szCs w:val="21"/>
                <w:color w:val="auto"/>
              </w:rPr>
            </w:pPr>
          </w:p>
        </w:tc>
        <w:tc>
          <w:tcPr>
            <w:tcW w:w="2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120" w:type="dxa"/>
            <w:vAlign w:val="bottom"/>
            <w:shd w:val="clear" w:color="auto" w:fill="071D49"/>
          </w:tcPr>
          <w:p>
            <w:pPr>
              <w:spacing w:after="0"/>
              <w:rPr>
                <w:sz w:val="16"/>
                <w:szCs w:val="16"/>
                <w:color w:val="auto"/>
              </w:rPr>
            </w:pPr>
          </w:p>
        </w:tc>
        <w:tc>
          <w:tcPr>
            <w:tcW w:w="160" w:type="dxa"/>
            <w:vAlign w:val="bottom"/>
            <w:tcBorders>
              <w:right w:val="single" w:sz="8" w:color="BFBFBF"/>
            </w:tcBorders>
            <w:shd w:val="clear" w:color="auto" w:fill="BFBFBF"/>
          </w:tcPr>
          <w:p>
            <w:pPr>
              <w:spacing w:after="0"/>
              <w:rPr>
                <w:sz w:val="16"/>
                <w:szCs w:val="16"/>
                <w:color w:val="auto"/>
              </w:rPr>
            </w:pPr>
          </w:p>
        </w:tc>
        <w:tc>
          <w:tcPr>
            <w:tcW w:w="11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9"/>
        </w:trPr>
        <w:tc>
          <w:tcPr>
            <w:tcW w:w="20" w:type="dxa"/>
            <w:vAlign w:val="bottom"/>
            <w:vMerge w:val="continue"/>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7"/>
                <w:szCs w:val="27"/>
                <w:b w:val="1"/>
                <w:bCs w:val="1"/>
                <w:color w:val="071D49"/>
              </w:rPr>
              <w:t>6</w:t>
            </w:r>
            <w:r>
              <w:rPr>
                <w:rFonts w:ascii="Arial" w:cs="Arial" w:eastAsia="Arial" w:hAnsi="Arial"/>
                <w:sz w:val="40"/>
                <w:szCs w:val="40"/>
                <w:b w:val="1"/>
                <w:bCs w:val="1"/>
                <w:color w:val="071D49"/>
                <w:vertAlign w:val="superscript"/>
              </w:rPr>
              <w:t>th</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3 Years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071D49"/>
            </w:tcBorders>
          </w:tcPr>
          <w:p>
            <w:pPr>
              <w:spacing w:after="0"/>
              <w:rPr>
                <w:sz w:val="20"/>
                <w:szCs w:val="20"/>
                <w:color w:val="auto"/>
              </w:rPr>
            </w:pPr>
          </w:p>
        </w:tc>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280" w:type="dxa"/>
            <w:vAlign w:val="bottom"/>
            <w:tcBorders>
              <w:right w:val="single" w:sz="8" w:color="071D49"/>
            </w:tcBorders>
            <w:gridSpan w:val="2"/>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9"/>
        </w:trPr>
        <w:tc>
          <w:tcPr>
            <w:tcW w:w="20" w:type="dxa"/>
            <w:vAlign w:val="bottom"/>
            <w:vMerge w:val="continue"/>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5 Years</w:t>
            </w: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right w:val="single" w:sz="8" w:color="071D49"/>
            </w:tcBorders>
          </w:tcPr>
          <w:p>
            <w:pPr>
              <w:spacing w:after="0"/>
              <w:rPr>
                <w:sz w:val="20"/>
                <w:szCs w:val="20"/>
                <w:color w:val="auto"/>
              </w:rPr>
            </w:pPr>
          </w:p>
        </w:tc>
        <w:tc>
          <w:tcPr>
            <w:tcW w:w="23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280" w:type="dxa"/>
            <w:vAlign w:val="bottom"/>
            <w:tcBorders>
              <w:right w:val="single" w:sz="8" w:color="071D49"/>
            </w:tcBorders>
            <w:gridSpan w:val="2"/>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02060"/>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0" w:type="dxa"/>
            <w:vAlign w:val="bottom"/>
            <w:vMerge w:val="continue"/>
          </w:tcPr>
          <w:p>
            <w:pPr>
              <w:spacing w:after="0"/>
              <w:rPr>
                <w:sz w:val="24"/>
                <w:szCs w:val="24"/>
                <w:color w:val="auto"/>
              </w:rPr>
            </w:pPr>
          </w:p>
        </w:tc>
        <w:tc>
          <w:tcPr>
            <w:tcW w:w="2280" w:type="dxa"/>
            <w:vAlign w:val="bottom"/>
            <w:gridSpan w:val="2"/>
          </w:tcPr>
          <w:p>
            <w:pPr>
              <w:spacing w:after="0" w:line="374" w:lineRule="exact"/>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10 Years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280" w:type="dxa"/>
            <w:vAlign w:val="bottom"/>
            <w:tcBorders>
              <w:right w:val="single" w:sz="8" w:color="071D49"/>
            </w:tcBorders>
            <w:gridSpan w:val="2"/>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0" w:type="dxa"/>
            <w:vAlign w:val="bottom"/>
            <w:vMerge w:val="continue"/>
          </w:tcPr>
          <w:p>
            <w:pPr>
              <w:spacing w:after="0"/>
              <w:rPr>
                <w:sz w:val="24"/>
                <w:szCs w:val="24"/>
                <w:color w:val="auto"/>
              </w:rPr>
            </w:pPr>
          </w:p>
        </w:tc>
        <w:tc>
          <w:tcPr>
            <w:tcW w:w="2280" w:type="dxa"/>
            <w:vAlign w:val="bottom"/>
            <w:gridSpan w:val="2"/>
          </w:tcPr>
          <w:p>
            <w:pPr>
              <w:spacing w:after="0" w:line="374" w:lineRule="exact"/>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-356870</wp:posOffset>
            </wp:positionV>
            <wp:extent cx="15875" cy="119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-356870</wp:posOffset>
            </wp:positionV>
            <wp:extent cx="15875" cy="119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-356870</wp:posOffset>
            </wp:positionV>
            <wp:extent cx="15875" cy="119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-356870</wp:posOffset>
            </wp:positionV>
            <wp:extent cx="15875" cy="119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-356870</wp:posOffset>
            </wp:positionV>
            <wp:extent cx="15875" cy="1193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-356870</wp:posOffset>
            </wp:positionV>
            <wp:extent cx="15875" cy="1193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-356870</wp:posOffset>
            </wp:positionV>
            <wp:extent cx="15875" cy="119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-356870</wp:posOffset>
            </wp:positionV>
            <wp:extent cx="15875" cy="119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-356870</wp:posOffset>
            </wp:positionV>
            <wp:extent cx="15875" cy="119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-968375</wp:posOffset>
            </wp:positionV>
            <wp:extent cx="15875" cy="119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-968375</wp:posOffset>
            </wp:positionV>
            <wp:extent cx="15875" cy="119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-968375</wp:posOffset>
            </wp:positionV>
            <wp:extent cx="15875" cy="119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-968375</wp:posOffset>
            </wp:positionV>
            <wp:extent cx="15875" cy="119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-968375</wp:posOffset>
            </wp:positionV>
            <wp:extent cx="15875" cy="119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-968375</wp:posOffset>
            </wp:positionV>
            <wp:extent cx="15875" cy="119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-968375</wp:posOffset>
            </wp:positionV>
            <wp:extent cx="15875" cy="119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-968375</wp:posOffset>
            </wp:positionV>
            <wp:extent cx="15875" cy="119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-968375</wp:posOffset>
            </wp:positionV>
            <wp:extent cx="15875" cy="119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-1564640</wp:posOffset>
            </wp:positionV>
            <wp:extent cx="15875" cy="119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-1564640</wp:posOffset>
            </wp:positionV>
            <wp:extent cx="15875" cy="119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-1564640</wp:posOffset>
            </wp:positionV>
            <wp:extent cx="15875" cy="119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-1564640</wp:posOffset>
            </wp:positionV>
            <wp:extent cx="15875" cy="1193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-1564640</wp:posOffset>
            </wp:positionV>
            <wp:extent cx="15875" cy="119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-1564640</wp:posOffset>
            </wp:positionV>
            <wp:extent cx="15875" cy="119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-1564640</wp:posOffset>
            </wp:positionV>
            <wp:extent cx="15875" cy="119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-1564640</wp:posOffset>
            </wp:positionV>
            <wp:extent cx="15875" cy="1193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-1564640</wp:posOffset>
            </wp:positionV>
            <wp:extent cx="15875" cy="119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-2160270</wp:posOffset>
            </wp:positionV>
            <wp:extent cx="15875" cy="119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-2160270</wp:posOffset>
            </wp:positionV>
            <wp:extent cx="15875" cy="1193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-2160270</wp:posOffset>
            </wp:positionV>
            <wp:extent cx="15875" cy="11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-2160270</wp:posOffset>
            </wp:positionV>
            <wp:extent cx="15875" cy="1193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-2160270</wp:posOffset>
            </wp:positionV>
            <wp:extent cx="15875" cy="119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1081405</wp:posOffset>
            </wp:positionH>
            <wp:positionV relativeFrom="paragraph">
              <wp:posOffset>-2160270</wp:posOffset>
            </wp:positionV>
            <wp:extent cx="15875" cy="1193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-2160270</wp:posOffset>
            </wp:positionV>
            <wp:extent cx="15875" cy="1193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-2160270</wp:posOffset>
            </wp:positionV>
            <wp:extent cx="15875" cy="1193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-2160270</wp:posOffset>
            </wp:positionV>
            <wp:extent cx="15875" cy="1193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-2160270</wp:posOffset>
            </wp:positionV>
            <wp:extent cx="15875" cy="119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875" cy="119380"/>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-2072640</wp:posOffset>
            </wp:positionV>
            <wp:extent cx="2287905" cy="1811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87905" cy="1811655"/>
                    </a:xfrm>
                    <a:prstGeom prst="rect">
                      <a:avLst/>
                    </a:prstGeom>
                    <a:noFill/>
                  </pic:spPr>
                </pic:pic>
              </a:graphicData>
            </a:graphic>
          </wp:anchor>
        </w:drawing>
      </w:r>
    </w:p>
    <w:p>
      <w:pPr>
        <w:spacing w:after="0" w:line="83" w:lineRule="exact"/>
        <w:rPr>
          <w:sz w:val="20"/>
          <w:szCs w:val="20"/>
          <w:color w:val="auto"/>
        </w:rPr>
      </w:pPr>
    </w:p>
    <w:p>
      <w:pPr>
        <w:ind w:right="320"/>
        <w:spacing w:after="0" w:line="284" w:lineRule="auto"/>
        <w:rPr>
          <w:sz w:val="20"/>
          <w:szCs w:val="20"/>
          <w:color w:val="auto"/>
        </w:rPr>
      </w:pPr>
      <w:r>
        <w:rPr>
          <w:rFonts w:ascii="Arial" w:cs="Arial" w:eastAsia="Arial" w:hAnsi="Arial"/>
          <w:sz w:val="13"/>
          <w:szCs w:val="13"/>
          <w:b w:val="1"/>
          <w:bCs w:val="1"/>
          <w:color w:val="auto"/>
        </w:rPr>
        <w:t xml:space="preserve">AbbVie’s peer group above includes: </w:t>
      </w:r>
      <w:r>
        <w:rPr>
          <w:rFonts w:ascii="Arial" w:cs="Arial" w:eastAsia="Arial" w:hAnsi="Arial"/>
          <w:sz w:val="13"/>
          <w:szCs w:val="13"/>
          <w:color w:val="auto"/>
        </w:rPr>
        <w:t>Amgen, Inc; Bristol-Myers Squibb Company; Eli Lilly and Company; Gilead Sciences, Inc.; GlaxoSmithKline plc;</w:t>
      </w:r>
      <w:r>
        <w:rPr>
          <w:rFonts w:ascii="Arial" w:cs="Arial" w:eastAsia="Arial" w:hAnsi="Arial"/>
          <w:sz w:val="13"/>
          <w:szCs w:val="13"/>
          <w:b w:val="1"/>
          <w:bCs w:val="1"/>
          <w:color w:val="auto"/>
        </w:rPr>
        <w:t xml:space="preserve"> </w:t>
      </w:r>
      <w:r>
        <w:rPr>
          <w:rFonts w:ascii="Arial" w:cs="Arial" w:eastAsia="Arial" w:hAnsi="Arial"/>
          <w:sz w:val="13"/>
          <w:szCs w:val="13"/>
          <w:color w:val="auto"/>
        </w:rPr>
        <w:t>Johnson &amp; Johnson; Merck &amp; Company, Inc; Novartis AG; and Pfizer Inc. TSR measured as of 12/31/23.</w:t>
      </w:r>
    </w:p>
    <w:p>
      <w:pPr>
        <w:spacing w:after="0" w:line="333" w:lineRule="exact"/>
        <w:rPr>
          <w:sz w:val="20"/>
          <w:szCs w:val="20"/>
          <w:color w:val="auto"/>
        </w:rPr>
      </w:pPr>
    </w:p>
    <w:p>
      <w:pPr>
        <w:spacing w:after="0"/>
        <w:tabs>
          <w:tab w:leader="none" w:pos="256" w:val="left"/>
          <w:tab w:leader="none" w:pos="2060" w:val="left"/>
        </w:tabs>
        <w:rPr>
          <w:sz w:val="20"/>
          <w:szCs w:val="20"/>
          <w:color w:val="auto"/>
        </w:rPr>
      </w:pPr>
      <w:r>
        <w:rPr>
          <w:rFonts w:ascii="Arial" w:cs="Arial" w:eastAsia="Arial" w:hAnsi="Arial"/>
          <w:sz w:val="17"/>
          <w:szCs w:val="17"/>
          <w:color w:val="auto"/>
        </w:rPr>
        <w:t>4</w:t>
      </w:r>
      <w:r>
        <w:rPr>
          <w:sz w:val="20"/>
          <w:szCs w:val="20"/>
          <w:color w:val="auto"/>
        </w:rPr>
        <w:tab/>
      </w:r>
      <w:r>
        <w:rPr>
          <w:sz w:val="1"/>
          <w:szCs w:val="1"/>
          <w:color w:val="auto"/>
        </w:rPr>
        <w:drawing>
          <wp:inline distT="0" distB="0" distL="0" distR="0">
            <wp:extent cx="810260" cy="1511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20" w:top="486" w:right="1319" w:bottom="1440" w:gutter="0" w:footer="0" w:header="0"/>
        </w:sectPr>
      </w:pPr>
    </w:p>
    <w:bookmarkStart w:id="7" w:name="page8"/>
    <w:bookmarkEnd w:id="7"/>
    <w:p>
      <w:pPr>
        <w:ind w:left="6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7840"/>
        <w:spacing w:after="0"/>
        <w:rPr>
          <w:sz w:val="20"/>
          <w:szCs w:val="20"/>
          <w:color w:val="auto"/>
        </w:rPr>
      </w:pPr>
      <w:r>
        <w:rPr>
          <w:rFonts w:ascii="Arial" w:cs="Arial" w:eastAsia="Arial" w:hAnsi="Arial"/>
          <w:sz w:val="16"/>
          <w:szCs w:val="16"/>
          <w:color w:val="808080"/>
        </w:rPr>
        <w:t>PROXY SUMMARY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30"/>
          <w:szCs w:val="30"/>
          <w:color w:val="auto"/>
        </w:rPr>
        <w:t>Our Governance Highlights</w:t>
      </w:r>
    </w:p>
    <w:p>
      <w:pPr>
        <w:spacing w:after="0" w:line="178" w:lineRule="exact"/>
        <w:rPr>
          <w:sz w:val="20"/>
          <w:szCs w:val="20"/>
          <w:color w:val="auto"/>
        </w:rPr>
      </w:pPr>
    </w:p>
    <w:p>
      <w:pPr>
        <w:ind w:left="60" w:right="40"/>
        <w:spacing w:after="0" w:line="252" w:lineRule="auto"/>
        <w:rPr>
          <w:sz w:val="20"/>
          <w:szCs w:val="20"/>
          <w:color w:val="auto"/>
        </w:rPr>
      </w:pPr>
      <w:r>
        <w:rPr>
          <w:rFonts w:ascii="Arial" w:cs="Arial" w:eastAsia="Arial" w:hAnsi="Arial"/>
          <w:sz w:val="16"/>
          <w:szCs w:val="16"/>
          <w:color w:val="auto"/>
        </w:rPr>
        <w:t>Our board of directors is committed to strong corporate governance tailored to meet the needs of AbbVie and its stockholders to enhance long-term stockholder value. Each year, AbbVie completes a robust investor engagement program with governance investment teams. Our engagements in 2023 included discussions on (1) AbbVie’s board composition and board succession planning, (2) the board’s management succession process, (3) AbbVie’s processes and disclosures related to its political expenditures and lobbying activities, (4) AbbVie’s executive compensation programs, (5) AbbVie’s responsiveness to shareholder proposals, and (6) AbbVie’s environmental, social, and governance (ESG) strategy and initiatives. AbbVie also engages each year with each of its stockholders who submit proposals for the annual meeting.</w:t>
      </w:r>
    </w:p>
    <w:p>
      <w:pPr>
        <w:spacing w:after="0" w:line="124" w:lineRule="exact"/>
        <w:rPr>
          <w:sz w:val="20"/>
          <w:szCs w:val="20"/>
          <w:color w:val="auto"/>
        </w:rPr>
      </w:pPr>
    </w:p>
    <w:p>
      <w:pPr>
        <w:ind w:left="60"/>
        <w:spacing w:after="0" w:line="246" w:lineRule="auto"/>
        <w:rPr>
          <w:sz w:val="20"/>
          <w:szCs w:val="20"/>
          <w:color w:val="auto"/>
        </w:rPr>
      </w:pPr>
      <w:r>
        <w:rPr>
          <w:rFonts w:ascii="Arial" w:cs="Arial" w:eastAsia="Arial" w:hAnsi="Arial"/>
          <w:sz w:val="17"/>
          <w:szCs w:val="17"/>
          <w:color w:val="auto"/>
        </w:rPr>
        <w:t>Each year, the board reviews feedback from our investor engagements and discusses opportunities to improve AbbVie’s governance practices. The following chart summarizes some of the governance practices that the board has adopted over the past several years as a result of dialogue with our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tcPr>
          <w:p>
            <w:pPr>
              <w:ind w:left="140"/>
              <w:spacing w:after="0"/>
              <w:rPr>
                <w:sz w:val="20"/>
                <w:szCs w:val="20"/>
                <w:color w:val="auto"/>
              </w:rPr>
            </w:pPr>
            <w:r>
              <w:rPr>
                <w:rFonts w:ascii="Arial" w:cs="Arial" w:eastAsia="Arial" w:hAnsi="Arial"/>
                <w:sz w:val="20"/>
                <w:szCs w:val="20"/>
                <w:b w:val="1"/>
                <w:bCs w:val="1"/>
                <w:color w:val="auto"/>
              </w:rPr>
              <w:t>Topic:</w:t>
            </w:r>
          </w:p>
        </w:tc>
        <w:tc>
          <w:tcPr>
            <w:tcW w:w="7440" w:type="dxa"/>
            <w:vAlign w:val="bottom"/>
          </w:tcPr>
          <w:p>
            <w:pPr>
              <w:ind w:left="140"/>
              <w:spacing w:after="0"/>
              <w:rPr>
                <w:sz w:val="20"/>
                <w:szCs w:val="20"/>
                <w:color w:val="auto"/>
              </w:rPr>
            </w:pPr>
            <w:r>
              <w:rPr>
                <w:rFonts w:ascii="Arial" w:cs="Arial" w:eastAsia="Arial" w:hAnsi="Arial"/>
                <w:sz w:val="20"/>
                <w:szCs w:val="20"/>
                <w:b w:val="1"/>
                <w:bCs w:val="1"/>
                <w:color w:val="auto"/>
              </w:rPr>
              <w:t>Actions taken by our board: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00" w:type="dxa"/>
            <w:vAlign w:val="bottom"/>
            <w:tcBorders>
              <w:bottom w:val="single" w:sz="8" w:color="071D49"/>
              <w:right w:val="single" w:sz="8" w:color="071D49"/>
            </w:tcBorders>
            <w:shd w:val="clear" w:color="auto" w:fill="071D49"/>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Borders>
              <w:bottom w:val="single" w:sz="8" w:color="071D49"/>
              <w:right w:val="single" w:sz="8" w:color="071D49"/>
            </w:tcBorders>
          </w:tcPr>
          <w:p>
            <w:pPr>
              <w:spacing w:after="0"/>
              <w:rPr>
                <w:sz w:val="4"/>
                <w:szCs w:val="4"/>
                <w:color w:val="auto"/>
              </w:rPr>
            </w:pPr>
          </w:p>
        </w:tc>
        <w:tc>
          <w:tcPr>
            <w:tcW w:w="7440" w:type="dxa"/>
            <w:vAlign w:val="bottom"/>
            <w:tcBorders>
              <w:bottom w:val="single" w:sz="8" w:color="071D49"/>
            </w:tcBorders>
          </w:tcPr>
          <w:p>
            <w:pPr>
              <w:spacing w:after="0"/>
              <w:rPr>
                <w:sz w:val="4"/>
                <w:szCs w:val="4"/>
                <w:color w:val="auto"/>
              </w:rPr>
            </w:pPr>
          </w:p>
        </w:tc>
        <w:tc>
          <w:tcPr>
            <w:tcW w:w="80" w:type="dxa"/>
            <w:vAlign w:val="bottom"/>
            <w:tcBorders>
              <w:bottom w:val="single" w:sz="8" w:color="071D49"/>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tcPr>
          <w:p>
            <w:pPr>
              <w:spacing w:after="0"/>
              <w:rPr>
                <w:sz w:val="24"/>
                <w:szCs w:val="24"/>
                <w:color w:val="auto"/>
              </w:rPr>
            </w:pPr>
          </w:p>
        </w:tc>
        <w:tc>
          <w:tcPr>
            <w:tcW w:w="7440" w:type="dxa"/>
            <w:vAlign w:val="bottom"/>
          </w:tcPr>
          <w:p>
            <w:pPr>
              <w:ind w:left="140"/>
              <w:spacing w:after="0"/>
              <w:rPr>
                <w:sz w:val="20"/>
                <w:szCs w:val="20"/>
                <w:color w:val="auto"/>
              </w:rPr>
            </w:pPr>
            <w:r>
              <w:rPr>
                <w:rFonts w:ascii="Arial" w:cs="Arial" w:eastAsia="Arial" w:hAnsi="Arial"/>
                <w:sz w:val="16"/>
                <w:szCs w:val="16"/>
                <w:b w:val="1"/>
                <w:bCs w:val="1"/>
                <w:color w:val="auto"/>
              </w:rPr>
              <w:t xml:space="preserve">approved a management proposal to eliminate supermajority voting </w:t>
            </w:r>
            <w:r>
              <w:rPr>
                <w:rFonts w:ascii="Arial" w:cs="Arial" w:eastAsia="Arial" w:hAnsi="Arial"/>
                <w:sz w:val="16"/>
                <w:szCs w:val="16"/>
                <w:color w:val="auto"/>
              </w:rPr>
              <w:t>(Item 5) to seek stockholder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0" w:type="dxa"/>
            <w:vAlign w:val="bottom"/>
            <w:tcBorders>
              <w:right w:val="single" w:sz="8" w:color="071D49"/>
            </w:tcBorders>
            <w:shd w:val="clear" w:color="auto" w:fill="071D49"/>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8"/>
              </w:rPr>
              <w:t>Stockholder</w:t>
            </w:r>
          </w:p>
        </w:tc>
        <w:tc>
          <w:tcPr>
            <w:tcW w:w="7440" w:type="dxa"/>
            <w:vAlign w:val="bottom"/>
          </w:tcPr>
          <w:p>
            <w:pPr>
              <w:ind w:left="140"/>
              <w:spacing w:after="0"/>
              <w:rPr>
                <w:sz w:val="20"/>
                <w:szCs w:val="20"/>
                <w:color w:val="auto"/>
              </w:rPr>
            </w:pPr>
            <w:r>
              <w:rPr>
                <w:rFonts w:ascii="Arial" w:cs="Arial" w:eastAsia="Arial" w:hAnsi="Arial"/>
                <w:sz w:val="16"/>
                <w:szCs w:val="16"/>
                <w:color w:val="auto"/>
              </w:rPr>
              <w:t>approval to amend the company’s Amended and Restated Certificate of Incorporation to provide for a</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Voting Rights</w:t>
            </w:r>
          </w:p>
        </w:tc>
        <w:tc>
          <w:tcPr>
            <w:tcW w:w="7440" w:type="dxa"/>
            <w:vAlign w:val="bottom"/>
          </w:tcPr>
          <w:p>
            <w:pPr>
              <w:ind w:left="140"/>
              <w:spacing w:after="0" w:line="118" w:lineRule="exact"/>
              <w:rPr>
                <w:sz w:val="20"/>
                <w:szCs w:val="20"/>
                <w:color w:val="auto"/>
              </w:rPr>
            </w:pPr>
            <w:r>
              <w:rPr>
                <w:rFonts w:ascii="Arial" w:cs="Arial" w:eastAsia="Arial" w:hAnsi="Arial"/>
                <w:sz w:val="12"/>
                <w:szCs w:val="12"/>
                <w:color w:val="auto"/>
              </w:rPr>
              <w:t>simple majority of shares outstanding for all provisions previously subject to a supermajority provision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071D49"/>
            </w:tcBorders>
            <w:shd w:val="clear" w:color="auto" w:fill="071D49"/>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Borders>
              <w:right w:val="single" w:sz="8" w:color="071D49"/>
            </w:tcBorders>
            <w:vMerge w:val="continue"/>
          </w:tcPr>
          <w:p>
            <w:pPr>
              <w:spacing w:after="0"/>
              <w:rPr>
                <w:sz w:val="15"/>
                <w:szCs w:val="15"/>
                <w:color w:val="auto"/>
              </w:rPr>
            </w:pPr>
          </w:p>
        </w:tc>
        <w:tc>
          <w:tcPr>
            <w:tcW w:w="7540" w:type="dxa"/>
            <w:vAlign w:val="bottom"/>
            <w:gridSpan w:val="3"/>
          </w:tcPr>
          <w:p>
            <w:pPr>
              <w:ind w:left="140"/>
              <w:spacing w:after="0" w:line="175" w:lineRule="exact"/>
              <w:rPr>
                <w:sz w:val="20"/>
                <w:szCs w:val="20"/>
                <w:color w:val="auto"/>
              </w:rPr>
            </w:pPr>
            <w:r>
              <w:rPr>
                <w:rFonts w:ascii="Arial" w:cs="Arial" w:eastAsia="Arial" w:hAnsi="Arial"/>
                <w:sz w:val="16"/>
                <w:szCs w:val="16"/>
                <w:color w:val="auto"/>
                <w:w w:val="98"/>
              </w:rPr>
              <w:t>and previously submitted the same proposal from 2018 to 2023 as well as a declassification management</w:t>
            </w:r>
          </w:p>
        </w:tc>
        <w:tc>
          <w:tcPr>
            <w:tcW w:w="0" w:type="dxa"/>
            <w:vAlign w:val="bottom"/>
          </w:tcPr>
          <w:p>
            <w:pPr>
              <w:spacing w:after="0"/>
              <w:rPr>
                <w:sz w:val="1"/>
                <w:szCs w:val="1"/>
                <w:color w:val="auto"/>
              </w:rPr>
            </w:pPr>
          </w:p>
        </w:tc>
      </w:tr>
      <w:tr>
        <w:trPr>
          <w:trHeight w:val="207"/>
        </w:trPr>
        <w:tc>
          <w:tcPr>
            <w:tcW w:w="100" w:type="dxa"/>
            <w:vAlign w:val="bottom"/>
            <w:tcBorders>
              <w:right w:val="single" w:sz="8" w:color="071D49"/>
            </w:tcBorders>
            <w:shd w:val="clear" w:color="auto" w:fill="071D49"/>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071D49"/>
            </w:tcBorders>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6"/>
                <w:szCs w:val="16"/>
                <w:color w:val="auto"/>
              </w:rPr>
              <w:t>proposal from 2016 to 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Borders>
              <w:bottom w:val="single" w:sz="8" w:color="071D49"/>
              <w:right w:val="single" w:sz="8" w:color="071D49"/>
            </w:tcBorders>
            <w:shd w:val="clear" w:color="auto" w:fill="071D49"/>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Borders>
              <w:bottom w:val="single" w:sz="8" w:color="071D49"/>
              <w:right w:val="single" w:sz="8" w:color="071D49"/>
            </w:tcBorders>
          </w:tcPr>
          <w:p>
            <w:pPr>
              <w:spacing w:after="0"/>
              <w:rPr>
                <w:sz w:val="13"/>
                <w:szCs w:val="13"/>
                <w:color w:val="auto"/>
              </w:rPr>
            </w:pPr>
          </w:p>
        </w:tc>
        <w:tc>
          <w:tcPr>
            <w:tcW w:w="7520" w:type="dxa"/>
            <w:vAlign w:val="bottom"/>
            <w:tcBorders>
              <w:bottom w:val="single" w:sz="8" w:color="071D49"/>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8"/>
              </w:rPr>
              <w:t>Lead</w:t>
            </w:r>
          </w:p>
        </w:tc>
        <w:tc>
          <w:tcPr>
            <w:tcW w:w="7540" w:type="dxa"/>
            <w:vAlign w:val="bottom"/>
            <w:gridSpan w:val="3"/>
          </w:tcPr>
          <w:p>
            <w:pPr>
              <w:ind w:left="140"/>
              <w:spacing w:after="0"/>
              <w:rPr>
                <w:sz w:val="20"/>
                <w:szCs w:val="20"/>
                <w:color w:val="auto"/>
              </w:rPr>
            </w:pPr>
            <w:r>
              <w:rPr>
                <w:rFonts w:ascii="Arial" w:cs="Arial" w:eastAsia="Arial" w:hAnsi="Arial"/>
                <w:sz w:val="16"/>
                <w:szCs w:val="16"/>
                <w:b w:val="1"/>
                <w:bCs w:val="1"/>
                <w:color w:val="auto"/>
                <w:w w:val="98"/>
              </w:rPr>
              <w:t xml:space="preserve">significantly expanded disclosure on the lead independent director responsibilities </w:t>
            </w:r>
            <w:r>
              <w:rPr>
                <w:rFonts w:ascii="Arial" w:cs="Arial" w:eastAsia="Arial" w:hAnsi="Arial"/>
                <w:sz w:val="16"/>
                <w:szCs w:val="16"/>
                <w:color w:val="auto"/>
                <w:w w:val="98"/>
              </w:rPr>
              <w:t>in the 2018 and</w:t>
            </w:r>
          </w:p>
        </w:tc>
        <w:tc>
          <w:tcPr>
            <w:tcW w:w="0" w:type="dxa"/>
            <w:vAlign w:val="bottom"/>
          </w:tcPr>
          <w:p>
            <w:pPr>
              <w:spacing w:after="0"/>
              <w:rPr>
                <w:sz w:val="1"/>
                <w:szCs w:val="1"/>
                <w:color w:val="auto"/>
              </w:rPr>
            </w:pPr>
          </w:p>
        </w:tc>
      </w:tr>
      <w:tr>
        <w:trPr>
          <w:trHeight w:val="106"/>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vMerge w:val="continue"/>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auto"/>
                <w:w w:val="99"/>
              </w:rPr>
              <w:t>2019 proxy statements, to better inform our stockholders on the robust leadership that the role provides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00" w:type="dxa"/>
            <w:vAlign w:val="bottom"/>
            <w:tcBorders>
              <w:right w:val="single" w:sz="8" w:color="071D49"/>
            </w:tcBorders>
            <w:shd w:val="clear" w:color="auto" w:fill="071D49"/>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Borders>
              <w:right w:val="single" w:sz="8" w:color="071D49"/>
            </w:tcBorders>
            <w:vMerge w:val="restart"/>
          </w:tcPr>
          <w:p>
            <w:pPr>
              <w:jc w:val="center"/>
              <w:spacing w:after="0" w:line="226" w:lineRule="exact"/>
              <w:rPr>
                <w:sz w:val="20"/>
                <w:szCs w:val="20"/>
                <w:color w:val="auto"/>
              </w:rPr>
            </w:pPr>
            <w:r>
              <w:rPr>
                <w:rFonts w:ascii="Arial" w:cs="Arial" w:eastAsia="Arial" w:hAnsi="Arial"/>
                <w:sz w:val="20"/>
                <w:szCs w:val="20"/>
                <w:color w:val="auto"/>
              </w:rPr>
              <w:t>Independent</w:t>
            </w:r>
          </w:p>
        </w:tc>
        <w:tc>
          <w:tcPr>
            <w:tcW w:w="74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continue"/>
          </w:tcPr>
          <w:p>
            <w:pPr>
              <w:spacing w:after="0"/>
              <w:rPr>
                <w:sz w:val="10"/>
                <w:szCs w:val="10"/>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appointed the lead independent director to all committees </w:t>
            </w:r>
            <w:r>
              <w:rPr>
                <w:rFonts w:ascii="Arial" w:cs="Arial" w:eastAsia="Arial" w:hAnsi="Arial"/>
                <w:sz w:val="16"/>
                <w:szCs w:val="16"/>
                <w:color w:val="auto"/>
              </w:rPr>
              <w:t>in 2019, further strengthening his active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Director Role</w:t>
            </w:r>
          </w:p>
        </w:tc>
        <w:tc>
          <w:tcPr>
            <w:tcW w:w="7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071D49"/>
            </w:tcBorders>
            <w:shd w:val="clear" w:color="auto" w:fill="071D49"/>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Borders>
              <w:right w:val="single" w:sz="8" w:color="071D49"/>
            </w:tcBorders>
            <w:vMerge w:val="continue"/>
          </w:tcPr>
          <w:p>
            <w:pPr>
              <w:spacing w:after="0"/>
              <w:rPr>
                <w:sz w:val="12"/>
                <w:szCs w:val="12"/>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color w:val="auto"/>
              </w:rPr>
              <w:t>leadership role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00" w:type="dxa"/>
            <w:vAlign w:val="bottom"/>
            <w:tcBorders>
              <w:right w:val="single" w:sz="8" w:color="071D49"/>
            </w:tcBorders>
            <w:shd w:val="clear" w:color="auto" w:fill="071D49"/>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Borders>
              <w:right w:val="single" w:sz="8" w:color="071D49"/>
            </w:tcBorders>
          </w:tcPr>
          <w:p>
            <w:pPr>
              <w:spacing w:after="0"/>
              <w:rPr>
                <w:sz w:val="5"/>
                <w:szCs w:val="5"/>
                <w:color w:val="auto"/>
              </w:rPr>
            </w:pPr>
          </w:p>
        </w:tc>
        <w:tc>
          <w:tcPr>
            <w:tcW w:w="7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00" w:type="dxa"/>
            <w:vAlign w:val="bottom"/>
            <w:tcBorders>
              <w:bottom w:val="single" w:sz="8" w:color="071D49"/>
              <w:right w:val="single" w:sz="8" w:color="071D49"/>
            </w:tcBorders>
            <w:shd w:val="clear" w:color="auto" w:fill="071D49"/>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bottom w:val="single" w:sz="8" w:color="071D49"/>
              <w:right w:val="single" w:sz="8" w:color="071D49"/>
            </w:tcBorders>
          </w:tcPr>
          <w:p>
            <w:pPr>
              <w:spacing w:after="0"/>
              <w:rPr>
                <w:sz w:val="11"/>
                <w:szCs w:val="11"/>
                <w:color w:val="auto"/>
              </w:rPr>
            </w:pPr>
          </w:p>
        </w:tc>
        <w:tc>
          <w:tcPr>
            <w:tcW w:w="7440" w:type="dxa"/>
            <w:vAlign w:val="bottom"/>
            <w:tcBorders>
              <w:bottom w:val="single" w:sz="8" w:color="071D49"/>
            </w:tcBorders>
          </w:tcPr>
          <w:p>
            <w:pPr>
              <w:spacing w:after="0"/>
              <w:rPr>
                <w:sz w:val="11"/>
                <w:szCs w:val="11"/>
                <w:color w:val="auto"/>
              </w:rPr>
            </w:pPr>
          </w:p>
        </w:tc>
        <w:tc>
          <w:tcPr>
            <w:tcW w:w="80" w:type="dxa"/>
            <w:vAlign w:val="bottom"/>
            <w:tcBorders>
              <w:bottom w:val="single" w:sz="8" w:color="071D49"/>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tcPr>
          <w:p>
            <w:pPr>
              <w:spacing w:after="0"/>
              <w:rPr>
                <w:sz w:val="24"/>
                <w:szCs w:val="24"/>
                <w:color w:val="auto"/>
              </w:rPr>
            </w:pPr>
          </w:p>
        </w:tc>
        <w:tc>
          <w:tcPr>
            <w:tcW w:w="7440" w:type="dxa"/>
            <w:vAlign w:val="bottom"/>
          </w:tcPr>
          <w:p>
            <w:pPr>
              <w:ind w:left="140"/>
              <w:spacing w:after="0"/>
              <w:rPr>
                <w:sz w:val="20"/>
                <w:szCs w:val="20"/>
                <w:color w:val="auto"/>
              </w:rPr>
            </w:pPr>
            <w:r>
              <w:rPr>
                <w:rFonts w:ascii="Arial" w:cs="Arial" w:eastAsia="Arial" w:hAnsi="Arial"/>
                <w:sz w:val="16"/>
                <w:szCs w:val="16"/>
                <w:b w:val="1"/>
                <w:bCs w:val="1"/>
                <w:color w:val="auto"/>
              </w:rPr>
              <w:t>added two female directors in 2023</w:t>
            </w:r>
            <w:r>
              <w:rPr>
                <w:rFonts w:ascii="Arial" w:cs="Arial" w:eastAsia="Arial" w:hAnsi="Arial"/>
                <w:sz w:val="16"/>
                <w:szCs w:val="16"/>
                <w:color w:val="auto"/>
              </w:rPr>
              <w:t>, further strengthening the diversity of our board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Borders>
              <w:right w:val="single" w:sz="8" w:color="071D49"/>
            </w:tcBorders>
            <w:shd w:val="clear" w:color="auto" w:fill="071D49"/>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9"/>
              </w:rPr>
              <w:t>Board Skills &amp;</w:t>
            </w:r>
          </w:p>
        </w:tc>
        <w:tc>
          <w:tcPr>
            <w:tcW w:w="7440" w:type="dxa"/>
            <w:vAlign w:val="bottom"/>
          </w:tcPr>
          <w:p>
            <w:pPr>
              <w:ind w:left="140"/>
              <w:spacing w:after="0"/>
              <w:rPr>
                <w:sz w:val="20"/>
                <w:szCs w:val="20"/>
                <w:color w:val="auto"/>
              </w:rPr>
            </w:pPr>
            <w:r>
              <w:rPr>
                <w:rFonts w:ascii="Arial" w:cs="Arial" w:eastAsia="Arial" w:hAnsi="Arial"/>
                <w:sz w:val="16"/>
                <w:szCs w:val="16"/>
                <w:b w:val="1"/>
                <w:bCs w:val="1"/>
                <w:color w:val="auto"/>
              </w:rPr>
              <w:t xml:space="preserve">updated our director biographies </w:t>
            </w:r>
            <w:r>
              <w:rPr>
                <w:rFonts w:ascii="Arial" w:cs="Arial" w:eastAsia="Arial" w:hAnsi="Arial"/>
                <w:sz w:val="16"/>
                <w:szCs w:val="16"/>
                <w:color w:val="auto"/>
              </w:rPr>
              <w:t>in 2023 to include additional skills of interest to our stockholders,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071D49"/>
            </w:tcBorders>
            <w:shd w:val="clear" w:color="auto" w:fill="071D49"/>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Composition</w:t>
            </w:r>
          </w:p>
        </w:tc>
        <w:tc>
          <w:tcPr>
            <w:tcW w:w="7440" w:type="dxa"/>
            <w:vAlign w:val="bottom"/>
          </w:tcPr>
          <w:p>
            <w:pPr>
              <w:ind w:left="140"/>
              <w:spacing w:after="0"/>
              <w:rPr>
                <w:sz w:val="20"/>
                <w:szCs w:val="20"/>
                <w:color w:val="auto"/>
              </w:rPr>
            </w:pPr>
            <w:r>
              <w:rPr>
                <w:rFonts w:ascii="Arial" w:cs="Arial" w:eastAsia="Arial" w:hAnsi="Arial"/>
                <w:sz w:val="16"/>
                <w:szCs w:val="16"/>
                <w:color w:val="auto"/>
              </w:rPr>
              <w:t>such as cybersecurity experience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continue"/>
          </w:tcPr>
          <w:p>
            <w:pPr>
              <w:spacing w:after="0"/>
              <w:rPr>
                <w:sz w:val="10"/>
                <w:szCs w:val="10"/>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shared our board skills matrix </w:t>
            </w:r>
            <w:r>
              <w:rPr>
                <w:rFonts w:ascii="Arial" w:cs="Arial" w:eastAsia="Arial" w:hAnsi="Arial"/>
                <w:sz w:val="16"/>
                <w:szCs w:val="16"/>
                <w:color w:val="auto"/>
              </w:rPr>
              <w:t>beginning in 2016 and updated the matrix with additional skills in this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tcPr>
          <w:p>
            <w:pPr>
              <w:spacing w:after="0"/>
              <w:rPr>
                <w:sz w:val="9"/>
                <w:szCs w:val="9"/>
                <w:color w:val="auto"/>
              </w:rPr>
            </w:pPr>
          </w:p>
        </w:tc>
        <w:tc>
          <w:tcPr>
            <w:tcW w:w="7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071D49"/>
            </w:tcBorders>
            <w:shd w:val="clear" w:color="auto" w:fill="071D49"/>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071D49"/>
            </w:tcBorders>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6"/>
                <w:szCs w:val="16"/>
                <w:color w:val="auto"/>
              </w:rPr>
              <w:t>proxy statement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00" w:type="dxa"/>
            <w:vAlign w:val="bottom"/>
            <w:tcBorders>
              <w:bottom w:val="single" w:sz="8" w:color="071D49"/>
              <w:right w:val="single" w:sz="8" w:color="071D49"/>
            </w:tcBorders>
            <w:shd w:val="clear" w:color="auto" w:fill="071D49"/>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Borders>
              <w:bottom w:val="single" w:sz="8" w:color="071D49"/>
              <w:right w:val="single" w:sz="8" w:color="071D49"/>
            </w:tcBorders>
          </w:tcPr>
          <w:p>
            <w:pPr>
              <w:spacing w:after="0"/>
              <w:rPr>
                <w:sz w:val="8"/>
                <w:szCs w:val="8"/>
                <w:color w:val="auto"/>
              </w:rPr>
            </w:pPr>
          </w:p>
        </w:tc>
        <w:tc>
          <w:tcPr>
            <w:tcW w:w="7520" w:type="dxa"/>
            <w:vAlign w:val="bottom"/>
            <w:tcBorders>
              <w:bottom w:val="single" w:sz="8" w:color="071D49"/>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00" w:type="dxa"/>
            <w:vAlign w:val="bottom"/>
            <w:tcBorders>
              <w:right w:val="single" w:sz="8" w:color="071D49"/>
            </w:tcBorders>
            <w:shd w:val="clear" w:color="auto" w:fill="071D49"/>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Borders>
              <w:right w:val="single" w:sz="8" w:color="071D49"/>
            </w:tcBorders>
          </w:tcPr>
          <w:p>
            <w:pPr>
              <w:spacing w:after="0"/>
              <w:rPr>
                <w:sz w:val="22"/>
                <w:szCs w:val="22"/>
                <w:color w:val="auto"/>
              </w:rPr>
            </w:pPr>
          </w:p>
        </w:tc>
        <w:tc>
          <w:tcPr>
            <w:tcW w:w="7540" w:type="dxa"/>
            <w:vAlign w:val="bottom"/>
            <w:gridSpan w:val="3"/>
          </w:tcPr>
          <w:p>
            <w:pPr>
              <w:ind w:left="140"/>
              <w:spacing w:after="0"/>
              <w:rPr>
                <w:sz w:val="20"/>
                <w:szCs w:val="20"/>
                <w:color w:val="auto"/>
              </w:rPr>
            </w:pPr>
            <w:r>
              <w:rPr>
                <w:rFonts w:ascii="Arial" w:cs="Arial" w:eastAsia="Arial" w:hAnsi="Arial"/>
                <w:sz w:val="16"/>
                <w:szCs w:val="16"/>
                <w:b w:val="1"/>
                <w:bCs w:val="1"/>
                <w:color w:val="auto"/>
                <w:w w:val="98"/>
              </w:rPr>
              <w:t xml:space="preserve">amended our governance guidelines in 2023 </w:t>
            </w:r>
            <w:r>
              <w:rPr>
                <w:rFonts w:ascii="Arial" w:cs="Arial" w:eastAsia="Arial" w:hAnsi="Arial"/>
                <w:sz w:val="16"/>
                <w:szCs w:val="16"/>
                <w:color w:val="auto"/>
                <w:w w:val="98"/>
              </w:rPr>
              <w:t>to add specific limits on the number of other directorships</w:t>
            </w:r>
          </w:p>
        </w:tc>
        <w:tc>
          <w:tcPr>
            <w:tcW w:w="0" w:type="dxa"/>
            <w:vAlign w:val="bottom"/>
          </w:tcPr>
          <w:p>
            <w:pPr>
              <w:spacing w:after="0"/>
              <w:rPr>
                <w:sz w:val="1"/>
                <w:szCs w:val="1"/>
                <w:color w:val="auto"/>
              </w:rPr>
            </w:pPr>
          </w:p>
        </w:tc>
      </w:tr>
      <w:tr>
        <w:trPr>
          <w:trHeight w:val="207"/>
        </w:trPr>
        <w:tc>
          <w:tcPr>
            <w:tcW w:w="100" w:type="dxa"/>
            <w:vAlign w:val="bottom"/>
            <w:tcBorders>
              <w:right w:val="single" w:sz="8" w:color="071D49"/>
            </w:tcBorders>
            <w:shd w:val="clear" w:color="auto" w:fill="071D49"/>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071D49"/>
            </w:tcBorders>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6"/>
                <w:szCs w:val="16"/>
                <w:color w:val="auto"/>
              </w:rPr>
              <w:t>a director may hold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8"/>
              </w:rPr>
              <w:t>Environmental,</w:t>
            </w:r>
          </w:p>
        </w:tc>
        <w:tc>
          <w:tcPr>
            <w:tcW w:w="7440" w:type="dxa"/>
            <w:vAlign w:val="bottom"/>
          </w:tcPr>
          <w:p>
            <w:pPr>
              <w:ind w:left="140"/>
              <w:spacing w:after="0"/>
              <w:rPr>
                <w:sz w:val="20"/>
                <w:szCs w:val="20"/>
                <w:color w:val="auto"/>
              </w:rPr>
            </w:pPr>
            <w:r>
              <w:rPr>
                <w:rFonts w:ascii="Arial" w:cs="Arial" w:eastAsia="Arial" w:hAnsi="Arial"/>
                <w:sz w:val="16"/>
                <w:szCs w:val="16"/>
                <w:b w:val="1"/>
                <w:bCs w:val="1"/>
                <w:color w:val="auto"/>
              </w:rPr>
              <w:t xml:space="preserve">increased our disclosures on board risk oversight </w:t>
            </w:r>
            <w:r>
              <w:rPr>
                <w:rFonts w:ascii="Arial" w:cs="Arial" w:eastAsia="Arial" w:hAnsi="Arial"/>
                <w:sz w:val="16"/>
                <w:szCs w:val="16"/>
                <w:color w:val="auto"/>
              </w:rPr>
              <w:t>in 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0" w:type="dxa"/>
            <w:vAlign w:val="bottom"/>
            <w:tcBorders>
              <w:right w:val="single" w:sz="8" w:color="071D49"/>
            </w:tcBorders>
            <w:shd w:val="clear" w:color="auto" w:fill="071D49"/>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Borders>
              <w:right w:val="single" w:sz="8" w:color="071D49"/>
            </w:tcBorders>
            <w:vMerge w:val="continue"/>
          </w:tcPr>
          <w:p>
            <w:pPr>
              <w:spacing w:after="0"/>
              <w:rPr>
                <w:sz w:val="14"/>
                <w:szCs w:val="14"/>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8"/>
              </w:rPr>
              <w:t xml:space="preserve">enhanced our website disclosures on political contributions and lobbying </w:t>
            </w:r>
            <w:r>
              <w:rPr>
                <w:rFonts w:ascii="Arial" w:cs="Arial" w:eastAsia="Arial" w:hAnsi="Arial"/>
                <w:sz w:val="16"/>
                <w:szCs w:val="16"/>
                <w:color w:val="auto"/>
                <w:w w:val="98"/>
              </w:rPr>
              <w:t>in 2022, 2023, and 2024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vMerge w:val="restart"/>
          </w:tcPr>
          <w:p>
            <w:pPr>
              <w:jc w:val="center"/>
              <w:spacing w:after="0" w:line="226" w:lineRule="exact"/>
              <w:rPr>
                <w:sz w:val="20"/>
                <w:szCs w:val="20"/>
                <w:color w:val="auto"/>
              </w:rPr>
            </w:pPr>
            <w:r>
              <w:rPr>
                <w:rFonts w:ascii="Arial" w:cs="Arial" w:eastAsia="Arial" w:hAnsi="Arial"/>
                <w:sz w:val="20"/>
                <w:szCs w:val="20"/>
                <w:color w:val="auto"/>
              </w:rPr>
              <w:t>Social, and</w:t>
            </w:r>
          </w:p>
        </w:tc>
        <w:tc>
          <w:tcPr>
            <w:tcW w:w="7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continue"/>
          </w:tcPr>
          <w:p>
            <w:pPr>
              <w:spacing w:after="0"/>
              <w:rPr>
                <w:sz w:val="10"/>
                <w:szCs w:val="10"/>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expanded the discussion of board oversight of executive succession planning and company</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restart"/>
          </w:tcPr>
          <w:p>
            <w:pPr>
              <w:jc w:val="center"/>
              <w:spacing w:after="0" w:line="226" w:lineRule="exact"/>
              <w:rPr>
                <w:sz w:val="20"/>
                <w:szCs w:val="20"/>
                <w:color w:val="auto"/>
              </w:rPr>
            </w:pPr>
            <w:r>
              <w:rPr>
                <w:rFonts w:ascii="Arial" w:cs="Arial" w:eastAsia="Arial" w:hAnsi="Arial"/>
                <w:sz w:val="20"/>
                <w:szCs w:val="20"/>
                <w:color w:val="auto"/>
                <w:w w:val="99"/>
              </w:rPr>
              <w:t>Governance</w:t>
            </w:r>
          </w:p>
        </w:tc>
        <w:tc>
          <w:tcPr>
            <w:tcW w:w="7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vMerge w:val="continue"/>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culture </w:t>
            </w:r>
            <w:r>
              <w:rPr>
                <w:rFonts w:ascii="Arial" w:cs="Arial" w:eastAsia="Arial" w:hAnsi="Arial"/>
                <w:sz w:val="16"/>
                <w:szCs w:val="16"/>
                <w:color w:val="auto"/>
              </w:rPr>
              <w:t>in the 2022 proxy statement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vMerge w:val="restart"/>
          </w:tcPr>
          <w:p>
            <w:pPr>
              <w:jc w:val="center"/>
              <w:spacing w:after="0" w:line="226" w:lineRule="exact"/>
              <w:rPr>
                <w:sz w:val="20"/>
                <w:szCs w:val="20"/>
                <w:color w:val="auto"/>
              </w:rPr>
            </w:pPr>
            <w:r>
              <w:rPr>
                <w:rFonts w:ascii="Arial" w:cs="Arial" w:eastAsia="Arial" w:hAnsi="Arial"/>
                <w:sz w:val="20"/>
                <w:szCs w:val="20"/>
                <w:color w:val="auto"/>
              </w:rPr>
              <w:t>(ESG)</w:t>
            </w:r>
          </w:p>
        </w:tc>
        <w:tc>
          <w:tcPr>
            <w:tcW w:w="7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00" w:type="dxa"/>
            <w:vAlign w:val="bottom"/>
            <w:tcBorders>
              <w:right w:val="single" w:sz="8" w:color="071D49"/>
            </w:tcBorders>
            <w:shd w:val="clear" w:color="auto" w:fill="071D49"/>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Borders>
              <w:right w:val="single" w:sz="8" w:color="071D49"/>
            </w:tcBorders>
            <w:vMerge w:val="continue"/>
          </w:tcPr>
          <w:p>
            <w:pPr>
              <w:spacing w:after="0"/>
              <w:rPr>
                <w:sz w:val="10"/>
                <w:szCs w:val="10"/>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issued a TCFD aligned report</w:t>
            </w:r>
            <w:r>
              <w:rPr>
                <w:rFonts w:ascii="Arial" w:cs="Arial" w:eastAsia="Arial" w:hAnsi="Arial"/>
                <w:sz w:val="16"/>
                <w:szCs w:val="16"/>
                <w:color w:val="auto"/>
              </w:rPr>
              <w:t>, starting in 2022</w:t>
            </w:r>
            <w:r>
              <w:rPr>
                <w:rFonts w:ascii="Arial" w:cs="Arial" w:eastAsia="Arial" w:hAnsi="Arial"/>
                <w:sz w:val="16"/>
                <w:szCs w:val="16"/>
                <w:b w:val="1"/>
                <w:bCs w:val="1"/>
                <w:color w:val="auto"/>
              </w:rPr>
              <w:t xml:space="preserve"> and a SASB aligned report</w:t>
            </w:r>
            <w:r>
              <w:rPr>
                <w:rFonts w:ascii="Arial" w:cs="Arial" w:eastAsia="Arial" w:hAnsi="Arial"/>
                <w:sz w:val="16"/>
                <w:szCs w:val="16"/>
                <w:color w:val="auto"/>
              </w:rPr>
              <w:t>, starting in 2021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 w:type="dxa"/>
            <w:vAlign w:val="bottom"/>
            <w:tcBorders>
              <w:right w:val="single" w:sz="8" w:color="071D49"/>
            </w:tcBorders>
            <w:shd w:val="clear" w:color="auto" w:fill="071D49"/>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Disclosures</w:t>
            </w:r>
          </w:p>
        </w:tc>
        <w:tc>
          <w:tcPr>
            <w:tcW w:w="7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0" w:type="dxa"/>
            <w:vAlign w:val="bottom"/>
            <w:tcBorders>
              <w:right w:val="single" w:sz="8" w:color="071D49"/>
            </w:tcBorders>
            <w:shd w:val="clear" w:color="auto" w:fill="071D49"/>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right w:val="single" w:sz="8" w:color="071D49"/>
            </w:tcBorders>
            <w:vMerge w:val="continue"/>
          </w:tcPr>
          <w:p>
            <w:pPr>
              <w:spacing w:after="0"/>
              <w:rPr>
                <w:sz w:val="9"/>
                <w:szCs w:val="9"/>
                <w:color w:val="auto"/>
              </w:rPr>
            </w:pPr>
          </w:p>
        </w:tc>
        <w:tc>
          <w:tcPr>
            <w:tcW w:w="744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 xml:space="preserve">disclosed detailed data on the diversity of AbbVie’s U.S. workforce </w:t>
            </w:r>
            <w:r>
              <w:rPr>
                <w:rFonts w:ascii="Arial" w:cs="Arial" w:eastAsia="Arial" w:hAnsi="Arial"/>
                <w:sz w:val="16"/>
                <w:szCs w:val="16"/>
                <w:color w:val="auto"/>
              </w:rPr>
              <w:t>by publishing AbbVie’s EEO-1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00" w:type="dxa"/>
            <w:vAlign w:val="bottom"/>
            <w:tcBorders>
              <w:right w:val="single" w:sz="8" w:color="071D49"/>
            </w:tcBorders>
            <w:shd w:val="clear" w:color="auto" w:fill="071D49"/>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Borders>
              <w:right w:val="single" w:sz="8" w:color="071D49"/>
            </w:tcBorders>
          </w:tcPr>
          <w:p>
            <w:pPr>
              <w:spacing w:after="0"/>
              <w:rPr>
                <w:sz w:val="11"/>
                <w:szCs w:val="11"/>
                <w:color w:val="auto"/>
              </w:rPr>
            </w:pPr>
          </w:p>
        </w:tc>
        <w:tc>
          <w:tcPr>
            <w:tcW w:w="7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00" w:type="dxa"/>
            <w:vAlign w:val="bottom"/>
            <w:tcBorders>
              <w:right w:val="single" w:sz="8" w:color="071D49"/>
            </w:tcBorders>
            <w:shd w:val="clear" w:color="auto" w:fill="071D49"/>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right w:val="single" w:sz="8" w:color="071D49"/>
            </w:tcBorders>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6"/>
                <w:szCs w:val="16"/>
                <w:color w:val="auto"/>
              </w:rPr>
              <w:t>report on our website starting in 2020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0" w:type="dxa"/>
            <w:vAlign w:val="bottom"/>
            <w:tcBorders>
              <w:right w:val="single" w:sz="8" w:color="071D49"/>
            </w:tcBorders>
            <w:shd w:val="clear" w:color="auto" w:fill="071D49"/>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Borders>
              <w:right w:val="single" w:sz="8" w:color="071D49"/>
            </w:tcBorders>
          </w:tcPr>
          <w:p>
            <w:pPr>
              <w:spacing w:after="0"/>
              <w:rPr>
                <w:sz w:val="24"/>
                <w:szCs w:val="24"/>
                <w:color w:val="auto"/>
              </w:rPr>
            </w:pPr>
          </w:p>
        </w:tc>
        <w:tc>
          <w:tcPr>
            <w:tcW w:w="7440" w:type="dxa"/>
            <w:vAlign w:val="bottom"/>
          </w:tcPr>
          <w:p>
            <w:pPr>
              <w:ind w:left="140"/>
              <w:spacing w:after="0"/>
              <w:rPr>
                <w:sz w:val="20"/>
                <w:szCs w:val="20"/>
                <w:color w:val="auto"/>
              </w:rPr>
            </w:pPr>
            <w:r>
              <w:rPr>
                <w:rFonts w:ascii="Arial" w:cs="Arial" w:eastAsia="Arial" w:hAnsi="Arial"/>
                <w:sz w:val="16"/>
                <w:szCs w:val="16"/>
                <w:b w:val="1"/>
                <w:bCs w:val="1"/>
                <w:color w:val="auto"/>
              </w:rPr>
              <w:t>added board diversity data</w:t>
            </w:r>
            <w:r>
              <w:rPr>
                <w:rFonts w:ascii="Arial" w:cs="Arial" w:eastAsia="Arial" w:hAnsi="Arial"/>
                <w:sz w:val="16"/>
                <w:szCs w:val="16"/>
                <w:color w:val="auto"/>
              </w:rPr>
              <w:t>, starting in the 2019 proxy statement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0" w:type="dxa"/>
            <w:vAlign w:val="bottom"/>
            <w:tcBorders>
              <w:right w:val="single" w:sz="8" w:color="071D49"/>
            </w:tcBorders>
            <w:shd w:val="clear" w:color="auto" w:fill="071D49"/>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Borders>
              <w:right w:val="single" w:sz="8" w:color="071D49"/>
            </w:tcBorders>
          </w:tcPr>
          <w:p>
            <w:pPr>
              <w:spacing w:after="0"/>
              <w:rPr>
                <w:sz w:val="6"/>
                <w:szCs w:val="6"/>
                <w:color w:val="auto"/>
              </w:rPr>
            </w:pPr>
          </w:p>
        </w:tc>
        <w:tc>
          <w:tcPr>
            <w:tcW w:w="7440" w:type="dxa"/>
            <w:vAlign w:val="bottom"/>
            <w:vMerge w:val="restart"/>
          </w:tcPr>
          <w:p>
            <w:pPr>
              <w:ind w:left="380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706"/>
        </w:trPr>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-508000</wp:posOffset>
            </wp:positionV>
            <wp:extent cx="810260" cy="151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320"/>
          </w:cols>
          <w:pgMar w:left="1260" w:top="486" w:right="131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PROXY SUMMARY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Additional highlights of our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587883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p>
      <w:pPr>
        <w:spacing w:after="0" w:line="15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71D49"/>
        </w:rPr>
        <w:t>Director independence</w:t>
      </w:r>
    </w:p>
    <w:p>
      <w:pPr>
        <w:spacing w:after="0" w:line="92" w:lineRule="exact"/>
        <w:rPr>
          <w:sz w:val="20"/>
          <w:szCs w:val="20"/>
          <w:color w:val="auto"/>
        </w:rPr>
      </w:pPr>
    </w:p>
    <w:p>
      <w:pPr>
        <w:ind w:left="260" w:right="300" w:hanging="175"/>
        <w:spacing w:after="0" w:line="239" w:lineRule="auto"/>
        <w:tabs>
          <w:tab w:leader="none" w:pos="261" w:val="left"/>
        </w:tabs>
        <w:numPr>
          <w:ilvl w:val="0"/>
          <w:numId w:val="12"/>
        </w:numPr>
        <w:rPr>
          <w:rFonts w:ascii="MS PGothic" w:cs="MS PGothic" w:eastAsia="MS PGothic" w:hAnsi="MS PGothic"/>
          <w:sz w:val="17"/>
          <w:szCs w:val="17"/>
          <w:color w:val="071D49"/>
        </w:rPr>
      </w:pPr>
      <w:r>
        <w:rPr>
          <w:rFonts w:ascii="Arial" w:cs="Arial" w:eastAsia="Arial" w:hAnsi="Arial"/>
          <w:sz w:val="17"/>
          <w:szCs w:val="17"/>
          <w:color w:val="auto"/>
        </w:rPr>
        <w:t>Twelve of AbbVie’s thirteen directors are independent and regularly meet in executive session</w:t>
      </w:r>
    </w:p>
    <w:p>
      <w:pPr>
        <w:ind w:left="260" w:right="60" w:hanging="175"/>
        <w:spacing w:after="0" w:line="235" w:lineRule="auto"/>
        <w:tabs>
          <w:tab w:leader="none" w:pos="264" w:val="left"/>
        </w:tabs>
        <w:numPr>
          <w:ilvl w:val="0"/>
          <w:numId w:val="12"/>
        </w:numPr>
        <w:rPr>
          <w:rFonts w:ascii="MS PGothic" w:cs="MS PGothic" w:eastAsia="MS PGothic" w:hAnsi="MS PGothic"/>
          <w:sz w:val="17"/>
          <w:szCs w:val="17"/>
          <w:color w:val="071D49"/>
        </w:rPr>
      </w:pPr>
      <w:r>
        <w:rPr>
          <w:rFonts w:ascii="Arial" w:cs="Arial" w:eastAsia="Arial" w:hAnsi="Arial"/>
          <w:sz w:val="17"/>
          <w:szCs w:val="17"/>
          <w:color w:val="auto"/>
        </w:rPr>
        <w:t>Since our inception, we have had a lead independent director with robust responsibilities</w:t>
      </w:r>
    </w:p>
    <w:p>
      <w:pPr>
        <w:spacing w:after="0" w:line="1" w:lineRule="exact"/>
        <w:rPr>
          <w:rFonts w:ascii="MS PGothic" w:cs="MS PGothic" w:eastAsia="MS PGothic" w:hAnsi="MS PGothic"/>
          <w:sz w:val="17"/>
          <w:szCs w:val="17"/>
          <w:color w:val="071D49"/>
        </w:rPr>
      </w:pPr>
    </w:p>
    <w:p>
      <w:pPr>
        <w:ind w:left="260" w:hanging="175"/>
        <w:spacing w:after="0" w:line="255" w:lineRule="auto"/>
        <w:tabs>
          <w:tab w:leader="none" w:pos="255" w:val="left"/>
        </w:tabs>
        <w:numPr>
          <w:ilvl w:val="0"/>
          <w:numId w:val="12"/>
        </w:numPr>
        <w:rPr>
          <w:rFonts w:ascii="MS PGothic" w:cs="MS PGothic" w:eastAsia="MS PGothic" w:hAnsi="MS PGothic"/>
          <w:sz w:val="16"/>
          <w:szCs w:val="16"/>
          <w:color w:val="071D49"/>
        </w:rPr>
      </w:pPr>
      <w:r>
        <w:rPr>
          <w:rFonts w:ascii="Arial" w:cs="Arial" w:eastAsia="Arial" w:hAnsi="Arial"/>
          <w:sz w:val="16"/>
          <w:szCs w:val="16"/>
          <w:color w:val="auto"/>
        </w:rPr>
        <w:t>All members of our audit, compensation, nominations and governance, and public policy and sustainability committees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182245</wp:posOffset>
            </wp:positionV>
            <wp:extent cx="18351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351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071D49"/>
        </w:rPr>
        <w:t>Stockholder rights</w:t>
      </w:r>
    </w:p>
    <w:p>
      <w:pPr>
        <w:spacing w:after="0" w:line="92" w:lineRule="exact"/>
        <w:rPr>
          <w:sz w:val="20"/>
          <w:szCs w:val="20"/>
          <w:color w:val="auto"/>
        </w:rPr>
      </w:pPr>
    </w:p>
    <w:p>
      <w:pPr>
        <w:ind w:left="187" w:right="120" w:hanging="187"/>
        <w:spacing w:after="0" w:line="247" w:lineRule="auto"/>
        <w:tabs>
          <w:tab w:leader="none" w:pos="182" w:val="left"/>
        </w:tabs>
        <w:numPr>
          <w:ilvl w:val="0"/>
          <w:numId w:val="13"/>
        </w:numPr>
        <w:rPr>
          <w:rFonts w:ascii="MS PGothic" w:cs="MS PGothic" w:eastAsia="MS PGothic" w:hAnsi="MS PGothic"/>
          <w:sz w:val="17"/>
          <w:szCs w:val="17"/>
          <w:color w:val="071D49"/>
        </w:rPr>
      </w:pPr>
      <w:r>
        <w:rPr>
          <w:rFonts w:ascii="Arial" w:cs="Arial" w:eastAsia="Arial" w:hAnsi="Arial"/>
          <w:sz w:val="17"/>
          <w:szCs w:val="17"/>
          <w:color w:val="auto"/>
        </w:rPr>
        <w:t>Adopted a proxy access By-Law provision for 3%/3 years</w:t>
      </w:r>
    </w:p>
    <w:p>
      <w:pPr>
        <w:spacing w:after="0" w:line="1" w:lineRule="exact"/>
        <w:rPr>
          <w:rFonts w:ascii="MS PGothic" w:cs="MS PGothic" w:eastAsia="MS PGothic" w:hAnsi="MS PGothic"/>
          <w:sz w:val="17"/>
          <w:szCs w:val="17"/>
          <w:color w:val="071D49"/>
        </w:rPr>
      </w:pPr>
    </w:p>
    <w:p>
      <w:pPr>
        <w:ind w:left="187" w:right="280" w:hanging="187"/>
        <w:spacing w:after="0" w:line="252" w:lineRule="auto"/>
        <w:tabs>
          <w:tab w:leader="none" w:pos="191" w:val="left"/>
        </w:tabs>
        <w:numPr>
          <w:ilvl w:val="0"/>
          <w:numId w:val="13"/>
        </w:numPr>
        <w:rPr>
          <w:rFonts w:ascii="MS PGothic" w:cs="MS PGothic" w:eastAsia="MS PGothic" w:hAnsi="MS PGothic"/>
          <w:sz w:val="16"/>
          <w:szCs w:val="16"/>
          <w:color w:val="071D49"/>
        </w:rPr>
      </w:pPr>
      <w:r>
        <w:rPr>
          <w:rFonts w:ascii="Arial" w:cs="Arial" w:eastAsia="Arial" w:hAnsi="Arial"/>
          <w:sz w:val="16"/>
          <w:szCs w:val="16"/>
          <w:color w:val="auto"/>
        </w:rPr>
        <w:t>We do not have a stockholder rights plan or “poison pill”</w:t>
      </w:r>
    </w:p>
    <w:p>
      <w:pPr>
        <w:spacing w:after="0" w:line="1" w:lineRule="exact"/>
        <w:rPr>
          <w:rFonts w:ascii="MS PGothic" w:cs="MS PGothic" w:eastAsia="MS PGothic" w:hAnsi="MS PGothic"/>
          <w:sz w:val="16"/>
          <w:szCs w:val="16"/>
          <w:color w:val="071D49"/>
        </w:rPr>
      </w:pPr>
    </w:p>
    <w:p>
      <w:pPr>
        <w:ind w:left="187" w:hanging="187"/>
        <w:spacing w:after="0" w:line="236" w:lineRule="auto"/>
        <w:tabs>
          <w:tab w:leader="none" w:pos="191" w:val="left"/>
        </w:tabs>
        <w:numPr>
          <w:ilvl w:val="0"/>
          <w:numId w:val="13"/>
        </w:numPr>
        <w:rPr>
          <w:rFonts w:ascii="MS PGothic" w:cs="MS PGothic" w:eastAsia="MS PGothic" w:hAnsi="MS PGothic"/>
          <w:sz w:val="17"/>
          <w:szCs w:val="17"/>
          <w:color w:val="071D49"/>
        </w:rPr>
      </w:pPr>
      <w:r>
        <w:rPr>
          <w:rFonts w:ascii="Arial" w:cs="Arial" w:eastAsia="Arial" w:hAnsi="Arial"/>
          <w:sz w:val="17"/>
          <w:szCs w:val="17"/>
          <w:color w:val="auto"/>
        </w:rPr>
        <w:t>Our directors are elected by a majority vote of our stockholders for uncontested elections, and we have a resignation policy if the director fails to receive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427990</wp:posOffset>
            </wp:positionV>
            <wp:extent cx="184340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71D49"/>
        </w:rPr>
        <w:t>Board and executive accountability</w:t>
      </w:r>
    </w:p>
    <w:p>
      <w:pPr>
        <w:spacing w:after="0" w:line="104" w:lineRule="exact"/>
        <w:rPr>
          <w:sz w:val="20"/>
          <w:szCs w:val="20"/>
          <w:color w:val="auto"/>
        </w:rPr>
      </w:pPr>
    </w:p>
    <w:p>
      <w:pPr>
        <w:ind w:left="187" w:right="160" w:hanging="187"/>
        <w:spacing w:after="0" w:line="239" w:lineRule="auto"/>
        <w:tabs>
          <w:tab w:leader="none" w:pos="191" w:val="left"/>
        </w:tabs>
        <w:numPr>
          <w:ilvl w:val="0"/>
          <w:numId w:val="14"/>
        </w:numPr>
        <w:rPr>
          <w:rFonts w:ascii="MS PGothic" w:cs="MS PGothic" w:eastAsia="MS PGothic" w:hAnsi="MS PGothic"/>
          <w:sz w:val="17"/>
          <w:szCs w:val="17"/>
          <w:color w:val="071D49"/>
        </w:rPr>
      </w:pPr>
      <w:r>
        <w:rPr>
          <w:rFonts w:ascii="Arial" w:cs="Arial" w:eastAsia="Arial" w:hAnsi="Arial"/>
          <w:sz w:val="17"/>
          <w:szCs w:val="17"/>
          <w:color w:val="071D49"/>
        </w:rPr>
        <w:t xml:space="preserve">Ongoing </w:t>
      </w:r>
      <w:r>
        <w:rPr>
          <w:rFonts w:ascii="Arial" w:cs="Arial" w:eastAsia="Arial" w:hAnsi="Arial"/>
          <w:sz w:val="17"/>
          <w:szCs w:val="17"/>
          <w:color w:val="000000"/>
        </w:rPr>
        <w:t>executive succession</w:t>
      </w:r>
      <w:r>
        <w:rPr>
          <w:rFonts w:ascii="Arial" w:cs="Arial" w:eastAsia="Arial" w:hAnsi="Arial"/>
          <w:sz w:val="17"/>
          <w:szCs w:val="17"/>
          <w:color w:val="071D49"/>
        </w:rPr>
        <w:t xml:space="preserve"> </w:t>
      </w:r>
      <w:r>
        <w:rPr>
          <w:rFonts w:ascii="Arial" w:cs="Arial" w:eastAsia="Arial" w:hAnsi="Arial"/>
          <w:sz w:val="17"/>
          <w:szCs w:val="17"/>
          <w:color w:val="000000"/>
        </w:rPr>
        <w:t>planning, including an assessment of the diversity of executive candidates</w:t>
      </w:r>
    </w:p>
    <w:p>
      <w:pPr>
        <w:ind w:left="187" w:right="120" w:hanging="187"/>
        <w:spacing w:after="0" w:line="235" w:lineRule="auto"/>
        <w:tabs>
          <w:tab w:leader="none" w:pos="191" w:val="left"/>
        </w:tabs>
        <w:numPr>
          <w:ilvl w:val="0"/>
          <w:numId w:val="14"/>
        </w:numPr>
        <w:rPr>
          <w:rFonts w:ascii="MS PGothic" w:cs="MS PGothic" w:eastAsia="MS PGothic" w:hAnsi="MS PGothic"/>
          <w:sz w:val="17"/>
          <w:szCs w:val="17"/>
          <w:color w:val="071D49"/>
        </w:rPr>
      </w:pPr>
      <w:r>
        <w:rPr>
          <w:rFonts w:ascii="Arial" w:cs="Arial" w:eastAsia="Arial" w:hAnsi="Arial"/>
          <w:sz w:val="17"/>
          <w:szCs w:val="17"/>
          <w:color w:val="auto"/>
        </w:rPr>
        <w:t>Minimum stock ownership guidelines are in place for the CEO and other NEOs</w:t>
      </w:r>
    </w:p>
    <w:p>
      <w:pPr>
        <w:spacing w:after="0" w:line="1" w:lineRule="exact"/>
        <w:rPr>
          <w:rFonts w:ascii="MS PGothic" w:cs="MS PGothic" w:eastAsia="MS PGothic" w:hAnsi="MS PGothic"/>
          <w:sz w:val="17"/>
          <w:szCs w:val="17"/>
          <w:color w:val="071D49"/>
        </w:rPr>
      </w:pPr>
    </w:p>
    <w:p>
      <w:pPr>
        <w:ind w:left="187" w:right="680" w:hanging="187"/>
        <w:spacing w:after="0" w:line="250" w:lineRule="auto"/>
        <w:tabs>
          <w:tab w:leader="none" w:pos="191" w:val="left"/>
        </w:tabs>
        <w:numPr>
          <w:ilvl w:val="0"/>
          <w:numId w:val="14"/>
        </w:numPr>
        <w:rPr>
          <w:rFonts w:ascii="MS PGothic" w:cs="MS PGothic" w:eastAsia="MS PGothic" w:hAnsi="MS PGothic"/>
          <w:sz w:val="16"/>
          <w:szCs w:val="16"/>
          <w:color w:val="071D49"/>
        </w:rPr>
      </w:pPr>
      <w:r>
        <w:rPr>
          <w:rFonts w:ascii="Arial" w:cs="Arial" w:eastAsia="Arial" w:hAnsi="Arial"/>
          <w:sz w:val="16"/>
          <w:szCs w:val="16"/>
          <w:color w:val="auto"/>
        </w:rPr>
        <w:t>We have a related person transaction policy to ensure appropriate oversight</w:t>
      </w:r>
    </w:p>
    <w:p>
      <w:pPr>
        <w:ind w:left="187" w:right="440" w:hanging="187"/>
        <w:spacing w:after="0" w:line="243" w:lineRule="auto"/>
        <w:tabs>
          <w:tab w:leader="none" w:pos="191" w:val="left"/>
        </w:tabs>
        <w:numPr>
          <w:ilvl w:val="0"/>
          <w:numId w:val="14"/>
        </w:numPr>
        <w:rPr>
          <w:rFonts w:ascii="MS PGothic" w:cs="MS PGothic" w:eastAsia="MS PGothic" w:hAnsi="MS PGothic"/>
          <w:sz w:val="17"/>
          <w:szCs w:val="17"/>
          <w:color w:val="071D49"/>
        </w:rPr>
      </w:pPr>
      <w:r>
        <w:rPr>
          <w:rFonts w:ascii="Arial" w:cs="Arial" w:eastAsia="Arial" w:hAnsi="Arial"/>
          <w:sz w:val="17"/>
          <w:szCs w:val="17"/>
          <w:color w:val="auto"/>
        </w:rPr>
        <w:t>We hold an annual say-on-pay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60325</wp:posOffset>
            </wp:positionV>
            <wp:extent cx="189865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9865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780" w:space="433"/>
            <w:col w:w="2667" w:space="473"/>
            <w:col w:w="2887"/>
          </w:cols>
          <w:pgMar w:left="1320" w:top="486" w:right="1339" w:bottom="1440" w:gutter="0" w:footer="0" w:header="0"/>
          <w:type w:val="continuous"/>
        </w:sectPr>
      </w:pPr>
    </w:p>
    <w:p>
      <w:pPr>
        <w:spacing w:after="0" w:line="29" w:lineRule="exact"/>
        <w:rPr>
          <w:sz w:val="20"/>
          <w:szCs w:val="20"/>
          <w:color w:val="auto"/>
        </w:rPr>
      </w:pPr>
    </w:p>
    <w:p>
      <w:pPr>
        <w:ind w:left="80" w:right="820"/>
        <w:spacing w:after="0" w:line="268" w:lineRule="auto"/>
        <w:rPr>
          <w:sz w:val="20"/>
          <w:szCs w:val="20"/>
          <w:color w:val="auto"/>
        </w:rPr>
      </w:pPr>
      <w:r>
        <w:rPr>
          <w:rFonts w:ascii="Arial" w:cs="Arial" w:eastAsia="Arial" w:hAnsi="Arial"/>
          <w:sz w:val="17"/>
          <w:szCs w:val="17"/>
          <w:b w:val="1"/>
          <w:bCs w:val="1"/>
          <w:color w:val="071D49"/>
        </w:rPr>
        <w:t>Board composition and effectiveness</w:t>
      </w:r>
    </w:p>
    <w:p>
      <w:pPr>
        <w:spacing w:after="0" w:line="39" w:lineRule="exact"/>
        <w:rPr>
          <w:sz w:val="20"/>
          <w:szCs w:val="20"/>
          <w:color w:val="auto"/>
        </w:rPr>
      </w:pPr>
    </w:p>
    <w:p>
      <w:pPr>
        <w:ind w:left="260" w:right="20" w:hanging="175"/>
        <w:spacing w:after="0" w:line="239" w:lineRule="auto"/>
        <w:tabs>
          <w:tab w:leader="none" w:pos="264" w:val="left"/>
        </w:tabs>
        <w:numPr>
          <w:ilvl w:val="0"/>
          <w:numId w:val="15"/>
        </w:numPr>
        <w:rPr>
          <w:rFonts w:ascii="MS PGothic" w:cs="MS PGothic" w:eastAsia="MS PGothic" w:hAnsi="MS PGothic"/>
          <w:sz w:val="17"/>
          <w:szCs w:val="17"/>
          <w:color w:val="071D49"/>
        </w:rPr>
      </w:pPr>
      <w:r>
        <w:rPr>
          <w:rFonts w:ascii="Arial" w:cs="Arial" w:eastAsia="Arial" w:hAnsi="Arial"/>
          <w:sz w:val="17"/>
          <w:szCs w:val="17"/>
          <w:color w:val="auto"/>
        </w:rPr>
        <w:t>Our governance guidelines restrict the number of boards our directors may serve on to prevent overboarding</w:t>
      </w:r>
    </w:p>
    <w:p>
      <w:pPr>
        <w:ind w:left="260" w:hanging="175"/>
        <w:spacing w:after="0" w:line="250" w:lineRule="auto"/>
        <w:tabs>
          <w:tab w:leader="none" w:pos="255" w:val="left"/>
        </w:tabs>
        <w:numPr>
          <w:ilvl w:val="0"/>
          <w:numId w:val="15"/>
        </w:numPr>
        <w:rPr>
          <w:rFonts w:ascii="MS PGothic" w:cs="MS PGothic" w:eastAsia="MS PGothic" w:hAnsi="MS PGothic"/>
          <w:sz w:val="16"/>
          <w:szCs w:val="16"/>
          <w:color w:val="071D49"/>
        </w:rPr>
      </w:pPr>
      <w:r>
        <w:rPr>
          <w:rFonts w:ascii="Arial" w:cs="Arial" w:eastAsia="Arial" w:hAnsi="Arial"/>
          <w:sz w:val="16"/>
          <w:szCs w:val="16"/>
          <w:color w:val="auto"/>
        </w:rPr>
        <w:t>Annual board and committee self-assessments and annual board succession planning</w:t>
      </w:r>
    </w:p>
    <w:p>
      <w:pPr>
        <w:ind w:left="260" w:right="120" w:hanging="175"/>
        <w:spacing w:after="0" w:line="235" w:lineRule="auto"/>
        <w:tabs>
          <w:tab w:leader="none" w:pos="264" w:val="left"/>
        </w:tabs>
        <w:numPr>
          <w:ilvl w:val="0"/>
          <w:numId w:val="15"/>
        </w:numPr>
        <w:rPr>
          <w:rFonts w:ascii="MS PGothic" w:cs="MS PGothic" w:eastAsia="MS PGothic" w:hAnsi="MS PGothic"/>
          <w:sz w:val="17"/>
          <w:szCs w:val="17"/>
          <w:color w:val="071D49"/>
        </w:rPr>
      </w:pPr>
      <w:r>
        <w:rPr>
          <w:rFonts w:ascii="Arial" w:cs="Arial" w:eastAsia="Arial" w:hAnsi="Arial"/>
          <w:sz w:val="17"/>
          <w:szCs w:val="17"/>
          <w:color w:val="auto"/>
        </w:rPr>
        <w:t>For inclusion on the board, the nominations and governance committee considers diversity of race, ethnicity, gender, age, and geography, together with other voluntarily identified diversity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183515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51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7" w:right="180"/>
        <w:spacing w:after="0" w:line="268" w:lineRule="auto"/>
        <w:rPr>
          <w:sz w:val="20"/>
          <w:szCs w:val="20"/>
          <w:color w:val="auto"/>
        </w:rPr>
      </w:pPr>
      <w:r>
        <w:rPr>
          <w:rFonts w:ascii="Arial" w:cs="Arial" w:eastAsia="Arial" w:hAnsi="Arial"/>
          <w:sz w:val="17"/>
          <w:szCs w:val="17"/>
          <w:b w:val="1"/>
          <w:bCs w:val="1"/>
          <w:color w:val="071D49"/>
        </w:rPr>
        <w:t>Clawback and anti-hedging and anti-pledging policies</w:t>
      </w:r>
    </w:p>
    <w:p>
      <w:pPr>
        <w:spacing w:after="0" w:line="39" w:lineRule="exact"/>
        <w:rPr>
          <w:sz w:val="20"/>
          <w:szCs w:val="20"/>
          <w:color w:val="auto"/>
        </w:rPr>
      </w:pPr>
    </w:p>
    <w:p>
      <w:pPr>
        <w:ind w:left="187" w:hanging="187"/>
        <w:spacing w:after="0" w:line="251" w:lineRule="auto"/>
        <w:tabs>
          <w:tab w:leader="none" w:pos="191" w:val="left"/>
        </w:tabs>
        <w:numPr>
          <w:ilvl w:val="0"/>
          <w:numId w:val="16"/>
        </w:numPr>
        <w:rPr>
          <w:rFonts w:ascii="MS PGothic" w:cs="MS PGothic" w:eastAsia="MS PGothic" w:hAnsi="MS PGothic"/>
          <w:sz w:val="16"/>
          <w:szCs w:val="16"/>
          <w:color w:val="071D49"/>
        </w:rPr>
      </w:pPr>
      <w:r>
        <w:rPr>
          <w:rFonts w:ascii="Arial" w:cs="Arial" w:eastAsia="Arial" w:hAnsi="Arial"/>
          <w:sz w:val="16"/>
          <w:szCs w:val="16"/>
          <w:color w:val="auto"/>
        </w:rPr>
        <w:t>Mandatory clawback of excess compensation in the event of a restatement, plus broad discretion to clawback compensation in the event of a material breach of the Code of Conduct</w:t>
      </w:r>
    </w:p>
    <w:p>
      <w:pPr>
        <w:ind w:left="187" w:hanging="187"/>
        <w:spacing w:after="0" w:line="247" w:lineRule="auto"/>
        <w:tabs>
          <w:tab w:leader="none" w:pos="191" w:val="left"/>
        </w:tabs>
        <w:numPr>
          <w:ilvl w:val="0"/>
          <w:numId w:val="16"/>
        </w:numPr>
        <w:rPr>
          <w:rFonts w:ascii="MS PGothic" w:cs="MS PGothic" w:eastAsia="MS PGothic" w:hAnsi="MS PGothic"/>
          <w:sz w:val="16"/>
          <w:szCs w:val="16"/>
          <w:color w:val="071D49"/>
        </w:rPr>
      </w:pPr>
      <w:r>
        <w:rPr>
          <w:rFonts w:ascii="Arial" w:cs="Arial" w:eastAsia="Arial" w:hAnsi="Arial"/>
          <w:sz w:val="16"/>
          <w:szCs w:val="16"/>
          <w:color w:val="auto"/>
        </w:rPr>
        <w:t>Directors and executive officers are prohibited from buying or selling any financial instruments designed to hedge or offset any decrease in the market value of AbbVie equity securities they hold</w:t>
      </w:r>
    </w:p>
    <w:p>
      <w:pPr>
        <w:spacing w:after="0" w:line="2" w:lineRule="exact"/>
        <w:rPr>
          <w:rFonts w:ascii="MS PGothic" w:cs="MS PGothic" w:eastAsia="MS PGothic" w:hAnsi="MS PGothic"/>
          <w:sz w:val="16"/>
          <w:szCs w:val="16"/>
          <w:color w:val="071D49"/>
        </w:rPr>
      </w:pPr>
    </w:p>
    <w:p>
      <w:pPr>
        <w:ind w:left="187" w:right="180" w:hanging="187"/>
        <w:spacing w:after="0" w:line="239" w:lineRule="auto"/>
        <w:tabs>
          <w:tab w:leader="none" w:pos="191" w:val="left"/>
        </w:tabs>
        <w:numPr>
          <w:ilvl w:val="0"/>
          <w:numId w:val="16"/>
        </w:numPr>
        <w:rPr>
          <w:rFonts w:ascii="MS PGothic" w:cs="MS PGothic" w:eastAsia="MS PGothic" w:hAnsi="MS PGothic"/>
          <w:sz w:val="17"/>
          <w:szCs w:val="17"/>
          <w:color w:val="071D49"/>
        </w:rPr>
      </w:pPr>
      <w:r>
        <w:rPr>
          <w:rFonts w:ascii="Arial" w:cs="Arial" w:eastAsia="Arial" w:hAnsi="Arial"/>
          <w:sz w:val="17"/>
          <w:szCs w:val="17"/>
          <w:color w:val="auto"/>
        </w:rPr>
        <w:t>Directors and executive officers are prohibited from pledging AbbVie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62230</wp:posOffset>
            </wp:positionV>
            <wp:extent cx="184340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071D49"/>
        </w:rPr>
        <w:t>Other ESG practices</w:t>
      </w:r>
    </w:p>
    <w:p>
      <w:pPr>
        <w:spacing w:after="0" w:line="92" w:lineRule="exact"/>
        <w:rPr>
          <w:sz w:val="20"/>
          <w:szCs w:val="20"/>
          <w:color w:val="auto"/>
        </w:rPr>
      </w:pPr>
    </w:p>
    <w:p>
      <w:pPr>
        <w:ind w:left="187" w:right="160" w:hanging="187"/>
        <w:spacing w:after="0" w:line="237" w:lineRule="auto"/>
        <w:tabs>
          <w:tab w:leader="none" w:pos="191" w:val="left"/>
        </w:tabs>
        <w:numPr>
          <w:ilvl w:val="0"/>
          <w:numId w:val="17"/>
        </w:numPr>
        <w:rPr>
          <w:rFonts w:ascii="MS PGothic" w:cs="MS PGothic" w:eastAsia="MS PGothic" w:hAnsi="MS PGothic"/>
          <w:sz w:val="17"/>
          <w:szCs w:val="17"/>
          <w:color w:val="071D49"/>
        </w:rPr>
      </w:pPr>
      <w:r>
        <w:rPr>
          <w:rFonts w:ascii="Arial" w:cs="Arial" w:eastAsia="Arial" w:hAnsi="Arial"/>
          <w:sz w:val="17"/>
          <w:szCs w:val="17"/>
          <w:color w:val="auto"/>
        </w:rPr>
        <w:t>ESG and equity, equality, diversity, and inclusion (EEDI) goals are incorporated into our executive compensation programs for all executives</w:t>
      </w:r>
    </w:p>
    <w:p>
      <w:pPr>
        <w:spacing w:after="0" w:line="1" w:lineRule="exact"/>
        <w:rPr>
          <w:rFonts w:ascii="MS PGothic" w:cs="MS PGothic" w:eastAsia="MS PGothic" w:hAnsi="MS PGothic"/>
          <w:sz w:val="17"/>
          <w:szCs w:val="17"/>
          <w:color w:val="071D49"/>
        </w:rPr>
      </w:pPr>
    </w:p>
    <w:p>
      <w:pPr>
        <w:ind w:left="187" w:right="260" w:hanging="187"/>
        <w:spacing w:after="0" w:line="252" w:lineRule="auto"/>
        <w:tabs>
          <w:tab w:leader="none" w:pos="191" w:val="left"/>
        </w:tabs>
        <w:numPr>
          <w:ilvl w:val="0"/>
          <w:numId w:val="17"/>
        </w:numPr>
        <w:rPr>
          <w:rFonts w:ascii="MS PGothic" w:cs="MS PGothic" w:eastAsia="MS PGothic" w:hAnsi="MS PGothic"/>
          <w:sz w:val="16"/>
          <w:szCs w:val="16"/>
          <w:color w:val="071D49"/>
        </w:rPr>
      </w:pPr>
      <w:r>
        <w:rPr>
          <w:rFonts w:ascii="Arial" w:cs="Arial" w:eastAsia="Arial" w:hAnsi="Arial"/>
          <w:sz w:val="16"/>
          <w:szCs w:val="16"/>
          <w:color w:val="auto"/>
        </w:rPr>
        <w:t>We are guided by strong ethics programs and supplier guidelines</w:t>
      </w:r>
    </w:p>
    <w:p>
      <w:pPr>
        <w:spacing w:after="0" w:line="1" w:lineRule="exact"/>
        <w:rPr>
          <w:rFonts w:ascii="MS PGothic" w:cs="MS PGothic" w:eastAsia="MS PGothic" w:hAnsi="MS PGothic"/>
          <w:sz w:val="16"/>
          <w:szCs w:val="16"/>
          <w:color w:val="071D49"/>
        </w:rPr>
      </w:pPr>
    </w:p>
    <w:p>
      <w:pPr>
        <w:ind w:left="187" w:right="120" w:hanging="187"/>
        <w:spacing w:after="0" w:line="236" w:lineRule="auto"/>
        <w:tabs>
          <w:tab w:leader="none" w:pos="191" w:val="left"/>
        </w:tabs>
        <w:numPr>
          <w:ilvl w:val="0"/>
          <w:numId w:val="17"/>
        </w:numPr>
        <w:rPr>
          <w:rFonts w:ascii="MS PGothic" w:cs="MS PGothic" w:eastAsia="MS PGothic" w:hAnsi="MS PGothic"/>
          <w:sz w:val="17"/>
          <w:szCs w:val="17"/>
          <w:color w:val="071D49"/>
        </w:rPr>
      </w:pPr>
      <w:r>
        <w:rPr>
          <w:rFonts w:ascii="Arial" w:cs="Arial" w:eastAsia="Arial" w:hAnsi="Arial"/>
          <w:sz w:val="17"/>
          <w:szCs w:val="17"/>
          <w:color w:val="auto"/>
        </w:rPr>
        <w:t>We disclose our corporate political contributions, our trade association memberships, and oversight process on our website and expanded these disclosures in 2022, 2023,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539115</wp:posOffset>
            </wp:positionV>
            <wp:extent cx="1898650"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8650" cy="15875"/>
                    </a:xfrm>
                    <a:prstGeom prst="rect">
                      <a:avLst/>
                    </a:prstGeom>
                    <a:noFill/>
                  </pic:spPr>
                </pic:pic>
              </a:graphicData>
            </a:graphic>
          </wp:anchor>
        </w:drawing>
      </w:r>
    </w:p>
    <w:p>
      <w:pPr>
        <w:spacing w:after="0" w:line="951" w:lineRule="exact"/>
        <w:rPr>
          <w:sz w:val="20"/>
          <w:szCs w:val="20"/>
          <w:color w:val="auto"/>
        </w:rPr>
      </w:pPr>
    </w:p>
    <w:p>
      <w:pPr>
        <w:sectPr>
          <w:pgSz w:w="11900" w:h="16838" w:orient="portrait"/>
          <w:cols w:equalWidth="0" w:num="3">
            <w:col w:w="2760" w:space="453"/>
            <w:col w:w="2687" w:space="453"/>
            <w:col w:w="2887"/>
          </w:cols>
          <w:pgMar w:left="1320" w:top="486" w:right="1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Response to 2023 Simple Majority Stockholder Proposal</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At AbbVie’s 2023 stockholder meeting, the simple majority stockholder proposal received approximately 53% support. This proposal sought to replace any supermajority vote standards in AbbVie’s Certificate of Incorporation and By-Laws with a simple majority of votes cast standard. As a result of this vote outcome, we prioritized discussing this proposal with our stockholders during our fall 2023 engagements. We reached out to stockholders representing over 40% of our outstanding shares, requesting to engage on the simple majority proposal and other topics, and conducted engagements via phone or video conference with stockholders representing over 30% of our outstanding shares. Our primary goal was to educate our stockholders on the board’s history of submitting management proposals to eliminate supermajority voting. Namely, from 2018 through 2024, the board has approved a management proposal to replace any supermajority vote standards in AbbVie’s Certificate of Incorporation and By-Laws with a simple majority of outstanding shares standard. This management proposal itself requires 80% of outstanding shares to vote in favor to pass. In 2023, only approximately 70% of outstanding shares voted in favor of the proposal. It is important to note that the board does not have authority to eliminate</w:t>
      </w:r>
    </w:p>
    <w:p>
      <w:pPr>
        <w:spacing w:after="0" w:line="359" w:lineRule="exact"/>
        <w:rPr>
          <w:sz w:val="20"/>
          <w:szCs w:val="20"/>
          <w:color w:val="auto"/>
        </w:rPr>
      </w:pPr>
    </w:p>
    <w:p>
      <w:pPr>
        <w:spacing w:after="0"/>
        <w:tabs>
          <w:tab w:leader="none" w:pos="256" w:val="left"/>
          <w:tab w:leader="none" w:pos="2060" w:val="left"/>
        </w:tabs>
        <w:rPr>
          <w:sz w:val="20"/>
          <w:szCs w:val="20"/>
          <w:color w:val="auto"/>
        </w:rPr>
      </w:pPr>
      <w:r>
        <w:rPr>
          <w:rFonts w:ascii="Arial" w:cs="Arial" w:eastAsia="Arial" w:hAnsi="Arial"/>
          <w:sz w:val="17"/>
          <w:szCs w:val="17"/>
          <w:color w:val="auto"/>
        </w:rPr>
        <w:t>6</w:t>
      </w:r>
      <w:r>
        <w:rPr>
          <w:sz w:val="20"/>
          <w:szCs w:val="20"/>
          <w:color w:val="auto"/>
        </w:rPr>
        <w:tab/>
      </w:r>
      <w:r>
        <w:rPr>
          <w:sz w:val="1"/>
          <w:szCs w:val="1"/>
          <w:color w:val="auto"/>
        </w:rPr>
        <w:drawing>
          <wp:inline distT="0" distB="0" distL="0" distR="0">
            <wp:extent cx="810260" cy="1511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7800"/>
        <w:spacing w:after="0"/>
        <w:rPr>
          <w:sz w:val="20"/>
          <w:szCs w:val="20"/>
          <w:color w:val="auto"/>
        </w:rPr>
      </w:pPr>
      <w:r>
        <w:rPr>
          <w:rFonts w:ascii="Arial" w:cs="Arial" w:eastAsia="Arial" w:hAnsi="Arial"/>
          <w:sz w:val="16"/>
          <w:szCs w:val="16"/>
          <w:color w:val="808080"/>
        </w:rPr>
        <w:t>PROXY SUMMARY</w:t>
      </w:r>
    </w:p>
    <w:p>
      <w:pPr>
        <w:spacing w:after="0" w:line="191"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color w:val="auto"/>
        </w:rPr>
        <w:t>supermajority voting itself; the only way these provisions can be eliminated is via the support of 80% of outstanding shares for the management proposal.</w:t>
      </w:r>
    </w:p>
    <w:p>
      <w:pPr>
        <w:spacing w:after="0" w:line="113" w:lineRule="exact"/>
        <w:rPr>
          <w:sz w:val="20"/>
          <w:szCs w:val="20"/>
          <w:color w:val="auto"/>
        </w:rPr>
      </w:pPr>
    </w:p>
    <w:p>
      <w:pPr>
        <w:ind w:left="20" w:right="140"/>
        <w:spacing w:after="0" w:line="238" w:lineRule="auto"/>
        <w:rPr>
          <w:sz w:val="20"/>
          <w:szCs w:val="20"/>
          <w:color w:val="auto"/>
        </w:rPr>
      </w:pPr>
      <w:r>
        <w:rPr>
          <w:rFonts w:ascii="Arial" w:cs="Arial" w:eastAsia="Arial" w:hAnsi="Arial"/>
          <w:sz w:val="17"/>
          <w:szCs w:val="17"/>
          <w:color w:val="auto"/>
        </w:rPr>
        <w:t>We also aimed to gather feedback from stockholders on the difference between the stockholder proponent’s preferred standard (i.e., simple majority of votes cast) and the standard in the management proposal (i.e., simple majority of outstanding shares). Stockholders did not express a strong view on this difference and generally expressed support for any effort to move away from supermajority voting. The board favors simple majority of outstanding shares, as it creates greater predictability regarding vote outcomes at meetings.</w:t>
      </w:r>
    </w:p>
    <w:p>
      <w:pPr>
        <w:spacing w:after="0" w:line="132" w:lineRule="exact"/>
        <w:rPr>
          <w:sz w:val="20"/>
          <w:szCs w:val="20"/>
          <w:color w:val="auto"/>
        </w:rPr>
      </w:pPr>
    </w:p>
    <w:p>
      <w:pPr>
        <w:ind w:left="20" w:right="160"/>
        <w:spacing w:after="0" w:line="260" w:lineRule="auto"/>
        <w:rPr>
          <w:sz w:val="20"/>
          <w:szCs w:val="20"/>
          <w:color w:val="auto"/>
        </w:rPr>
      </w:pPr>
      <w:r>
        <w:rPr>
          <w:rFonts w:ascii="Arial" w:cs="Arial" w:eastAsia="Arial" w:hAnsi="Arial"/>
          <w:sz w:val="16"/>
          <w:szCs w:val="16"/>
          <w:color w:val="auto"/>
        </w:rPr>
        <w:t>Stockholders expressed support for AbbVie’s history of commitment on this topic, and many noted that they support stockholder proposals on simple majority voting as a matter of default policy (as opposed to a specific concern at AbbVie). Investors consistently expressed support for a continued management proposal on this topic, noting that putting forward the same management proposal in 2024 would be deemed as responsive to the passing 2023 stockholder proposal.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340" w:type="dxa"/>
            <w:vAlign w:val="bottom"/>
          </w:tcPr>
          <w:p>
            <w:pPr>
              <w:ind w:left="55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88"/>
        </w:trPr>
        <w:tc>
          <w:tcPr>
            <w:tcW w:w="8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-508000</wp:posOffset>
            </wp:positionV>
            <wp:extent cx="810260" cy="151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PROXY SUMMARY</w:t>
      </w:r>
    </w:p>
    <w:p>
      <w:pPr>
        <w:spacing w:after="0" w:line="170" w:lineRule="exact"/>
        <w:rPr>
          <w:sz w:val="20"/>
          <w:szCs w:val="20"/>
          <w:color w:val="auto"/>
        </w:rPr>
      </w:pPr>
    </w:p>
    <w:p>
      <w:pPr>
        <w:spacing w:after="0"/>
        <w:rPr>
          <w:sz w:val="20"/>
          <w:szCs w:val="20"/>
          <w:color w:val="auto"/>
        </w:rPr>
      </w:pPr>
      <w:r>
        <w:rPr>
          <w:rFonts w:ascii="Arial" w:cs="Arial" w:eastAsia="Arial" w:hAnsi="Arial"/>
          <w:sz w:val="30"/>
          <w:szCs w:val="30"/>
          <w:color w:val="auto"/>
        </w:rPr>
        <w:t>Our ESG Highlights</w:t>
      </w:r>
    </w:p>
    <w:p>
      <w:pPr>
        <w:spacing w:after="0" w:line="17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As a research-driven global biopharmaceutical company, we apply the same high standards and rigor to the medicines and solutions we pursue, to how we operate our business. We recognize that our company and our industry hold a unique opportunity to make a real difference in people’s lives—not just the breakthroughs we deliver, but also the responsible paths we take to achieve them. We advance environmental, social, and governance (ESG) initiatives that contribute to the sustainable growth of our company so that we can create positive impact for generations to come.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Our ESG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587883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Our ESG Framework is built around three foundational pillars that align with our enterprise goals and principles. These are based on an analysis of our material issues, taking into account the topics of most interest and relevance to our company and our stakeholders—including our patients and patient organizations, employees, investors, regulators &amp; government, payers &amp; providers, suppliers, and nonprofit partners. Collaboration with stakeholders is critical to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5878830" cy="1588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78830" cy="158877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80"/>
        <w:spacing w:after="0" w:line="250" w:lineRule="auto"/>
        <w:rPr>
          <w:sz w:val="20"/>
          <w:szCs w:val="20"/>
          <w:color w:val="auto"/>
        </w:rPr>
      </w:pPr>
      <w:r>
        <w:rPr>
          <w:rFonts w:ascii="Arial" w:cs="Arial" w:eastAsia="Arial" w:hAnsi="Arial"/>
          <w:sz w:val="16"/>
          <w:szCs w:val="16"/>
          <w:b w:val="1"/>
          <w:bCs w:val="1"/>
          <w:color w:val="071D49"/>
        </w:rPr>
        <w:t xml:space="preserve">We discover and deliver innovative medicines </w:t>
      </w:r>
      <w:r>
        <w:rPr>
          <w:rFonts w:ascii="Arial" w:cs="Arial" w:eastAsia="Arial" w:hAnsi="Arial"/>
          <w:sz w:val="16"/>
          <w:szCs w:val="16"/>
          <w:color w:val="000000"/>
        </w:rPr>
        <w:t>that solve</w:t>
      </w:r>
      <w:r>
        <w:rPr>
          <w:rFonts w:ascii="Arial" w:cs="Arial" w:eastAsia="Arial" w:hAnsi="Arial"/>
          <w:sz w:val="16"/>
          <w:szCs w:val="16"/>
          <w:b w:val="1"/>
          <w:bCs w:val="1"/>
          <w:color w:val="071D49"/>
        </w:rPr>
        <w:t xml:space="preserve"> </w:t>
      </w:r>
      <w:r>
        <w:rPr>
          <w:rFonts w:ascii="Arial" w:cs="Arial" w:eastAsia="Arial" w:hAnsi="Arial"/>
          <w:sz w:val="16"/>
          <w:szCs w:val="16"/>
          <w:color w:val="000000"/>
        </w:rPr>
        <w:t>serious health issues and enhance people’s lives by pushing the boundaries of innovation, putting people and patients first, creating high-quality therapeutic solutions and ensuring their safety, efficacy, and accessibility.</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color w:val="071D49"/>
        </w:rPr>
        <w:t xml:space="preserve">We unlock the full potential of diverse and talented teams—and partners—to deliver today and into the future. </w:t>
      </w:r>
      <w:r>
        <w:rPr>
          <w:rFonts w:ascii="Arial" w:cs="Arial" w:eastAsia="Arial" w:hAnsi="Arial"/>
          <w:sz w:val="16"/>
          <w:szCs w:val="16"/>
          <w:color w:val="000000"/>
        </w:rPr>
        <w:t>We do this by</w:t>
      </w:r>
      <w:r>
        <w:rPr>
          <w:rFonts w:ascii="Arial" w:cs="Arial" w:eastAsia="Arial" w:hAnsi="Arial"/>
          <w:sz w:val="16"/>
          <w:szCs w:val="16"/>
          <w:b w:val="1"/>
          <w:bCs w:val="1"/>
          <w:color w:val="071D49"/>
        </w:rPr>
        <w:t xml:space="preserve"> </w:t>
      </w:r>
      <w:r>
        <w:rPr>
          <w:rFonts w:ascii="Arial" w:cs="Arial" w:eastAsia="Arial" w:hAnsi="Arial"/>
          <w:sz w:val="16"/>
          <w:szCs w:val="16"/>
          <w:color w:val="000000"/>
        </w:rPr>
        <w:t>attracting and retaining the best talent, embracing diversity of thought and through collaboration. We know that when we unlock the full potential of our people and our partners, we accelerate innovation, enhance people’s lives, and meet our business objectives.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color w:val="071D49"/>
        </w:rPr>
        <w:t xml:space="preserve">We innovate with integrity and intention to advance long-term patient health and business resiliency. </w:t>
      </w:r>
      <w:r>
        <w:rPr>
          <w:rFonts w:ascii="Arial" w:cs="Arial" w:eastAsia="Arial" w:hAnsi="Arial"/>
          <w:sz w:val="16"/>
          <w:szCs w:val="16"/>
          <w:color w:val="000000"/>
        </w:rPr>
        <w:t>We ensure that we are</w:t>
      </w:r>
      <w:r>
        <w:rPr>
          <w:rFonts w:ascii="Arial" w:cs="Arial" w:eastAsia="Arial" w:hAnsi="Arial"/>
          <w:sz w:val="16"/>
          <w:szCs w:val="16"/>
          <w:b w:val="1"/>
          <w:bCs w:val="1"/>
          <w:color w:val="071D49"/>
        </w:rPr>
        <w:t xml:space="preserve"> </w:t>
      </w:r>
      <w:r>
        <w:rPr>
          <w:rFonts w:ascii="Arial" w:cs="Arial" w:eastAsia="Arial" w:hAnsi="Arial"/>
          <w:sz w:val="16"/>
          <w:szCs w:val="16"/>
          <w:color w:val="000000"/>
        </w:rPr>
        <w:t>prepared for the future by operating a sustainable, agile business model and governance structure that anticipates and evolves in a dynamic industry and society. We are unwavering in assuring supply of innovative medicines to patients and life enhancing products to customers.</w:t>
      </w:r>
    </w:p>
    <w:p>
      <w:pPr>
        <w:spacing w:after="0" w:line="200" w:lineRule="exact"/>
        <w:rPr>
          <w:sz w:val="20"/>
          <w:szCs w:val="20"/>
          <w:color w:val="auto"/>
        </w:rPr>
      </w:pPr>
    </w:p>
    <w:p>
      <w:pPr>
        <w:sectPr>
          <w:pgSz w:w="11900" w:h="16838" w:orient="portrait"/>
          <w:cols w:equalWidth="0" w:num="3">
            <w:col w:w="2660" w:space="560"/>
            <w:col w:w="2600" w:space="540"/>
            <w:col w:w="2880"/>
          </w:cols>
          <w:pgMar w:left="1320" w:top="486" w:right="1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Our Material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587883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b w:val="1"/>
                <w:bCs w:val="1"/>
                <w:color w:val="071D49"/>
              </w:rPr>
              <w:t>Product Innovation</w:t>
            </w:r>
          </w:p>
        </w:tc>
        <w:tc>
          <w:tcPr>
            <w:tcW w:w="3240" w:type="dxa"/>
            <w:vAlign w:val="bottom"/>
          </w:tcPr>
          <w:p>
            <w:pPr>
              <w:ind w:left="100"/>
              <w:spacing w:after="0"/>
              <w:rPr>
                <w:sz w:val="20"/>
                <w:szCs w:val="20"/>
                <w:color w:val="auto"/>
              </w:rPr>
            </w:pPr>
            <w:r>
              <w:rPr>
                <w:rFonts w:ascii="Arial" w:cs="Arial" w:eastAsia="Arial" w:hAnsi="Arial"/>
                <w:sz w:val="18"/>
                <w:szCs w:val="18"/>
                <w:b w:val="1"/>
                <w:bCs w:val="1"/>
                <w:color w:val="071D49"/>
              </w:rPr>
              <w:t>Human Capital Management</w:t>
            </w:r>
          </w:p>
        </w:tc>
        <w:tc>
          <w:tcPr>
            <w:tcW w:w="2780" w:type="dxa"/>
            <w:vAlign w:val="bottom"/>
          </w:tcPr>
          <w:p>
            <w:pPr>
              <w:ind w:left="120"/>
              <w:spacing w:after="0"/>
              <w:rPr>
                <w:sz w:val="20"/>
                <w:szCs w:val="20"/>
                <w:color w:val="auto"/>
              </w:rPr>
            </w:pPr>
            <w:r>
              <w:rPr>
                <w:rFonts w:ascii="Arial" w:cs="Arial" w:eastAsia="Arial" w:hAnsi="Arial"/>
                <w:sz w:val="18"/>
                <w:szCs w:val="18"/>
                <w:b w:val="1"/>
                <w:bCs w:val="1"/>
                <w:color w:val="071D49"/>
              </w:rPr>
              <w:t>Patient Health and</w:t>
            </w:r>
          </w:p>
        </w:tc>
        <w:tc>
          <w:tcPr>
            <w:tcW w:w="0" w:type="dxa"/>
            <w:vAlign w:val="bottom"/>
          </w:tcPr>
          <w:p>
            <w:pPr>
              <w:spacing w:after="0"/>
              <w:rPr>
                <w:sz w:val="1"/>
                <w:szCs w:val="1"/>
                <w:color w:val="auto"/>
              </w:rPr>
            </w:pPr>
          </w:p>
        </w:tc>
      </w:tr>
      <w:tr>
        <w:trPr>
          <w:trHeight w:val="192"/>
        </w:trPr>
        <w:tc>
          <w:tcPr>
            <w:tcW w:w="3020" w:type="dxa"/>
            <w:vAlign w:val="bottom"/>
          </w:tcPr>
          <w:p>
            <w:pPr>
              <w:spacing w:after="0" w:line="193" w:lineRule="exact"/>
              <w:rPr>
                <w:sz w:val="20"/>
                <w:szCs w:val="20"/>
                <w:color w:val="auto"/>
              </w:rPr>
            </w:pPr>
            <w:r>
              <w:rPr>
                <w:rFonts w:ascii="Arial" w:cs="Arial" w:eastAsia="Arial" w:hAnsi="Arial"/>
                <w:sz w:val="17"/>
                <w:szCs w:val="17"/>
                <w:color w:val="auto"/>
              </w:rPr>
              <w:t>We strive to make a remarkable impact</w:t>
            </w:r>
          </w:p>
        </w:tc>
        <w:tc>
          <w:tcPr>
            <w:tcW w:w="3240" w:type="dxa"/>
            <w:vAlign w:val="bottom"/>
          </w:tcPr>
          <w:p>
            <w:pPr>
              <w:ind w:left="100"/>
              <w:spacing w:after="0" w:line="193" w:lineRule="exact"/>
              <w:rPr>
                <w:sz w:val="20"/>
                <w:szCs w:val="20"/>
                <w:color w:val="auto"/>
              </w:rPr>
            </w:pPr>
            <w:r>
              <w:rPr>
                <w:rFonts w:ascii="Arial" w:cs="Arial" w:eastAsia="Arial" w:hAnsi="Arial"/>
                <w:sz w:val="17"/>
                <w:szCs w:val="17"/>
                <w:color w:val="auto"/>
              </w:rPr>
              <w:t>We believe purposeful work drives</w:t>
            </w:r>
          </w:p>
        </w:tc>
        <w:tc>
          <w:tcPr>
            <w:tcW w:w="2780" w:type="dxa"/>
            <w:vAlign w:val="bottom"/>
          </w:tcPr>
          <w:p>
            <w:pPr>
              <w:ind w:left="120"/>
              <w:spacing w:after="0" w:line="192" w:lineRule="exact"/>
              <w:rPr>
                <w:sz w:val="20"/>
                <w:szCs w:val="20"/>
                <w:color w:val="auto"/>
              </w:rPr>
            </w:pPr>
            <w:r>
              <w:rPr>
                <w:rFonts w:ascii="Arial" w:cs="Arial" w:eastAsia="Arial" w:hAnsi="Arial"/>
                <w:sz w:val="18"/>
                <w:szCs w:val="18"/>
                <w:b w:val="1"/>
                <w:bCs w:val="1"/>
                <w:color w:val="071D49"/>
              </w:rPr>
              <w:t>Engagement</w:t>
            </w:r>
          </w:p>
        </w:tc>
        <w:tc>
          <w:tcPr>
            <w:tcW w:w="0" w:type="dxa"/>
            <w:vAlign w:val="bottom"/>
          </w:tcPr>
          <w:p>
            <w:pPr>
              <w:spacing w:after="0"/>
              <w:rPr>
                <w:sz w:val="1"/>
                <w:szCs w:val="1"/>
                <w:color w:val="auto"/>
              </w:rPr>
            </w:pPr>
          </w:p>
        </w:tc>
      </w:tr>
      <w:tr>
        <w:trPr>
          <w:trHeight w:val="188"/>
        </w:trPr>
        <w:tc>
          <w:tcPr>
            <w:tcW w:w="3020" w:type="dxa"/>
            <w:vAlign w:val="bottom"/>
          </w:tcPr>
          <w:p>
            <w:pPr>
              <w:spacing w:after="0" w:line="188" w:lineRule="exact"/>
              <w:rPr>
                <w:sz w:val="20"/>
                <w:szCs w:val="20"/>
                <w:color w:val="auto"/>
              </w:rPr>
            </w:pPr>
            <w:r>
              <w:rPr>
                <w:rFonts w:ascii="Arial" w:cs="Arial" w:eastAsia="Arial" w:hAnsi="Arial"/>
                <w:sz w:val="17"/>
                <w:szCs w:val="17"/>
                <w:color w:val="auto"/>
              </w:rPr>
              <w:t>on patients and drive sustainable</w:t>
            </w:r>
          </w:p>
        </w:tc>
        <w:tc>
          <w:tcPr>
            <w:tcW w:w="3240" w:type="dxa"/>
            <w:vAlign w:val="bottom"/>
          </w:tcPr>
          <w:p>
            <w:pPr>
              <w:ind w:left="100"/>
              <w:spacing w:after="0" w:line="188" w:lineRule="exact"/>
              <w:rPr>
                <w:sz w:val="20"/>
                <w:szCs w:val="20"/>
                <w:color w:val="auto"/>
              </w:rPr>
            </w:pPr>
            <w:r>
              <w:rPr>
                <w:rFonts w:ascii="Arial" w:cs="Arial" w:eastAsia="Arial" w:hAnsi="Arial"/>
                <w:sz w:val="17"/>
                <w:szCs w:val="17"/>
                <w:color w:val="auto"/>
              </w:rPr>
              <w:t>meaningful change. We nurture diverse</w:t>
            </w:r>
          </w:p>
        </w:tc>
        <w:tc>
          <w:tcPr>
            <w:tcW w:w="2780" w:type="dxa"/>
            <w:vAlign w:val="bottom"/>
          </w:tcPr>
          <w:p>
            <w:pPr>
              <w:ind w:left="120"/>
              <w:spacing w:after="0" w:line="188" w:lineRule="exact"/>
              <w:rPr>
                <w:sz w:val="20"/>
                <w:szCs w:val="20"/>
                <w:color w:val="auto"/>
              </w:rPr>
            </w:pPr>
            <w:r>
              <w:rPr>
                <w:rFonts w:ascii="Arial" w:cs="Arial" w:eastAsia="Arial" w:hAnsi="Arial"/>
                <w:sz w:val="17"/>
                <w:szCs w:val="17"/>
                <w:color w:val="auto"/>
              </w:rPr>
              <w:t>We continuously strive to improve</w:t>
            </w:r>
          </w:p>
        </w:tc>
        <w:tc>
          <w:tcPr>
            <w:tcW w:w="0" w:type="dxa"/>
            <w:vAlign w:val="bottom"/>
          </w:tcPr>
          <w:p>
            <w:pPr>
              <w:spacing w:after="0"/>
              <w:rPr>
                <w:sz w:val="1"/>
                <w:szCs w:val="1"/>
                <w:color w:val="auto"/>
              </w:rPr>
            </w:pPr>
          </w:p>
        </w:tc>
      </w:tr>
      <w:tr>
        <w:trPr>
          <w:trHeight w:val="188"/>
        </w:trPr>
        <w:tc>
          <w:tcPr>
            <w:tcW w:w="3020" w:type="dxa"/>
            <w:vAlign w:val="bottom"/>
          </w:tcPr>
          <w:p>
            <w:pPr>
              <w:spacing w:after="0" w:line="188" w:lineRule="exact"/>
              <w:rPr>
                <w:sz w:val="20"/>
                <w:szCs w:val="20"/>
                <w:color w:val="auto"/>
              </w:rPr>
            </w:pPr>
            <w:r>
              <w:rPr>
                <w:rFonts w:ascii="Arial" w:cs="Arial" w:eastAsia="Arial" w:hAnsi="Arial"/>
                <w:sz w:val="17"/>
                <w:szCs w:val="17"/>
                <w:color w:val="auto"/>
              </w:rPr>
              <w:t>growth by consistently discovering and</w:t>
            </w:r>
          </w:p>
        </w:tc>
        <w:tc>
          <w:tcPr>
            <w:tcW w:w="3240" w:type="dxa"/>
            <w:vAlign w:val="bottom"/>
          </w:tcPr>
          <w:p>
            <w:pPr>
              <w:ind w:left="100"/>
              <w:spacing w:after="0" w:line="188" w:lineRule="exact"/>
              <w:rPr>
                <w:sz w:val="20"/>
                <w:szCs w:val="20"/>
                <w:color w:val="auto"/>
              </w:rPr>
            </w:pPr>
            <w:r>
              <w:rPr>
                <w:rFonts w:ascii="Arial" w:cs="Arial" w:eastAsia="Arial" w:hAnsi="Arial"/>
                <w:sz w:val="17"/>
                <w:szCs w:val="17"/>
                <w:color w:val="auto"/>
              </w:rPr>
              <w:t>talents to solve the most complex health</w:t>
            </w:r>
          </w:p>
        </w:tc>
        <w:tc>
          <w:tcPr>
            <w:tcW w:w="2780" w:type="dxa"/>
            <w:vAlign w:val="bottom"/>
          </w:tcPr>
          <w:p>
            <w:pPr>
              <w:ind w:left="120"/>
              <w:spacing w:after="0" w:line="188" w:lineRule="exact"/>
              <w:rPr>
                <w:sz w:val="20"/>
                <w:szCs w:val="20"/>
                <w:color w:val="auto"/>
              </w:rPr>
            </w:pPr>
            <w:r>
              <w:rPr>
                <w:rFonts w:ascii="Arial" w:cs="Arial" w:eastAsia="Arial" w:hAnsi="Arial"/>
                <w:sz w:val="17"/>
                <w:szCs w:val="17"/>
                <w:color w:val="auto"/>
                <w:w w:val="97"/>
              </w:rPr>
              <w:t>health outcomes for patients around</w:t>
            </w:r>
          </w:p>
        </w:tc>
        <w:tc>
          <w:tcPr>
            <w:tcW w:w="0" w:type="dxa"/>
            <w:vAlign w:val="bottom"/>
          </w:tcPr>
          <w:p>
            <w:pPr>
              <w:spacing w:after="0"/>
              <w:rPr>
                <w:sz w:val="1"/>
                <w:szCs w:val="1"/>
                <w:color w:val="auto"/>
              </w:rPr>
            </w:pPr>
          </w:p>
        </w:tc>
      </w:tr>
      <w:tr>
        <w:trPr>
          <w:trHeight w:val="188"/>
        </w:trPr>
        <w:tc>
          <w:tcPr>
            <w:tcW w:w="3020" w:type="dxa"/>
            <w:vAlign w:val="bottom"/>
          </w:tcPr>
          <w:p>
            <w:pPr>
              <w:spacing w:after="0" w:line="188" w:lineRule="exact"/>
              <w:rPr>
                <w:sz w:val="20"/>
                <w:szCs w:val="20"/>
                <w:color w:val="auto"/>
              </w:rPr>
            </w:pPr>
            <w:r>
              <w:rPr>
                <w:rFonts w:ascii="Arial" w:cs="Arial" w:eastAsia="Arial" w:hAnsi="Arial"/>
                <w:sz w:val="17"/>
                <w:szCs w:val="17"/>
                <w:color w:val="auto"/>
              </w:rPr>
              <w:t>delivering innovative medicines that</w:t>
            </w:r>
          </w:p>
        </w:tc>
        <w:tc>
          <w:tcPr>
            <w:tcW w:w="3240" w:type="dxa"/>
            <w:vAlign w:val="bottom"/>
          </w:tcPr>
          <w:p>
            <w:pPr>
              <w:ind w:left="100"/>
              <w:spacing w:after="0" w:line="188" w:lineRule="exact"/>
              <w:rPr>
                <w:sz w:val="20"/>
                <w:szCs w:val="20"/>
                <w:color w:val="auto"/>
              </w:rPr>
            </w:pPr>
            <w:r>
              <w:rPr>
                <w:rFonts w:ascii="Arial" w:cs="Arial" w:eastAsia="Arial" w:hAnsi="Arial"/>
                <w:sz w:val="17"/>
                <w:szCs w:val="17"/>
                <w:color w:val="auto"/>
              </w:rPr>
              <w:t>challenges and create remarkable</w:t>
            </w:r>
          </w:p>
        </w:tc>
        <w:tc>
          <w:tcPr>
            <w:tcW w:w="2780" w:type="dxa"/>
            <w:vAlign w:val="bottom"/>
          </w:tcPr>
          <w:p>
            <w:pPr>
              <w:ind w:left="120"/>
              <w:spacing w:after="0" w:line="188" w:lineRule="exact"/>
              <w:rPr>
                <w:sz w:val="20"/>
                <w:szCs w:val="20"/>
                <w:color w:val="auto"/>
              </w:rPr>
            </w:pPr>
            <w:r>
              <w:rPr>
                <w:rFonts w:ascii="Arial" w:cs="Arial" w:eastAsia="Arial" w:hAnsi="Arial"/>
                <w:sz w:val="17"/>
                <w:szCs w:val="17"/>
                <w:color w:val="auto"/>
              </w:rPr>
              <w:t>the world.</w:t>
            </w:r>
          </w:p>
        </w:tc>
        <w:tc>
          <w:tcPr>
            <w:tcW w:w="0" w:type="dxa"/>
            <w:vAlign w:val="bottom"/>
          </w:tcPr>
          <w:p>
            <w:pPr>
              <w:spacing w:after="0"/>
              <w:rPr>
                <w:sz w:val="1"/>
                <w:szCs w:val="1"/>
                <w:color w:val="auto"/>
              </w:rPr>
            </w:pPr>
          </w:p>
        </w:tc>
      </w:tr>
      <w:tr>
        <w:trPr>
          <w:trHeight w:val="188"/>
        </w:trPr>
        <w:tc>
          <w:tcPr>
            <w:tcW w:w="3020" w:type="dxa"/>
            <w:vAlign w:val="bottom"/>
          </w:tcPr>
          <w:p>
            <w:pPr>
              <w:spacing w:after="0" w:line="188" w:lineRule="exact"/>
              <w:rPr>
                <w:sz w:val="20"/>
                <w:szCs w:val="20"/>
                <w:color w:val="auto"/>
              </w:rPr>
            </w:pPr>
            <w:r>
              <w:rPr>
                <w:rFonts w:ascii="Arial" w:cs="Arial" w:eastAsia="Arial" w:hAnsi="Arial"/>
                <w:sz w:val="17"/>
                <w:szCs w:val="17"/>
                <w:color w:val="auto"/>
              </w:rPr>
              <w:t>address serious health issues and</w:t>
            </w:r>
          </w:p>
        </w:tc>
        <w:tc>
          <w:tcPr>
            <w:tcW w:w="3240" w:type="dxa"/>
            <w:vAlign w:val="bottom"/>
          </w:tcPr>
          <w:p>
            <w:pPr>
              <w:ind w:left="100"/>
              <w:spacing w:after="0" w:line="188" w:lineRule="exact"/>
              <w:rPr>
                <w:sz w:val="20"/>
                <w:szCs w:val="20"/>
                <w:color w:val="auto"/>
              </w:rPr>
            </w:pPr>
            <w:r>
              <w:rPr>
                <w:rFonts w:ascii="Arial" w:cs="Arial" w:eastAsia="Arial" w:hAnsi="Arial"/>
                <w:sz w:val="17"/>
                <w:szCs w:val="17"/>
                <w:color w:val="auto"/>
              </w:rPr>
              <w:t>impacts on people’s lives.</w:t>
            </w: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20"/>
                <w:szCs w:val="20"/>
                <w:color w:val="auto"/>
              </w:rPr>
            </w:pPr>
            <w:r>
              <w:rPr>
                <w:rFonts w:ascii="Arial" w:cs="Arial" w:eastAsia="Arial" w:hAnsi="Arial"/>
                <w:sz w:val="17"/>
                <w:szCs w:val="17"/>
                <w:color w:val="auto"/>
              </w:rPr>
              <w:t>advance people’s lives.</w:t>
            </w:r>
          </w:p>
        </w:tc>
        <w:tc>
          <w:tcPr>
            <w:tcW w:w="3240" w:type="dxa"/>
            <w:vAlign w:val="bottom"/>
            <w:vMerge w:val="restart"/>
          </w:tcPr>
          <w:p>
            <w:pPr>
              <w:ind w:left="100"/>
              <w:spacing w:after="0"/>
              <w:rPr>
                <w:sz w:val="20"/>
                <w:szCs w:val="20"/>
                <w:color w:val="auto"/>
              </w:rPr>
            </w:pPr>
            <w:r>
              <w:rPr>
                <w:rFonts w:ascii="Arial" w:cs="Arial" w:eastAsia="Arial" w:hAnsi="Arial"/>
                <w:sz w:val="18"/>
                <w:szCs w:val="18"/>
                <w:b w:val="1"/>
                <w:bCs w:val="1"/>
                <w:color w:val="071D49"/>
              </w:rPr>
              <w:t>Business Ethics</w:t>
            </w:r>
          </w:p>
        </w:tc>
        <w:tc>
          <w:tcPr>
            <w:tcW w:w="2780" w:type="dxa"/>
            <w:vAlign w:val="bottom"/>
          </w:tcPr>
          <w:p>
            <w:pPr>
              <w:ind w:left="120"/>
              <w:spacing w:after="0"/>
              <w:rPr>
                <w:sz w:val="20"/>
                <w:szCs w:val="20"/>
                <w:color w:val="auto"/>
              </w:rPr>
            </w:pPr>
            <w:r>
              <w:rPr>
                <w:rFonts w:ascii="Arial" w:cs="Arial" w:eastAsia="Arial" w:hAnsi="Arial"/>
                <w:sz w:val="18"/>
                <w:szCs w:val="18"/>
                <w:b w:val="1"/>
                <w:bCs w:val="1"/>
                <w:color w:val="071D49"/>
              </w:rPr>
              <w:t>Product Quality and Safety</w:t>
            </w:r>
          </w:p>
        </w:tc>
        <w:tc>
          <w:tcPr>
            <w:tcW w:w="0" w:type="dxa"/>
            <w:vAlign w:val="bottom"/>
          </w:tcPr>
          <w:p>
            <w:pPr>
              <w:spacing w:after="0"/>
              <w:rPr>
                <w:sz w:val="1"/>
                <w:szCs w:val="1"/>
                <w:color w:val="auto"/>
              </w:rPr>
            </w:pPr>
          </w:p>
        </w:tc>
      </w:tr>
      <w:tr>
        <w:trPr>
          <w:trHeight w:val="175"/>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071D49"/>
              </w:rPr>
              <w:t>Patient Access and Patient</w:t>
            </w:r>
          </w:p>
        </w:tc>
        <w:tc>
          <w:tcPr>
            <w:tcW w:w="3240" w:type="dxa"/>
            <w:vAlign w:val="bottom"/>
            <w:vMerge w:val="continue"/>
          </w:tcPr>
          <w:p>
            <w:pPr>
              <w:spacing w:after="0"/>
              <w:rPr>
                <w:sz w:val="15"/>
                <w:szCs w:val="15"/>
                <w:color w:val="auto"/>
              </w:rPr>
            </w:pPr>
          </w:p>
        </w:tc>
        <w:tc>
          <w:tcPr>
            <w:tcW w:w="2780" w:type="dxa"/>
            <w:vAlign w:val="bottom"/>
          </w:tcPr>
          <w:p>
            <w:pPr>
              <w:ind w:left="120"/>
              <w:spacing w:after="0" w:line="176" w:lineRule="exact"/>
              <w:rPr>
                <w:sz w:val="20"/>
                <w:szCs w:val="20"/>
                <w:color w:val="auto"/>
              </w:rPr>
            </w:pPr>
            <w:r>
              <w:rPr>
                <w:rFonts w:ascii="Arial" w:cs="Arial" w:eastAsia="Arial" w:hAnsi="Arial"/>
                <w:sz w:val="17"/>
                <w:szCs w:val="17"/>
                <w:color w:val="auto"/>
                <w:w w:val="97"/>
              </w:rPr>
              <w:t>We are committed to delivering safe</w:t>
            </w:r>
          </w:p>
        </w:tc>
        <w:tc>
          <w:tcPr>
            <w:tcW w:w="0" w:type="dxa"/>
            <w:vAlign w:val="bottom"/>
          </w:tcPr>
          <w:p>
            <w:pPr>
              <w:spacing w:after="0"/>
              <w:rPr>
                <w:sz w:val="1"/>
                <w:szCs w:val="1"/>
                <w:color w:val="auto"/>
              </w:rPr>
            </w:pPr>
          </w:p>
        </w:tc>
      </w:tr>
      <w:tr>
        <w:trPr>
          <w:trHeight w:val="183"/>
        </w:trPr>
        <w:tc>
          <w:tcPr>
            <w:tcW w:w="3020" w:type="dxa"/>
            <w:vAlign w:val="bottom"/>
            <w:vMerge w:val="continue"/>
          </w:tcPr>
          <w:p>
            <w:pPr>
              <w:spacing w:after="0"/>
              <w:rPr>
                <w:sz w:val="15"/>
                <w:szCs w:val="15"/>
                <w:color w:val="auto"/>
              </w:rPr>
            </w:pPr>
          </w:p>
        </w:tc>
        <w:tc>
          <w:tcPr>
            <w:tcW w:w="3240" w:type="dxa"/>
            <w:vAlign w:val="bottom"/>
          </w:tcPr>
          <w:p>
            <w:pPr>
              <w:ind w:left="100"/>
              <w:spacing w:after="0" w:line="183" w:lineRule="exact"/>
              <w:rPr>
                <w:sz w:val="20"/>
                <w:szCs w:val="20"/>
                <w:color w:val="auto"/>
              </w:rPr>
            </w:pPr>
            <w:r>
              <w:rPr>
                <w:rFonts w:ascii="Arial" w:cs="Arial" w:eastAsia="Arial" w:hAnsi="Arial"/>
                <w:sz w:val="17"/>
                <w:szCs w:val="17"/>
                <w:color w:val="auto"/>
              </w:rPr>
              <w:t>We act with integrity in everything we do.</w:t>
            </w:r>
          </w:p>
        </w:tc>
        <w:tc>
          <w:tcPr>
            <w:tcW w:w="2780" w:type="dxa"/>
            <w:vAlign w:val="bottom"/>
          </w:tcPr>
          <w:p>
            <w:pPr>
              <w:ind w:left="120"/>
              <w:spacing w:after="0" w:line="183" w:lineRule="exact"/>
              <w:rPr>
                <w:sz w:val="20"/>
                <w:szCs w:val="20"/>
                <w:color w:val="auto"/>
              </w:rPr>
            </w:pPr>
            <w:r>
              <w:rPr>
                <w:rFonts w:ascii="Arial" w:cs="Arial" w:eastAsia="Arial" w:hAnsi="Arial"/>
                <w:sz w:val="17"/>
                <w:szCs w:val="17"/>
                <w:color w:val="auto"/>
              </w:rPr>
              <w:t>and effective, quality products and</w:t>
            </w:r>
          </w:p>
        </w:tc>
        <w:tc>
          <w:tcPr>
            <w:tcW w:w="0" w:type="dxa"/>
            <w:vAlign w:val="bottom"/>
          </w:tcPr>
          <w:p>
            <w:pPr>
              <w:spacing w:after="0"/>
              <w:rPr>
                <w:sz w:val="1"/>
                <w:szCs w:val="1"/>
                <w:color w:val="auto"/>
              </w:rPr>
            </w:pPr>
          </w:p>
        </w:tc>
      </w:tr>
      <w:tr>
        <w:trPr>
          <w:trHeight w:val="205"/>
        </w:trPr>
        <w:tc>
          <w:tcPr>
            <w:tcW w:w="3020" w:type="dxa"/>
            <w:vAlign w:val="bottom"/>
          </w:tcPr>
          <w:p>
            <w:pPr>
              <w:spacing w:after="0" w:line="205" w:lineRule="exact"/>
              <w:rPr>
                <w:sz w:val="20"/>
                <w:szCs w:val="20"/>
                <w:color w:val="auto"/>
              </w:rPr>
            </w:pPr>
            <w:r>
              <w:rPr>
                <w:rFonts w:ascii="Arial" w:cs="Arial" w:eastAsia="Arial" w:hAnsi="Arial"/>
                <w:sz w:val="18"/>
                <w:szCs w:val="18"/>
                <w:b w:val="1"/>
                <w:bCs w:val="1"/>
                <w:color w:val="071D49"/>
              </w:rPr>
              <w:t>Affordability</w:t>
            </w:r>
          </w:p>
        </w:tc>
        <w:tc>
          <w:tcPr>
            <w:tcW w:w="3240" w:type="dxa"/>
            <w:vAlign w:val="bottom"/>
          </w:tcPr>
          <w:p>
            <w:pPr>
              <w:spacing w:after="0"/>
              <w:rPr>
                <w:sz w:val="17"/>
                <w:szCs w:val="17"/>
                <w:color w:val="auto"/>
              </w:rPr>
            </w:pPr>
          </w:p>
        </w:tc>
        <w:tc>
          <w:tcPr>
            <w:tcW w:w="2780" w:type="dxa"/>
            <w:vAlign w:val="bottom"/>
          </w:tcPr>
          <w:p>
            <w:pPr>
              <w:ind w:left="120"/>
              <w:spacing w:after="0"/>
              <w:rPr>
                <w:sz w:val="20"/>
                <w:szCs w:val="20"/>
                <w:color w:val="auto"/>
              </w:rPr>
            </w:pPr>
            <w:r>
              <w:rPr>
                <w:rFonts w:ascii="Arial" w:cs="Arial" w:eastAsia="Arial" w:hAnsi="Arial"/>
                <w:sz w:val="17"/>
                <w:szCs w:val="17"/>
                <w:color w:val="auto"/>
              </w:rPr>
              <w:t>medicines through robust quality</w:t>
            </w:r>
          </w:p>
        </w:tc>
        <w:tc>
          <w:tcPr>
            <w:tcW w:w="0" w:type="dxa"/>
            <w:vAlign w:val="bottom"/>
          </w:tcPr>
          <w:p>
            <w:pPr>
              <w:spacing w:after="0"/>
              <w:rPr>
                <w:sz w:val="1"/>
                <w:szCs w:val="1"/>
                <w:color w:val="auto"/>
              </w:rPr>
            </w:pPr>
          </w:p>
        </w:tc>
      </w:tr>
      <w:tr>
        <w:trPr>
          <w:trHeight w:val="188"/>
        </w:trPr>
        <w:tc>
          <w:tcPr>
            <w:tcW w:w="3020" w:type="dxa"/>
            <w:vAlign w:val="bottom"/>
          </w:tcPr>
          <w:p>
            <w:pPr>
              <w:spacing w:after="0" w:line="188" w:lineRule="exact"/>
              <w:rPr>
                <w:sz w:val="20"/>
                <w:szCs w:val="20"/>
                <w:color w:val="auto"/>
              </w:rPr>
            </w:pPr>
            <w:r>
              <w:rPr>
                <w:rFonts w:ascii="Arial" w:cs="Arial" w:eastAsia="Arial" w:hAnsi="Arial"/>
                <w:sz w:val="17"/>
                <w:szCs w:val="17"/>
                <w:color w:val="auto"/>
              </w:rPr>
              <w:t>We believe everyone who needs our</w:t>
            </w:r>
          </w:p>
        </w:tc>
        <w:tc>
          <w:tcPr>
            <w:tcW w:w="3240" w:type="dxa"/>
            <w:vAlign w:val="bottom"/>
          </w:tcPr>
          <w:p>
            <w:pPr>
              <w:spacing w:after="0"/>
              <w:rPr>
                <w:sz w:val="16"/>
                <w:szCs w:val="16"/>
                <w:color w:val="auto"/>
              </w:rPr>
            </w:pPr>
          </w:p>
        </w:tc>
        <w:tc>
          <w:tcPr>
            <w:tcW w:w="2780" w:type="dxa"/>
            <w:vAlign w:val="bottom"/>
          </w:tcPr>
          <w:p>
            <w:pPr>
              <w:ind w:left="120"/>
              <w:spacing w:after="0" w:line="188" w:lineRule="exact"/>
              <w:rPr>
                <w:sz w:val="20"/>
                <w:szCs w:val="20"/>
                <w:color w:val="auto"/>
              </w:rPr>
            </w:pPr>
            <w:r>
              <w:rPr>
                <w:rFonts w:ascii="Arial" w:cs="Arial" w:eastAsia="Arial" w:hAnsi="Arial"/>
                <w:sz w:val="17"/>
                <w:szCs w:val="17"/>
                <w:color w:val="auto"/>
              </w:rPr>
              <w:t>systems.</w:t>
            </w:r>
          </w:p>
        </w:tc>
        <w:tc>
          <w:tcPr>
            <w:tcW w:w="0" w:type="dxa"/>
            <w:vAlign w:val="bottom"/>
          </w:tcPr>
          <w:p>
            <w:pPr>
              <w:spacing w:after="0"/>
              <w:rPr>
                <w:sz w:val="1"/>
                <w:szCs w:val="1"/>
                <w:color w:val="auto"/>
              </w:rPr>
            </w:pPr>
          </w:p>
        </w:tc>
      </w:tr>
      <w:tr>
        <w:trPr>
          <w:trHeight w:val="221"/>
        </w:trPr>
        <w:tc>
          <w:tcPr>
            <w:tcW w:w="3020" w:type="dxa"/>
            <w:vAlign w:val="bottom"/>
          </w:tcPr>
          <w:p>
            <w:pPr>
              <w:spacing w:after="0"/>
              <w:rPr>
                <w:sz w:val="20"/>
                <w:szCs w:val="20"/>
                <w:color w:val="auto"/>
              </w:rPr>
            </w:pPr>
            <w:r>
              <w:rPr>
                <w:rFonts w:ascii="Arial" w:cs="Arial" w:eastAsia="Arial" w:hAnsi="Arial"/>
                <w:sz w:val="17"/>
                <w:szCs w:val="17"/>
                <w:color w:val="auto"/>
              </w:rPr>
              <w:t>medicines should be able to get them.</w:t>
            </w:r>
          </w:p>
        </w:tc>
        <w:tc>
          <w:tcPr>
            <w:tcW w:w="3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320"/>
        <w:spacing w:after="0" w:line="246" w:lineRule="auto"/>
        <w:rPr>
          <w:sz w:val="20"/>
          <w:szCs w:val="20"/>
          <w:color w:val="auto"/>
        </w:rPr>
      </w:pPr>
      <w:r>
        <w:rPr>
          <w:rFonts w:ascii="Arial" w:cs="Arial" w:eastAsia="Arial" w:hAnsi="Arial"/>
          <w:sz w:val="17"/>
          <w:szCs w:val="17"/>
          <w:color w:val="auto"/>
        </w:rPr>
        <w:t>We also prioritize Environmental Sustainability within and beyond AbbVie to support our patients, people, and planet. Our environmental sustainability strategy is focused on reducing our environmental footprint, growing sustainably by inspiring innovation, and engaging our workforce to steward sustainability.</w:t>
      </w:r>
    </w:p>
    <w:p>
      <w:pPr>
        <w:spacing w:after="0" w:line="200" w:lineRule="exact"/>
        <w:rPr>
          <w:sz w:val="20"/>
          <w:szCs w:val="20"/>
          <w:color w:val="auto"/>
        </w:rPr>
      </w:pPr>
    </w:p>
    <w:p>
      <w:pPr>
        <w:spacing w:after="0" w:line="344" w:lineRule="exact"/>
        <w:rPr>
          <w:sz w:val="20"/>
          <w:szCs w:val="20"/>
          <w:color w:val="auto"/>
        </w:rPr>
      </w:pPr>
    </w:p>
    <w:p>
      <w:pPr>
        <w:spacing w:after="0"/>
        <w:tabs>
          <w:tab w:leader="none" w:pos="256" w:val="left"/>
          <w:tab w:leader="none" w:pos="2060" w:val="left"/>
        </w:tabs>
        <w:rPr>
          <w:sz w:val="20"/>
          <w:szCs w:val="20"/>
          <w:color w:val="auto"/>
        </w:rPr>
      </w:pPr>
      <w:r>
        <w:rPr>
          <w:rFonts w:ascii="Arial" w:cs="Arial" w:eastAsia="Arial" w:hAnsi="Arial"/>
          <w:sz w:val="17"/>
          <w:szCs w:val="17"/>
          <w:color w:val="auto"/>
        </w:rPr>
        <w:t>8</w:t>
      </w:r>
      <w:r>
        <w:rPr>
          <w:sz w:val="20"/>
          <w:szCs w:val="20"/>
          <w:color w:val="auto"/>
        </w:rPr>
        <w:tab/>
      </w:r>
      <w:r>
        <w:rPr>
          <w:sz w:val="1"/>
          <w:szCs w:val="1"/>
          <w:color w:val="auto"/>
        </w:rPr>
        <w:drawing>
          <wp:inline distT="0" distB="0" distL="0" distR="0">
            <wp:extent cx="810260" cy="1511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PROXY SUMMARY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Our ESG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7883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97" w:lineRule="exact"/>
        <w:rPr>
          <w:sz w:val="20"/>
          <w:szCs w:val="20"/>
          <w:color w:val="auto"/>
        </w:rPr>
      </w:pPr>
    </w:p>
    <w:p>
      <w:pPr>
        <w:ind w:left="20" w:right="120"/>
        <w:spacing w:after="0" w:line="236" w:lineRule="auto"/>
        <w:rPr>
          <w:sz w:val="20"/>
          <w:szCs w:val="20"/>
          <w:color w:val="auto"/>
        </w:rPr>
      </w:pPr>
      <w:r>
        <w:rPr>
          <w:rFonts w:ascii="Arial" w:cs="Arial" w:eastAsia="Arial" w:hAnsi="Arial"/>
          <w:sz w:val="17"/>
          <w:szCs w:val="17"/>
          <w:color w:val="auto"/>
        </w:rPr>
        <w:t>AbbVie’s full board of directors, board committees, and executive leadership team regularly review, and advise on, ESG topics to advance AbbVie’s business sustainability and impact on society. To further strategic and enterprise-aligned delivery on AbbVie’s ESG Framework, we maintain an ESG Council, chaired by our Senior Vice President, Corporate Affairs, and composed of senior-level leaders from across the company. The ESG Council’s purpose is to champion business sustainability and mitigate business risks by monitoring, reviewing, and recommending actions to the ESG Council Chair, members of the executive leadership team, and AbbVie’s CEO. The ESG Council Chair may also present certain recommendations of the ESG Council from time to time to the board of directors as appropriate.</w:t>
      </w:r>
    </w:p>
    <w:p>
      <w:pPr>
        <w:spacing w:after="0" w:line="156" w:lineRule="exact"/>
        <w:rPr>
          <w:sz w:val="20"/>
          <w:szCs w:val="20"/>
          <w:color w:val="auto"/>
        </w:rPr>
      </w:pPr>
    </w:p>
    <w:p>
      <w:pPr>
        <w:ind w:left="20" w:right="480"/>
        <w:spacing w:after="0" w:line="261" w:lineRule="auto"/>
        <w:rPr>
          <w:sz w:val="20"/>
          <w:szCs w:val="20"/>
          <w:color w:val="auto"/>
        </w:rPr>
      </w:pPr>
      <w:r>
        <w:rPr>
          <w:rFonts w:ascii="Arial" w:cs="Arial" w:eastAsia="Arial" w:hAnsi="Arial"/>
          <w:sz w:val="17"/>
          <w:szCs w:val="17"/>
          <w:color w:val="auto"/>
        </w:rPr>
        <w:t>The ESG Council meets regularly and maintains sub-committees that are aligned to AbbVie’s material drivers. With this governance in place, AbbVie is well-positioned to recognize ESG opportunities and advance its ESG objectives.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ESG Action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78830"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97" w:lineRule="exact"/>
        <w:rPr>
          <w:sz w:val="20"/>
          <w:szCs w:val="20"/>
          <w:color w:val="auto"/>
        </w:rPr>
      </w:pPr>
    </w:p>
    <w:p>
      <w:pPr>
        <w:ind w:left="20"/>
        <w:spacing w:after="0" w:line="235" w:lineRule="auto"/>
        <w:rPr>
          <w:sz w:val="20"/>
          <w:szCs w:val="20"/>
          <w:color w:val="auto"/>
        </w:rPr>
      </w:pPr>
      <w:r>
        <w:rPr>
          <w:rFonts w:ascii="Arial" w:cs="Arial" w:eastAsia="Arial" w:hAnsi="Arial"/>
          <w:sz w:val="17"/>
          <w:szCs w:val="17"/>
          <w:color w:val="auto"/>
        </w:rPr>
        <w:t>In 2023, we further strengthened our ESG Action Report by enhancing transparency of our ESG strategies and efforts. Published in May 2023, the 2022 ESG Action Report includes detailed commentary about our approach, actions, and commitments across material drivers; over 100 KPIs showing our progress (a more than 30% increase in KPIs from our previous report); and ESG-related recognitions of our efforts. The report highlights several key actions, including AbbVie achieving its 2025 scope 1 and 2 carbon reduction target four years ahead of schedule, progress against our EEDI strategy, and advancements in product innovation. The ESG Action Report also outlines our alignment with United Nations Sustainable Development Goals (SDGs) and the Sustainability Accounting Standards Board (SASB) Index. The full ESG Action Report can be found at https://www.abbvie.com/content/dam/abbvie-com2/pdfs/abbvie-esg-action-report.pdf</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340" w:type="dxa"/>
            <w:vAlign w:val="bottom"/>
          </w:tcPr>
          <w:p>
            <w:pPr>
              <w:ind w:left="55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88"/>
        </w:trPr>
        <w:tc>
          <w:tcPr>
            <w:tcW w:w="8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-508000</wp:posOffset>
            </wp:positionV>
            <wp:extent cx="810260" cy="151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PROXY SUMMARY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Below are select 2023 ESG highlights across several of our material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587883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ectPr>
          <w:pgSz w:w="11900" w:h="16838" w:orient="portrait"/>
          <w:cols w:equalWidth="0" w:num="1">
            <w:col w:w="9140"/>
          </w:cols>
          <w:pgMar w:left="1320" w:top="486" w:right="14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71D49"/>
        </w:rPr>
        <w:t>Product Innovation</w:t>
      </w:r>
    </w:p>
    <w:p>
      <w:pPr>
        <w:spacing w:after="0" w:line="92" w:lineRule="exact"/>
        <w:rPr>
          <w:sz w:val="20"/>
          <w:szCs w:val="20"/>
          <w:color w:val="auto"/>
        </w:rPr>
      </w:pPr>
    </w:p>
    <w:p>
      <w:pPr>
        <w:ind w:left="380" w:right="40" w:hanging="295"/>
        <w:spacing w:after="0" w:line="236" w:lineRule="auto"/>
        <w:tabs>
          <w:tab w:leader="none" w:pos="380" w:val="left"/>
        </w:tabs>
        <w:numPr>
          <w:ilvl w:val="0"/>
          <w:numId w:val="18"/>
        </w:numPr>
        <w:rPr>
          <w:rFonts w:ascii="MS PGothic" w:cs="MS PGothic" w:eastAsia="MS PGothic" w:hAnsi="MS PGothic"/>
          <w:sz w:val="17"/>
          <w:szCs w:val="17"/>
          <w:color w:val="auto"/>
        </w:rPr>
      </w:pPr>
      <w:r>
        <w:rPr>
          <w:rFonts w:ascii="Arial" w:cs="Arial" w:eastAsia="Arial" w:hAnsi="Arial"/>
          <w:sz w:val="17"/>
          <w:szCs w:val="17"/>
          <w:color w:val="auto"/>
        </w:rPr>
        <w:t>$7.8 billion in adjusted research &amp; development investment in 2023*</w:t>
      </w:r>
    </w:p>
    <w:p>
      <w:pPr>
        <w:spacing w:after="0" w:line="2" w:lineRule="exact"/>
        <w:rPr>
          <w:rFonts w:ascii="MS PGothic" w:cs="MS PGothic" w:eastAsia="MS PGothic" w:hAnsi="MS PGothic"/>
          <w:sz w:val="17"/>
          <w:szCs w:val="17"/>
          <w:color w:val="auto"/>
        </w:rPr>
      </w:pPr>
    </w:p>
    <w:p>
      <w:pPr>
        <w:ind w:left="380" w:right="300" w:hanging="295"/>
        <w:spacing w:after="0" w:line="244" w:lineRule="auto"/>
        <w:tabs>
          <w:tab w:leader="none" w:pos="380" w:val="left"/>
        </w:tabs>
        <w:numPr>
          <w:ilvl w:val="0"/>
          <w:numId w:val="18"/>
        </w:numPr>
        <w:rPr>
          <w:rFonts w:ascii="MS PGothic" w:cs="MS PGothic" w:eastAsia="MS PGothic" w:hAnsi="MS PGothic"/>
          <w:sz w:val="16"/>
          <w:szCs w:val="16"/>
          <w:color w:val="auto"/>
        </w:rPr>
      </w:pPr>
      <w:r>
        <w:rPr>
          <w:rFonts w:ascii="Arial" w:cs="Arial" w:eastAsia="Arial" w:hAnsi="Arial"/>
          <w:sz w:val="16"/>
          <w:szCs w:val="16"/>
          <w:color w:val="auto"/>
        </w:rPr>
        <w:t>7 major product or indication approvals in 2023</w:t>
      </w:r>
    </w:p>
    <w:p>
      <w:pPr>
        <w:spacing w:after="0" w:line="1" w:lineRule="exact"/>
        <w:rPr>
          <w:rFonts w:ascii="MS PGothic" w:cs="MS PGothic" w:eastAsia="MS PGothic" w:hAnsi="MS PGothic"/>
          <w:sz w:val="16"/>
          <w:szCs w:val="16"/>
          <w:color w:val="auto"/>
        </w:rPr>
      </w:pPr>
    </w:p>
    <w:p>
      <w:pPr>
        <w:ind w:left="380" w:right="80" w:hanging="295"/>
        <w:spacing w:after="0" w:line="237" w:lineRule="auto"/>
        <w:tabs>
          <w:tab w:leader="none" w:pos="380" w:val="left"/>
        </w:tabs>
        <w:numPr>
          <w:ilvl w:val="0"/>
          <w:numId w:val="18"/>
        </w:numPr>
        <w:rPr>
          <w:rFonts w:ascii="MS PGothic" w:cs="MS PGothic" w:eastAsia="MS PGothic" w:hAnsi="MS PGothic"/>
          <w:sz w:val="17"/>
          <w:szCs w:val="17"/>
          <w:color w:val="auto"/>
        </w:rPr>
      </w:pPr>
      <w:r>
        <w:rPr>
          <w:rFonts w:ascii="Arial" w:cs="Arial" w:eastAsia="Arial" w:hAnsi="Arial"/>
          <w:sz w:val="17"/>
          <w:szCs w:val="17"/>
          <w:color w:val="auto"/>
        </w:rPr>
        <w:t>Announced two acquisitions totaling more than $18 billion to expand our robust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657860</wp:posOffset>
            </wp:positionV>
            <wp:extent cx="183515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3515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071D49"/>
        </w:rPr>
        <w:t>Environmental Sustainability</w:t>
      </w:r>
    </w:p>
    <w:p>
      <w:pPr>
        <w:spacing w:after="0" w:line="92" w:lineRule="exact"/>
        <w:rPr>
          <w:sz w:val="20"/>
          <w:szCs w:val="20"/>
          <w:color w:val="auto"/>
        </w:rPr>
      </w:pPr>
    </w:p>
    <w:p>
      <w:pPr>
        <w:ind w:left="380" w:right="60" w:hanging="295"/>
        <w:spacing w:after="0" w:line="247" w:lineRule="auto"/>
        <w:tabs>
          <w:tab w:leader="none" w:pos="38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AbbVie’s science-based targets were approved by SBTi in 2023 and include a Scope 1 and 2 emissions reduction target, a 100% renewable electricity target, and a supplier engagement target for AbbVie’s largest scope 3 categories</w:t>
      </w:r>
    </w:p>
    <w:p>
      <w:pPr>
        <w:spacing w:after="0" w:line="2" w:lineRule="exact"/>
        <w:rPr>
          <w:rFonts w:ascii="MS PGothic" w:cs="MS PGothic" w:eastAsia="MS PGothic" w:hAnsi="MS PGothic"/>
          <w:sz w:val="16"/>
          <w:szCs w:val="16"/>
          <w:color w:val="auto"/>
        </w:rPr>
      </w:pPr>
    </w:p>
    <w:p>
      <w:pPr>
        <w:ind w:left="380" w:right="80" w:hanging="295"/>
        <w:spacing w:after="0" w:line="275" w:lineRule="auto"/>
        <w:tabs>
          <w:tab w:leader="none" w:pos="380" w:val="left"/>
        </w:tabs>
        <w:numPr>
          <w:ilvl w:val="0"/>
          <w:numId w:val="19"/>
        </w:numPr>
        <w:rPr>
          <w:rFonts w:ascii="MS PGothic" w:cs="MS PGothic" w:eastAsia="MS PGothic" w:hAnsi="MS PGothic"/>
          <w:sz w:val="16"/>
          <w:szCs w:val="16"/>
          <w:color w:val="auto"/>
        </w:rPr>
      </w:pPr>
      <w:r>
        <w:rPr>
          <w:rFonts w:ascii="Arial" w:cs="Arial" w:eastAsia="Arial" w:hAnsi="Arial"/>
          <w:sz w:val="16"/>
          <w:szCs w:val="16"/>
          <w:color w:val="auto"/>
        </w:rPr>
        <w:t>AbbVie has decreased its Scope 1 and 2 emissions by more than 15% compared to its 2021 baseline, and is ahead of schedule to meet its new 42% Scope 1 and 2 emissions reduction target by 2030</w:t>
      </w:r>
    </w:p>
    <w:p>
      <w:pPr>
        <w:ind w:left="380" w:hanging="295"/>
        <w:spacing w:after="0" w:line="263" w:lineRule="auto"/>
        <w:tabs>
          <w:tab w:leader="none" w:pos="380" w:val="left"/>
        </w:tabs>
        <w:numPr>
          <w:ilvl w:val="0"/>
          <w:numId w:val="19"/>
        </w:numPr>
        <w:rPr>
          <w:rFonts w:ascii="MS PGothic" w:cs="MS PGothic" w:eastAsia="MS PGothic" w:hAnsi="MS PGothic"/>
          <w:sz w:val="17"/>
          <w:szCs w:val="17"/>
          <w:color w:val="auto"/>
        </w:rPr>
      </w:pPr>
      <w:r>
        <w:rPr>
          <w:rFonts w:ascii="Arial" w:cs="Arial" w:eastAsia="Arial" w:hAnsi="Arial"/>
          <w:sz w:val="17"/>
          <w:szCs w:val="17"/>
          <w:color w:val="auto"/>
        </w:rPr>
        <w:t>AbbVie’s Decarbonization Plan was published in 2023 and outlines the process for achieving its new science-based Scope 1 and 2 emissions reduction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137795</wp:posOffset>
            </wp:positionV>
            <wp:extent cx="183515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351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7" w:right="580"/>
        <w:spacing w:after="0" w:line="268" w:lineRule="auto"/>
        <w:rPr>
          <w:sz w:val="20"/>
          <w:szCs w:val="20"/>
          <w:color w:val="auto"/>
        </w:rPr>
      </w:pPr>
      <w:r>
        <w:rPr>
          <w:rFonts w:ascii="Arial" w:cs="Arial" w:eastAsia="Arial" w:hAnsi="Arial"/>
          <w:sz w:val="17"/>
          <w:szCs w:val="17"/>
          <w:b w:val="1"/>
          <w:bCs w:val="1"/>
          <w:color w:val="071D49"/>
        </w:rPr>
        <w:t>Patient Access and Patient Affordability</w:t>
      </w:r>
    </w:p>
    <w:p>
      <w:pPr>
        <w:spacing w:after="0" w:line="39" w:lineRule="exact"/>
        <w:rPr>
          <w:sz w:val="20"/>
          <w:szCs w:val="20"/>
          <w:color w:val="auto"/>
        </w:rPr>
      </w:pPr>
    </w:p>
    <w:p>
      <w:pPr>
        <w:ind w:left="307" w:right="180" w:hanging="307"/>
        <w:spacing w:after="0" w:line="235" w:lineRule="auto"/>
        <w:tabs>
          <w:tab w:leader="none" w:pos="307"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Over 218,000 U.S. patients provided medicine at no cost through our patient assistance program in 2023</w:t>
      </w:r>
    </w:p>
    <w:p>
      <w:pPr>
        <w:spacing w:after="0" w:line="1" w:lineRule="exact"/>
        <w:rPr>
          <w:rFonts w:ascii="MS PGothic" w:cs="MS PGothic" w:eastAsia="MS PGothic" w:hAnsi="MS PGothic"/>
          <w:sz w:val="17"/>
          <w:szCs w:val="17"/>
          <w:color w:val="auto"/>
        </w:rPr>
      </w:pPr>
    </w:p>
    <w:p>
      <w:pPr>
        <w:ind w:left="307" w:right="220" w:hanging="307"/>
        <w:spacing w:after="0" w:line="230" w:lineRule="auto"/>
        <w:tabs>
          <w:tab w:leader="none" w:pos="307"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More than one million units of medicine donated globally in 2023</w:t>
      </w:r>
    </w:p>
    <w:p>
      <w:pPr>
        <w:spacing w:after="0" w:line="1" w:lineRule="exact"/>
        <w:rPr>
          <w:rFonts w:ascii="MS PGothic" w:cs="MS PGothic" w:eastAsia="MS PGothic" w:hAnsi="MS PGothic"/>
          <w:sz w:val="17"/>
          <w:szCs w:val="17"/>
          <w:color w:val="auto"/>
        </w:rPr>
      </w:pPr>
    </w:p>
    <w:p>
      <w:pPr>
        <w:ind w:left="307" w:right="20" w:hanging="307"/>
        <w:spacing w:after="0" w:line="234" w:lineRule="auto"/>
        <w:tabs>
          <w:tab w:leader="none" w:pos="307" w:val="left"/>
        </w:tabs>
        <w:numPr>
          <w:ilvl w:val="0"/>
          <w:numId w:val="20"/>
        </w:numPr>
        <w:rPr>
          <w:rFonts w:ascii="MS PGothic" w:cs="MS PGothic" w:eastAsia="MS PGothic" w:hAnsi="MS PGothic"/>
          <w:sz w:val="17"/>
          <w:szCs w:val="17"/>
          <w:color w:val="auto"/>
        </w:rPr>
      </w:pPr>
      <w:r>
        <w:rPr>
          <w:rFonts w:ascii="Arial" w:cs="Arial" w:eastAsia="Arial" w:hAnsi="Arial"/>
          <w:sz w:val="17"/>
          <w:szCs w:val="17"/>
          <w:color w:val="auto"/>
        </w:rPr>
        <w:t>Within the United States, we provide co-pay assistance, regardless of income, to all eligible patients with commercial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62865</wp:posOffset>
            </wp:positionV>
            <wp:extent cx="184340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212"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071D49"/>
        </w:rPr>
        <w:t>Patient Health and Engagement</w:t>
      </w:r>
    </w:p>
    <w:p>
      <w:pPr>
        <w:spacing w:after="0" w:line="92" w:lineRule="exact"/>
        <w:rPr>
          <w:sz w:val="20"/>
          <w:szCs w:val="20"/>
          <w:color w:val="auto"/>
        </w:rPr>
      </w:pPr>
    </w:p>
    <w:p>
      <w:pPr>
        <w:ind w:left="307" w:hanging="307"/>
        <w:spacing w:after="0" w:line="232" w:lineRule="auto"/>
        <w:tabs>
          <w:tab w:leader="none" w:pos="307"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AbbVie currently supports 18 active medical research and drug development projects across the spectrum of the patient journey through the Innovative Health Initiative in the European Union, with more than 300 leaders and subject matter experts from 10 AbbVie sites involved</w:t>
      </w:r>
    </w:p>
    <w:p>
      <w:pPr>
        <w:spacing w:after="0" w:line="3" w:lineRule="exact"/>
        <w:rPr>
          <w:rFonts w:ascii="MS PGothic" w:cs="MS PGothic" w:eastAsia="MS PGothic" w:hAnsi="MS PGothic"/>
          <w:sz w:val="17"/>
          <w:szCs w:val="17"/>
          <w:color w:val="auto"/>
        </w:rPr>
      </w:pPr>
    </w:p>
    <w:p>
      <w:pPr>
        <w:ind w:left="307" w:right="80" w:hanging="307"/>
        <w:spacing w:after="0" w:line="244" w:lineRule="auto"/>
        <w:tabs>
          <w:tab w:leader="none" w:pos="307" w:val="left"/>
        </w:tabs>
        <w:numPr>
          <w:ilvl w:val="0"/>
          <w:numId w:val="21"/>
        </w:numPr>
        <w:rPr>
          <w:rFonts w:ascii="MS PGothic" w:cs="MS PGothic" w:eastAsia="MS PGothic" w:hAnsi="MS PGothic"/>
          <w:sz w:val="16"/>
          <w:szCs w:val="16"/>
          <w:color w:val="auto"/>
        </w:rPr>
      </w:pPr>
      <w:r>
        <w:rPr>
          <w:rFonts w:ascii="Arial" w:cs="Arial" w:eastAsia="Arial" w:hAnsi="Arial"/>
          <w:sz w:val="16"/>
          <w:szCs w:val="16"/>
          <w:color w:val="auto"/>
        </w:rPr>
        <w:t>Offered more than 475 patient support programs worldwide for patients who have started treatment on AbbVie medicines</w:t>
      </w:r>
    </w:p>
    <w:p>
      <w:pPr>
        <w:spacing w:after="0" w:line="2" w:lineRule="exact"/>
        <w:rPr>
          <w:rFonts w:ascii="MS PGothic" w:cs="MS PGothic" w:eastAsia="MS PGothic" w:hAnsi="MS PGothic"/>
          <w:sz w:val="16"/>
          <w:szCs w:val="16"/>
          <w:color w:val="auto"/>
        </w:rPr>
      </w:pPr>
    </w:p>
    <w:p>
      <w:pPr>
        <w:ind w:left="307"/>
        <w:spacing w:after="0" w:line="230" w:lineRule="auto"/>
        <w:rPr>
          <w:rFonts w:ascii="MS PGothic" w:cs="MS PGothic" w:eastAsia="MS PGothic" w:hAnsi="MS PGothic"/>
          <w:sz w:val="16"/>
          <w:szCs w:val="16"/>
          <w:color w:val="auto"/>
        </w:rPr>
      </w:pPr>
      <w:r>
        <w:rPr>
          <w:rFonts w:ascii="Arial" w:cs="Arial" w:eastAsia="Arial" w:hAnsi="Arial"/>
          <w:sz w:val="17"/>
          <w:szCs w:val="17"/>
          <w:color w:val="auto"/>
        </w:rPr>
        <w:t>– each program being tailored to country and disease-specific needs</w:t>
      </w:r>
    </w:p>
    <w:p>
      <w:pPr>
        <w:spacing w:after="0" w:line="1" w:lineRule="exact"/>
        <w:rPr>
          <w:rFonts w:ascii="MS PGothic" w:cs="MS PGothic" w:eastAsia="MS PGothic" w:hAnsi="MS PGothic"/>
          <w:sz w:val="16"/>
          <w:szCs w:val="16"/>
          <w:color w:val="auto"/>
        </w:rPr>
      </w:pPr>
    </w:p>
    <w:p>
      <w:pPr>
        <w:ind w:left="307" w:right="100" w:hanging="307"/>
        <w:spacing w:after="0" w:line="234" w:lineRule="auto"/>
        <w:tabs>
          <w:tab w:leader="none" w:pos="307"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Over $28 million in grants and over 144,000 patients and health care providers reached through independent education grants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213995</wp:posOffset>
            </wp:positionV>
            <wp:extent cx="184340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071D49"/>
        </w:rPr>
        <w:t>Human Capital Management</w:t>
      </w:r>
    </w:p>
    <w:p>
      <w:pPr>
        <w:spacing w:after="0" w:line="92" w:lineRule="exact"/>
        <w:rPr>
          <w:sz w:val="20"/>
          <w:szCs w:val="20"/>
          <w:color w:val="auto"/>
        </w:rPr>
      </w:pPr>
    </w:p>
    <w:p>
      <w:pPr>
        <w:ind w:left="307" w:right="140" w:hanging="307"/>
        <w:spacing w:after="0" w:line="236" w:lineRule="auto"/>
        <w:tabs>
          <w:tab w:leader="none" w:pos="307"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AbbVie further improved the diversity of its board of directors in 2023</w:t>
      </w:r>
    </w:p>
    <w:p>
      <w:pPr>
        <w:spacing w:after="0" w:line="2" w:lineRule="exact"/>
        <w:rPr>
          <w:rFonts w:ascii="MS PGothic" w:cs="MS PGothic" w:eastAsia="MS PGothic" w:hAnsi="MS PGothic"/>
          <w:sz w:val="17"/>
          <w:szCs w:val="17"/>
          <w:color w:val="auto"/>
        </w:rPr>
      </w:pPr>
    </w:p>
    <w:p>
      <w:pPr>
        <w:jc w:val="both"/>
        <w:ind w:left="307" w:right="260" w:hanging="307"/>
        <w:spacing w:after="0" w:line="230" w:lineRule="auto"/>
        <w:tabs>
          <w:tab w:leader="none" w:pos="307"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We received a 92% response rate for our 2023 all-employee survey</w:t>
      </w:r>
    </w:p>
    <w:p>
      <w:pPr>
        <w:spacing w:after="0" w:line="1" w:lineRule="exact"/>
        <w:rPr>
          <w:rFonts w:ascii="MS PGothic" w:cs="MS PGothic" w:eastAsia="MS PGothic" w:hAnsi="MS PGothic"/>
          <w:sz w:val="17"/>
          <w:szCs w:val="17"/>
          <w:color w:val="auto"/>
        </w:rPr>
      </w:pPr>
    </w:p>
    <w:p>
      <w:pPr>
        <w:ind w:left="307" w:right="20" w:hanging="307"/>
        <w:spacing w:after="0" w:line="233" w:lineRule="auto"/>
        <w:tabs>
          <w:tab w:leader="none" w:pos="307"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Nearly 14,000 AbbVie employees in 57 countries and territories donated more than 47,000 volunteer hours during AbbVie’s annual Week of Possibilities volunteer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182880</wp:posOffset>
            </wp:positionV>
            <wp:extent cx="18986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98650" cy="1587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071D49"/>
        </w:rPr>
        <w:t>Business Ethics</w:t>
      </w:r>
    </w:p>
    <w:p>
      <w:pPr>
        <w:spacing w:after="0" w:line="92" w:lineRule="exact"/>
        <w:rPr>
          <w:sz w:val="20"/>
          <w:szCs w:val="20"/>
          <w:color w:val="auto"/>
        </w:rPr>
      </w:pPr>
    </w:p>
    <w:p>
      <w:pPr>
        <w:ind w:left="307" w:right="60" w:hanging="307"/>
        <w:spacing w:after="0" w:line="250" w:lineRule="auto"/>
        <w:tabs>
          <w:tab w:leader="none" w:pos="307" w:val="left"/>
        </w:tabs>
        <w:numPr>
          <w:ilvl w:val="0"/>
          <w:numId w:val="23"/>
        </w:numPr>
        <w:rPr>
          <w:rFonts w:ascii="MS PGothic" w:cs="MS PGothic" w:eastAsia="MS PGothic" w:hAnsi="MS PGothic"/>
          <w:sz w:val="16"/>
          <w:szCs w:val="16"/>
          <w:color w:val="auto"/>
        </w:rPr>
      </w:pPr>
      <w:r>
        <w:rPr>
          <w:rFonts w:ascii="Arial" w:cs="Arial" w:eastAsia="Arial" w:hAnsi="Arial"/>
          <w:sz w:val="16"/>
          <w:szCs w:val="16"/>
          <w:color w:val="auto"/>
        </w:rPr>
        <w:t>All eligible employees completed AbbVie’s annual training on our Code of Business Conduct and conflicts of interest training</w:t>
      </w:r>
    </w:p>
    <w:p>
      <w:pPr>
        <w:ind w:left="307" w:hanging="307"/>
        <w:spacing w:after="0" w:line="233" w:lineRule="auto"/>
        <w:tabs>
          <w:tab w:leader="none" w:pos="307" w:val="left"/>
        </w:tabs>
        <w:numPr>
          <w:ilvl w:val="0"/>
          <w:numId w:val="23"/>
        </w:numPr>
        <w:rPr>
          <w:rFonts w:ascii="MS PGothic" w:cs="MS PGothic" w:eastAsia="MS PGothic" w:hAnsi="MS PGothic"/>
          <w:sz w:val="17"/>
          <w:szCs w:val="17"/>
          <w:color w:val="auto"/>
        </w:rPr>
      </w:pPr>
      <w:r>
        <w:rPr>
          <w:rFonts w:ascii="Arial" w:cs="Arial" w:eastAsia="Arial" w:hAnsi="Arial"/>
          <w:sz w:val="17"/>
          <w:szCs w:val="17"/>
          <w:color w:val="auto"/>
        </w:rPr>
        <w:t>In the United States, we held our first Ethics and Compliance Week in 2023, including multiple informational sessions and interviews with senior leaders about the importance of acting with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1524635</wp:posOffset>
            </wp:positionV>
            <wp:extent cx="1898650"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98650" cy="15875"/>
                    </a:xfrm>
                    <a:prstGeom prst="rect">
                      <a:avLst/>
                    </a:prstGeom>
                    <a:noFill/>
                  </pic:spPr>
                </pic:pic>
              </a:graphicData>
            </a:graphic>
          </wp:anchor>
        </w:drawing>
      </w:r>
    </w:p>
    <w:p>
      <w:pPr>
        <w:spacing w:after="0" w:line="2383" w:lineRule="exact"/>
        <w:rPr>
          <w:sz w:val="20"/>
          <w:szCs w:val="20"/>
          <w:color w:val="auto"/>
        </w:rPr>
      </w:pPr>
    </w:p>
    <w:p>
      <w:pPr>
        <w:sectPr>
          <w:pgSz w:w="11900" w:h="16838" w:orient="portrait"/>
          <w:cols w:equalWidth="0" w:num="3">
            <w:col w:w="2780" w:space="433"/>
            <w:col w:w="2707" w:space="433"/>
            <w:col w:w="2787"/>
          </w:cols>
          <w:pgMar w:left="1320" w:top="486" w:right="14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*Adjusted research and development investment is a non-GAAP measure, which is reconciled in Appendix B.</w:t>
      </w:r>
    </w:p>
    <w:p>
      <w:pPr>
        <w:spacing w:after="0" w:line="200" w:lineRule="exact"/>
        <w:rPr>
          <w:sz w:val="20"/>
          <w:szCs w:val="20"/>
          <w:color w:val="auto"/>
        </w:rPr>
      </w:pPr>
    </w:p>
    <w:p>
      <w:pPr>
        <w:spacing w:after="0" w:line="373"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10</w:t>
      </w:r>
      <w:r>
        <w:rPr>
          <w:sz w:val="20"/>
          <w:szCs w:val="20"/>
          <w:color w:val="auto"/>
        </w:rPr>
        <w:tab/>
      </w:r>
      <w:r>
        <w:rPr>
          <w:sz w:val="1"/>
          <w:szCs w:val="1"/>
          <w:color w:val="auto"/>
        </w:rPr>
        <w:drawing>
          <wp:inline distT="0" distB="0" distL="0" distR="0">
            <wp:extent cx="810260" cy="15113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140"/>
          </w:cols>
          <w:pgMar w:left="1320" w:top="486" w:right="1439"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PROXY SUMMARY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External Recognition as a Leading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7883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97" w:lineRule="exact"/>
        <w:rPr>
          <w:sz w:val="20"/>
          <w:szCs w:val="20"/>
          <w:color w:val="auto"/>
        </w:rPr>
      </w:pPr>
    </w:p>
    <w:p>
      <w:pPr>
        <w:ind w:left="20" w:right="520"/>
        <w:spacing w:after="0" w:line="293" w:lineRule="auto"/>
        <w:rPr>
          <w:sz w:val="20"/>
          <w:szCs w:val="20"/>
          <w:color w:val="auto"/>
        </w:rPr>
      </w:pPr>
      <w:r>
        <w:rPr>
          <w:rFonts w:ascii="Arial" w:cs="Arial" w:eastAsia="Arial" w:hAnsi="Arial"/>
          <w:sz w:val="16"/>
          <w:szCs w:val="16"/>
          <w:color w:val="auto"/>
        </w:rPr>
        <w:t>Our work hasn’t gone unnoticed. We have been honored to receive some of our industry’s most prestigious ratings and recognitions. To date, we have received more than 40 Great Place to Work and Top Employer rankings globally.</w:t>
      </w:r>
    </w:p>
    <w:p>
      <w:pPr>
        <w:sectPr>
          <w:pgSz w:w="11900" w:h="16838" w:orient="portrait"/>
          <w:cols w:equalWidth="0" w:num="1">
            <w:col w:w="9280"/>
          </w:cols>
          <w:pgMar w:left="1300" w:top="486" w:right="1319" w:bottom="1440" w:gutter="0" w:footer="0" w:header="0"/>
        </w:sectPr>
      </w:pP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071D49"/>
        </w:rPr>
        <w:t>Workplace &amp;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140970</wp:posOffset>
            </wp:positionV>
            <wp:extent cx="313055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30550" cy="15875"/>
                    </a:xfrm>
                    <a:prstGeom prst="rect">
                      <a:avLst/>
                    </a:prstGeom>
                    <a:noFill/>
                  </pic:spPr>
                </pic:pic>
              </a:graphicData>
            </a:graphic>
          </wp:anchor>
        </w:drawing>
      </w:r>
    </w:p>
    <w:p>
      <w:pPr>
        <w:spacing w:after="0" w:line="272" w:lineRule="exact"/>
        <w:rPr>
          <w:sz w:val="20"/>
          <w:szCs w:val="20"/>
          <w:color w:val="auto"/>
        </w:rPr>
      </w:pPr>
    </w:p>
    <w:p>
      <w:pPr>
        <w:ind w:left="900" w:right="520" w:hanging="295"/>
        <w:spacing w:after="0" w:line="250" w:lineRule="auto"/>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Great Place to Work’s World’s Best Workplaces™ – </w:t>
      </w:r>
      <w:r>
        <w:rPr>
          <w:rFonts w:ascii="Arial" w:cs="Arial" w:eastAsia="Arial" w:hAnsi="Arial"/>
          <w:sz w:val="17"/>
          <w:szCs w:val="17"/>
          <w:i w:val="1"/>
          <w:iCs w:val="1"/>
          <w:color w:val="auto"/>
        </w:rPr>
        <w:t>Included since 2017 (was ranked #4 in 2023)</w:t>
      </w:r>
    </w:p>
    <w:p>
      <w:pPr>
        <w:spacing w:after="0" w:line="1" w:lineRule="exact"/>
        <w:rPr>
          <w:rFonts w:ascii="MS PGothic" w:cs="MS PGothic" w:eastAsia="MS PGothic" w:hAnsi="MS PGothic"/>
          <w:sz w:val="17"/>
          <w:szCs w:val="17"/>
          <w:color w:val="auto"/>
        </w:rPr>
      </w:pPr>
    </w:p>
    <w:p>
      <w:pPr>
        <w:ind w:left="900" w:right="320" w:hanging="295"/>
        <w:spacing w:after="0" w:line="245" w:lineRule="auto"/>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Fair 360 (formerly DiversityInc) “Top 50 Companies for Diversity” – </w:t>
      </w:r>
      <w:r>
        <w:rPr>
          <w:rFonts w:ascii="Arial" w:cs="Arial" w:eastAsia="Arial" w:hAnsi="Arial"/>
          <w:sz w:val="17"/>
          <w:szCs w:val="17"/>
          <w:i w:val="1"/>
          <w:iCs w:val="1"/>
          <w:color w:val="auto"/>
        </w:rPr>
        <w:t>Included since 2014</w:t>
      </w:r>
    </w:p>
    <w:p>
      <w:pPr>
        <w:spacing w:after="0" w:line="5" w:lineRule="exact"/>
        <w:rPr>
          <w:rFonts w:ascii="MS PGothic" w:cs="MS PGothic" w:eastAsia="MS PGothic" w:hAnsi="MS PGothic"/>
          <w:sz w:val="17"/>
          <w:szCs w:val="17"/>
          <w:color w:val="auto"/>
        </w:rPr>
      </w:pPr>
    </w:p>
    <w:p>
      <w:pPr>
        <w:ind w:left="900" w:right="140" w:hanging="295"/>
        <w:spacing w:after="0"/>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Seramount “100 Best Companies” – </w:t>
      </w:r>
      <w:r>
        <w:rPr>
          <w:rFonts w:ascii="Arial" w:cs="Arial" w:eastAsia="Arial" w:hAnsi="Arial"/>
          <w:sz w:val="17"/>
          <w:szCs w:val="17"/>
          <w:i w:val="1"/>
          <w:iCs w:val="1"/>
          <w:color w:val="auto"/>
        </w:rPr>
        <w:t>Included since 2014</w:t>
      </w:r>
      <w:r>
        <w:rPr>
          <w:rFonts w:ascii="Arial" w:cs="Arial" w:eastAsia="Arial" w:hAnsi="Arial"/>
          <w:sz w:val="17"/>
          <w:szCs w:val="17"/>
          <w:color w:val="auto"/>
        </w:rPr>
        <w:t xml:space="preserve"> </w:t>
      </w:r>
      <w:r>
        <w:rPr>
          <w:rFonts w:ascii="Arial" w:cs="Arial" w:eastAsia="Arial" w:hAnsi="Arial"/>
          <w:sz w:val="17"/>
          <w:szCs w:val="17"/>
          <w:i w:val="1"/>
          <w:iCs w:val="1"/>
          <w:color w:val="auto"/>
        </w:rPr>
        <w:t>(top-ten ranking for five of the last six years)</w:t>
      </w:r>
    </w:p>
    <w:p>
      <w:pPr>
        <w:ind w:left="900" w:right="80" w:hanging="295"/>
        <w:spacing w:after="0" w:line="230" w:lineRule="auto"/>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FORTUNE 100 Best Companies to Work For® – </w:t>
      </w:r>
      <w:r>
        <w:rPr>
          <w:rFonts w:ascii="Arial" w:cs="Arial" w:eastAsia="Arial" w:hAnsi="Arial"/>
          <w:sz w:val="17"/>
          <w:szCs w:val="17"/>
          <w:i w:val="1"/>
          <w:iCs w:val="1"/>
          <w:color w:val="auto"/>
        </w:rPr>
        <w:t>Included</w:t>
      </w:r>
      <w:r>
        <w:rPr>
          <w:rFonts w:ascii="Arial" w:cs="Arial" w:eastAsia="Arial" w:hAnsi="Arial"/>
          <w:sz w:val="17"/>
          <w:szCs w:val="17"/>
          <w:color w:val="auto"/>
        </w:rPr>
        <w:t xml:space="preserve"> </w:t>
      </w:r>
      <w:r>
        <w:rPr>
          <w:rFonts w:ascii="Arial" w:cs="Arial" w:eastAsia="Arial" w:hAnsi="Arial"/>
          <w:sz w:val="17"/>
          <w:szCs w:val="17"/>
          <w:i w:val="1"/>
          <w:iCs w:val="1"/>
          <w:color w:val="auto"/>
        </w:rPr>
        <w:t>since 2018</w:t>
      </w:r>
    </w:p>
    <w:p>
      <w:pPr>
        <w:ind w:left="900" w:right="460" w:hanging="295"/>
        <w:spacing w:after="0" w:line="230" w:lineRule="auto"/>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Human Rights Campaign Corporate Equality Index – </w:t>
      </w:r>
      <w:r>
        <w:rPr>
          <w:rFonts w:ascii="Arial" w:cs="Arial" w:eastAsia="Arial" w:hAnsi="Arial"/>
          <w:sz w:val="17"/>
          <w:szCs w:val="17"/>
          <w:i w:val="1"/>
          <w:iCs w:val="1"/>
          <w:color w:val="auto"/>
        </w:rPr>
        <w:t>Scored 100% since 2016</w:t>
      </w:r>
    </w:p>
    <w:p>
      <w:pPr>
        <w:ind w:left="900" w:right="120" w:hanging="295"/>
        <w:spacing w:after="0" w:line="242" w:lineRule="auto"/>
        <w:tabs>
          <w:tab w:leader="none" w:pos="900" w:val="left"/>
        </w:tabs>
        <w:numPr>
          <w:ilvl w:val="0"/>
          <w:numId w:val="24"/>
        </w:numPr>
        <w:rPr>
          <w:rFonts w:ascii="MS PGothic" w:cs="MS PGothic" w:eastAsia="MS PGothic" w:hAnsi="MS PGothic"/>
          <w:sz w:val="17"/>
          <w:szCs w:val="17"/>
          <w:color w:val="auto"/>
        </w:rPr>
      </w:pPr>
      <w:r>
        <w:rPr>
          <w:rFonts w:ascii="Arial" w:cs="Arial" w:eastAsia="Arial" w:hAnsi="Arial"/>
          <w:sz w:val="17"/>
          <w:szCs w:val="17"/>
          <w:color w:val="auto"/>
        </w:rPr>
        <w:t xml:space="preserve">Disability:IN Best Places to Work for Disability Inclusion – </w:t>
      </w:r>
      <w:r>
        <w:rPr>
          <w:rFonts w:ascii="Arial" w:cs="Arial" w:eastAsia="Arial" w:hAnsi="Arial"/>
          <w:sz w:val="17"/>
          <w:szCs w:val="17"/>
          <w:i w:val="1"/>
          <w:iCs w:val="1"/>
          <w:color w:val="auto"/>
        </w:rPr>
        <w:t>Scored 100%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31305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305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071D49"/>
        </w:rPr>
        <w:t>Environmental, Social</w:t>
      </w:r>
    </w:p>
    <w:p>
      <w:pPr>
        <w:spacing w:after="0" w:line="8" w:lineRule="exact"/>
        <w:rPr>
          <w:sz w:val="20"/>
          <w:szCs w:val="20"/>
          <w:color w:val="auto"/>
        </w:rPr>
      </w:pPr>
    </w:p>
    <w:p>
      <w:pPr>
        <w:jc w:val="center"/>
        <w:ind w:right="580"/>
        <w:spacing w:after="0"/>
        <w:rPr>
          <w:sz w:val="20"/>
          <w:szCs w:val="20"/>
          <w:color w:val="auto"/>
        </w:rPr>
      </w:pPr>
      <w:r>
        <w:rPr>
          <w:rFonts w:ascii="Arial" w:cs="Arial" w:eastAsia="Arial" w:hAnsi="Arial"/>
          <w:sz w:val="17"/>
          <w:szCs w:val="17"/>
          <w:b w:val="1"/>
          <w:bCs w:val="1"/>
          <w:color w:val="071D49"/>
        </w:rPr>
        <w:t>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67310</wp:posOffset>
            </wp:positionV>
            <wp:extent cx="184340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181" w:lineRule="exact"/>
        <w:rPr>
          <w:sz w:val="20"/>
          <w:szCs w:val="20"/>
          <w:color w:val="auto"/>
        </w:rPr>
      </w:pPr>
    </w:p>
    <w:p>
      <w:pPr>
        <w:ind w:left="300" w:right="680" w:hanging="300"/>
        <w:spacing w:after="0" w:line="255" w:lineRule="auto"/>
        <w:tabs>
          <w:tab w:leader="none" w:pos="300" w:val="left"/>
        </w:tabs>
        <w:numPr>
          <w:ilvl w:val="0"/>
          <w:numId w:val="25"/>
        </w:numPr>
        <w:rPr>
          <w:rFonts w:ascii="MS PGothic" w:cs="MS PGothic" w:eastAsia="MS PGothic" w:hAnsi="MS PGothic"/>
          <w:sz w:val="16"/>
          <w:szCs w:val="16"/>
          <w:color w:val="auto"/>
        </w:rPr>
      </w:pPr>
      <w:r>
        <w:rPr>
          <w:rFonts w:ascii="Arial" w:cs="Arial" w:eastAsia="Arial" w:hAnsi="Arial"/>
          <w:sz w:val="16"/>
          <w:szCs w:val="16"/>
          <w:color w:val="auto"/>
        </w:rPr>
        <w:t>Dow Jones Sustainability World and North America Indices</w:t>
      </w:r>
    </w:p>
    <w:p>
      <w:pPr>
        <w:jc w:val="both"/>
        <w:ind w:left="300" w:right="1040" w:hanging="300"/>
        <w:spacing w:after="0" w:line="230" w:lineRule="auto"/>
        <w:tabs>
          <w:tab w:leader="none" w:pos="300" w:val="left"/>
        </w:tabs>
        <w:numPr>
          <w:ilvl w:val="0"/>
          <w:numId w:val="25"/>
        </w:numPr>
        <w:rPr>
          <w:rFonts w:ascii="MS PGothic" w:cs="MS PGothic" w:eastAsia="MS PGothic" w:hAnsi="MS PGothic"/>
          <w:sz w:val="17"/>
          <w:szCs w:val="17"/>
          <w:color w:val="auto"/>
        </w:rPr>
      </w:pPr>
      <w:r>
        <w:rPr>
          <w:rFonts w:ascii="Arial" w:cs="Arial" w:eastAsia="Arial" w:hAnsi="Arial"/>
          <w:sz w:val="17"/>
          <w:szCs w:val="17"/>
          <w:color w:val="auto"/>
        </w:rPr>
        <w:t>EcoVadis Corporate Social Responsibility Assessment Silver Medal</w:t>
      </w:r>
    </w:p>
    <w:p>
      <w:pPr>
        <w:spacing w:after="0" w:line="1" w:lineRule="exact"/>
        <w:rPr>
          <w:rFonts w:ascii="MS PGothic" w:cs="MS PGothic" w:eastAsia="MS PGothic" w:hAnsi="MS PGothic"/>
          <w:sz w:val="17"/>
          <w:szCs w:val="17"/>
          <w:color w:val="auto"/>
        </w:rPr>
      </w:pPr>
    </w:p>
    <w:p>
      <w:pPr>
        <w:ind w:left="300" w:hanging="300"/>
        <w:spacing w:after="0"/>
        <w:tabs>
          <w:tab w:leader="none" w:pos="300" w:val="left"/>
        </w:tabs>
        <w:numPr>
          <w:ilvl w:val="0"/>
          <w:numId w:val="25"/>
        </w:numPr>
        <w:rPr>
          <w:rFonts w:ascii="MS PGothic" w:cs="MS PGothic" w:eastAsia="MS PGothic" w:hAnsi="MS PGothic"/>
          <w:sz w:val="17"/>
          <w:szCs w:val="17"/>
          <w:color w:val="auto"/>
        </w:rPr>
      </w:pPr>
      <w:r>
        <w:rPr>
          <w:rFonts w:ascii="Arial" w:cs="Arial" w:eastAsia="Arial" w:hAnsi="Arial"/>
          <w:sz w:val="17"/>
          <w:szCs w:val="17"/>
          <w:color w:val="auto"/>
        </w:rPr>
        <w:t>FTSE4Good Index</w:t>
      </w:r>
    </w:p>
    <w:p>
      <w:pPr>
        <w:spacing w:after="0" w:line="4" w:lineRule="exact"/>
        <w:rPr>
          <w:rFonts w:ascii="MS PGothic" w:cs="MS PGothic" w:eastAsia="MS PGothic" w:hAnsi="MS PGothic"/>
          <w:sz w:val="17"/>
          <w:szCs w:val="17"/>
          <w:color w:val="auto"/>
        </w:rPr>
      </w:pPr>
    </w:p>
    <w:p>
      <w:pPr>
        <w:ind w:left="300" w:right="980" w:hanging="300"/>
        <w:spacing w:after="0" w:line="230" w:lineRule="auto"/>
        <w:tabs>
          <w:tab w:leader="none" w:pos="300" w:val="left"/>
        </w:tabs>
        <w:numPr>
          <w:ilvl w:val="0"/>
          <w:numId w:val="25"/>
        </w:numPr>
        <w:rPr>
          <w:rFonts w:ascii="MS PGothic" w:cs="MS PGothic" w:eastAsia="MS PGothic" w:hAnsi="MS PGothic"/>
          <w:sz w:val="17"/>
          <w:szCs w:val="17"/>
          <w:color w:val="071D49"/>
        </w:rPr>
      </w:pPr>
      <w:r>
        <w:rPr>
          <w:rFonts w:ascii="Arial" w:cs="Arial" w:eastAsia="Arial" w:hAnsi="Arial"/>
          <w:sz w:val="17"/>
          <w:szCs w:val="17"/>
          <w:color w:val="auto"/>
        </w:rPr>
        <w:t xml:space="preserve">#15 in America’s Most Responsible Companies by </w:t>
      </w:r>
      <w:r>
        <w:rPr>
          <w:rFonts w:ascii="Arial" w:cs="Arial" w:eastAsia="Arial" w:hAnsi="Arial"/>
          <w:sz w:val="17"/>
          <w:szCs w:val="17"/>
          <w:i w:val="1"/>
          <w:iCs w:val="1"/>
          <w:color w:val="auto"/>
        </w:rPr>
        <w:t>Newsweek</w:t>
      </w:r>
    </w:p>
    <w:p>
      <w:pPr>
        <w:spacing w:after="0" w:line="1" w:lineRule="exact"/>
        <w:rPr>
          <w:rFonts w:ascii="MS PGothic" w:cs="MS PGothic" w:eastAsia="MS PGothic" w:hAnsi="MS PGothic"/>
          <w:sz w:val="17"/>
          <w:szCs w:val="17"/>
          <w:color w:val="071D49"/>
        </w:rPr>
      </w:pPr>
    </w:p>
    <w:p>
      <w:pPr>
        <w:ind w:left="300" w:hanging="300"/>
        <w:spacing w:after="0"/>
        <w:tabs>
          <w:tab w:leader="none" w:pos="300" w:val="left"/>
        </w:tabs>
        <w:numPr>
          <w:ilvl w:val="0"/>
          <w:numId w:val="25"/>
        </w:numPr>
        <w:rPr>
          <w:rFonts w:ascii="MS PGothic" w:cs="MS PGothic" w:eastAsia="MS PGothic" w:hAnsi="MS PGothic"/>
          <w:sz w:val="17"/>
          <w:szCs w:val="17"/>
          <w:color w:val="071D49"/>
        </w:rPr>
      </w:pPr>
      <w:r>
        <w:rPr>
          <w:rFonts w:ascii="Arial" w:cs="Arial" w:eastAsia="Arial" w:hAnsi="Arial"/>
          <w:sz w:val="17"/>
          <w:szCs w:val="17"/>
          <w:color w:val="auto"/>
        </w:rPr>
        <w:t>Civic 50 Honoree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249555</wp:posOffset>
            </wp:positionV>
            <wp:extent cx="184340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43405" cy="1587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5240" w:space="720"/>
            <w:col w:w="3320"/>
          </w:cols>
          <w:pgMar w:left="1300" w:top="486" w:right="13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For more information, visit https://news.abbvie.com/AbbVie-ratings-and-recognition-fact-sheet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60" w:type="dxa"/>
            <w:vAlign w:val="bottom"/>
          </w:tcPr>
          <w:p>
            <w:pPr>
              <w:ind w:left="546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88"/>
        </w:trPr>
        <w:tc>
          <w:tcPr>
            <w:tcW w:w="8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-508000</wp:posOffset>
            </wp:positionV>
            <wp:extent cx="810260" cy="151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14" w:name="page15"/>
    <w:bookmarkEnd w:id="14"/>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PROXY SUMMARY</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878830" cy="309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78830" cy="309880"/>
                    </a:xfrm>
                    <a:prstGeom prst="rect">
                      <a:avLst/>
                    </a:prstGeom>
                    <a:noFill/>
                  </pic:spPr>
                </pic:pic>
              </a:graphicData>
            </a:graphic>
          </wp:anchor>
        </w:drawing>
      </w:r>
    </w:p>
    <w:p>
      <w:pPr>
        <w:spacing w:after="0" w:line="220" w:lineRule="exact"/>
        <w:rPr>
          <w:sz w:val="20"/>
          <w:szCs w:val="20"/>
          <w:color w:val="auto"/>
        </w:rPr>
      </w:pPr>
    </w:p>
    <w:p>
      <w:pPr>
        <w:ind w:left="80" w:right="240"/>
        <w:spacing w:after="0" w:line="261" w:lineRule="auto"/>
        <w:rPr>
          <w:sz w:val="20"/>
          <w:szCs w:val="20"/>
          <w:color w:val="auto"/>
        </w:rPr>
      </w:pPr>
      <w:r>
        <w:rPr>
          <w:rFonts w:ascii="Arial" w:cs="Arial" w:eastAsia="Arial" w:hAnsi="Arial"/>
          <w:sz w:val="17"/>
          <w:szCs w:val="17"/>
          <w:color w:val="auto"/>
        </w:rPr>
        <w:t>The compensation committee has designed and implemented an executive compensation program in which a substantial majority of named executive officer (NEO) compensation at AbbVie is performance-based.</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The goals of our compensation program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116840</wp:posOffset>
            </wp:positionV>
            <wp:extent cx="5895340" cy="786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95340" cy="786765"/>
                    </a:xfrm>
                    <a:prstGeom prst="rect">
                      <a:avLst/>
                    </a:prstGeom>
                    <a:noFill/>
                  </pic:spPr>
                </pic:pic>
              </a:graphicData>
            </a:graphic>
          </wp:anchor>
        </w:drawing>
      </w:r>
    </w:p>
    <w:p>
      <w:pPr>
        <w:sectPr>
          <w:pgSz w:w="11900" w:h="16838" w:orient="portrait"/>
          <w:cols w:equalWidth="0" w:num="1">
            <w:col w:w="9240"/>
          </w:cols>
          <w:pgMar w:left="1300" w:top="486" w:right="1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40" w:right="231" w:hanging="557"/>
        <w:spacing w:after="0" w:line="226" w:lineRule="auto"/>
        <w:tabs>
          <w:tab w:leader="none" w:pos="640" w:val="left"/>
        </w:tabs>
        <w:numPr>
          <w:ilvl w:val="0"/>
          <w:numId w:val="26"/>
        </w:numPr>
        <w:rPr>
          <w:rFonts w:ascii="Arial" w:cs="Arial" w:eastAsia="Arial" w:hAnsi="Arial"/>
          <w:sz w:val="23"/>
          <w:szCs w:val="23"/>
          <w:b w:val="1"/>
          <w:bCs w:val="1"/>
          <w:color w:val="071D49"/>
        </w:rPr>
      </w:pPr>
      <w:r>
        <w:rPr>
          <w:rFonts w:ascii="Arial" w:cs="Arial" w:eastAsia="Arial" w:hAnsi="Arial"/>
          <w:sz w:val="12"/>
          <w:szCs w:val="12"/>
          <w:color w:val="auto"/>
        </w:rPr>
        <w:t xml:space="preserve">with the drivers of stockholder returns and </w:t>
      </w:r>
      <w:r>
        <w:rPr>
          <w:rFonts w:ascii="Arial" w:cs="Arial" w:eastAsia="Arial" w:hAnsi="Arial"/>
          <w:sz w:val="16"/>
          <w:szCs w:val="16"/>
          <w:color w:val="auto"/>
          <w:vertAlign w:val="subscript"/>
        </w:rPr>
        <w:t>profitable growth</w:t>
      </w:r>
      <w:r>
        <w:rPr>
          <w:rFonts w:ascii="Arial" w:cs="Arial" w:eastAsia="Arial" w:hAnsi="Arial"/>
          <w:sz w:val="12"/>
          <w:szCs w:val="12"/>
          <w:b w:val="1"/>
          <w:bCs w:val="1"/>
          <w:color w:val="auto"/>
        </w:rPr>
        <w:t>Alignexecutive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569" w:right="24" w:hanging="569"/>
        <w:spacing w:after="0" w:line="192" w:lineRule="auto"/>
        <w:tabs>
          <w:tab w:leader="none" w:pos="569" w:val="left"/>
        </w:tabs>
        <w:numPr>
          <w:ilvl w:val="0"/>
          <w:numId w:val="27"/>
        </w:numPr>
        <w:rPr>
          <w:rFonts w:ascii="Arial" w:cs="Arial" w:eastAsia="Arial" w:hAnsi="Arial"/>
          <w:sz w:val="32"/>
          <w:szCs w:val="32"/>
          <w:b w:val="1"/>
          <w:bCs w:val="1"/>
          <w:color w:val="071D49"/>
        </w:rPr>
      </w:pPr>
      <w:r>
        <w:rPr>
          <w:rFonts w:ascii="Arial" w:cs="Arial" w:eastAsia="Arial" w:hAnsi="Arial"/>
          <w:sz w:val="13"/>
          <w:szCs w:val="13"/>
          <w:color w:val="auto"/>
        </w:rPr>
        <w:t xml:space="preserve">company’s </w:t>
      </w:r>
      <w:r>
        <w:rPr>
          <w:rFonts w:ascii="Arial" w:cs="Arial" w:eastAsia="Arial" w:hAnsi="Arial"/>
          <w:sz w:val="13"/>
          <w:szCs w:val="13"/>
          <w:b w:val="1"/>
          <w:bCs w:val="1"/>
          <w:color w:val="auto"/>
        </w:rPr>
        <w:t>primary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business goals </w:t>
      </w:r>
      <w:r>
        <w:rPr>
          <w:rFonts w:ascii="Arial" w:cs="Arial" w:eastAsia="Arial" w:hAnsi="Arial"/>
          <w:sz w:val="13"/>
          <w:szCs w:val="13"/>
          <w:color w:val="auto"/>
        </w:rPr>
        <w:t>to have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remarkable impact on </w:t>
      </w:r>
      <w:r>
        <w:rPr>
          <w:rFonts w:ascii="Arial" w:cs="Arial" w:eastAsia="Arial" w:hAnsi="Arial"/>
          <w:sz w:val="20"/>
          <w:szCs w:val="20"/>
          <w:color w:val="auto"/>
          <w:vertAlign w:val="subscript"/>
        </w:rPr>
        <w:t>patients’ lives</w:t>
      </w:r>
      <w:r>
        <w:rPr>
          <w:rFonts w:ascii="Arial" w:cs="Arial" w:eastAsia="Arial" w:hAnsi="Arial"/>
          <w:sz w:val="13"/>
          <w:szCs w:val="13"/>
          <w:color w:val="auto"/>
        </w:rPr>
        <w:t>Supportachievement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576" w:right="140" w:hanging="576"/>
        <w:spacing w:after="0" w:line="192" w:lineRule="auto"/>
        <w:tabs>
          <w:tab w:leader="none" w:pos="576" w:val="left"/>
        </w:tabs>
        <w:numPr>
          <w:ilvl w:val="0"/>
          <w:numId w:val="28"/>
        </w:numPr>
        <w:rPr>
          <w:rFonts w:ascii="Arial" w:cs="Arial" w:eastAsia="Arial" w:hAnsi="Arial"/>
          <w:sz w:val="32"/>
          <w:szCs w:val="32"/>
          <w:b w:val="1"/>
          <w:bCs w:val="1"/>
          <w:color w:val="071D49"/>
        </w:rPr>
      </w:pPr>
      <w:r>
        <w:rPr>
          <w:rFonts w:ascii="Arial" w:cs="Arial" w:eastAsia="Arial" w:hAnsi="Arial"/>
          <w:sz w:val="13"/>
          <w:szCs w:val="13"/>
          <w:b w:val="1"/>
          <w:bCs w:val="1"/>
          <w:color w:val="auto"/>
        </w:rPr>
        <w:t xml:space="preserve">class executives </w:t>
      </w:r>
      <w:r>
        <w:rPr>
          <w:rFonts w:ascii="Arial" w:cs="Arial" w:eastAsia="Arial" w:hAnsi="Arial"/>
          <w:sz w:val="13"/>
          <w:szCs w:val="13"/>
          <w:color w:val="auto"/>
        </w:rPr>
        <w:t>whose</w:t>
      </w:r>
      <w:r>
        <w:rPr>
          <w:rFonts w:ascii="Arial" w:cs="Arial" w:eastAsia="Arial" w:hAnsi="Arial"/>
          <w:sz w:val="13"/>
          <w:szCs w:val="13"/>
          <w:b w:val="1"/>
          <w:bCs w:val="1"/>
          <w:color w:val="auto"/>
        </w:rPr>
        <w:t xml:space="preserve"> </w:t>
      </w:r>
      <w:r>
        <w:rPr>
          <w:rFonts w:ascii="Arial" w:cs="Arial" w:eastAsia="Arial" w:hAnsi="Arial"/>
          <w:sz w:val="13"/>
          <w:szCs w:val="13"/>
          <w:color w:val="auto"/>
        </w:rPr>
        <w:t>talents and contributions sustain the growth in long-</w:t>
      </w:r>
      <w:r>
        <w:rPr>
          <w:rFonts w:ascii="Arial" w:cs="Arial" w:eastAsia="Arial" w:hAnsi="Arial"/>
          <w:sz w:val="20"/>
          <w:szCs w:val="20"/>
          <w:color w:val="auto"/>
          <w:vertAlign w:val="subscript"/>
        </w:rPr>
        <w:t>term stockholder value</w:t>
      </w:r>
      <w:r>
        <w:rPr>
          <w:rFonts w:ascii="Arial" w:cs="Arial" w:eastAsia="Arial" w:hAnsi="Arial"/>
          <w:sz w:val="13"/>
          <w:szCs w:val="13"/>
          <w:b w:val="1"/>
          <w:bCs w:val="1"/>
          <w:color w:val="auto"/>
        </w:rPr>
        <w:t>Attractandretainworld-</w:t>
      </w:r>
    </w:p>
    <w:p>
      <w:pPr>
        <w:spacing w:after="0" w:line="200" w:lineRule="exact"/>
        <w:rPr>
          <w:sz w:val="20"/>
          <w:szCs w:val="20"/>
          <w:color w:val="auto"/>
        </w:rPr>
      </w:pPr>
    </w:p>
    <w:p>
      <w:pPr>
        <w:sectPr>
          <w:pgSz w:w="11900" w:h="16838" w:orient="portrait"/>
          <w:cols w:equalWidth="0" w:num="3">
            <w:col w:w="2611" w:space="720"/>
            <w:col w:w="2533" w:space="720"/>
            <w:col w:w="2656"/>
          </w:cols>
          <w:pgMar w:left="1300" w:top="486" w:right="1359" w:bottom="1440" w:gutter="0" w:footer="0" w:header="0"/>
          <w:type w:val="continuous"/>
        </w:sectPr>
      </w:pPr>
    </w:p>
    <w:p>
      <w:pPr>
        <w:spacing w:after="0" w:line="94"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 Finally, specific pay determinations are made for each NEO based on individual performance against goals and contributions to the short- and long-term performance of the company.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Key components and design of our executive compensation program:</w:t>
      </w:r>
    </w:p>
    <w:p>
      <w:pPr>
        <w:spacing w:after="0" w:line="130" w:lineRule="exact"/>
        <w:rPr>
          <w:sz w:val="20"/>
          <w:szCs w:val="20"/>
          <w:color w:val="auto"/>
        </w:rPr>
      </w:pPr>
    </w:p>
    <w:p>
      <w:pPr>
        <w:ind w:left="20" w:right="80"/>
        <w:spacing w:after="0" w:line="246" w:lineRule="auto"/>
        <w:rPr>
          <w:sz w:val="20"/>
          <w:szCs w:val="20"/>
          <w:color w:val="auto"/>
        </w:rPr>
      </w:pPr>
      <w:r>
        <w:rPr>
          <w:rFonts w:ascii="Arial" w:cs="Arial" w:eastAsia="Arial" w:hAnsi="Arial"/>
          <w:sz w:val="17"/>
          <w:szCs w:val="17"/>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5878830" cy="269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78830" cy="269875"/>
                    </a:xfrm>
                    <a:prstGeom prst="rect">
                      <a:avLst/>
                    </a:prstGeom>
                    <a:noFill/>
                  </pic:spPr>
                </pic:pic>
              </a:graphicData>
            </a:graphic>
          </wp:anchor>
        </w:drawing>
      </w:r>
    </w:p>
    <w:p>
      <w:pPr>
        <w:sectPr>
          <w:pgSz w:w="11900" w:h="16838" w:orient="portrait"/>
          <w:cols w:equalWidth="0" w:num="1">
            <w:col w:w="9240"/>
          </w:cols>
          <w:pgMar w:left="1300" w:top="486" w:right="1359" w:bottom="1440" w:gutter="0" w:footer="0" w:header="0"/>
          <w:type w:val="continuous"/>
        </w:sectPr>
      </w:pP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Borders>
              <w:right w:val="single" w:sz="8" w:color="F1F1F1"/>
            </w:tcBorders>
            <w:shd w:val="clear" w:color="auto" w:fill="F1F1F1"/>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7"/>
                <w:szCs w:val="17"/>
                <w:b w:val="1"/>
                <w:bCs w:val="1"/>
                <w:color w:val="auto"/>
              </w:rPr>
              <w:t>Primary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 w:type="dxa"/>
            <w:vAlign w:val="bottom"/>
            <w:tcBorders>
              <w:right w:val="single" w:sz="8" w:color="F1F1F1"/>
            </w:tcBorders>
            <w:shd w:val="clear" w:color="auto" w:fill="F1F1F1"/>
          </w:tcPr>
          <w:p>
            <w:pPr>
              <w:spacing w:after="0"/>
              <w:rPr>
                <w:sz w:val="19"/>
                <w:szCs w:val="19"/>
                <w:color w:val="auto"/>
              </w:rPr>
            </w:pPr>
          </w:p>
        </w:tc>
        <w:tc>
          <w:tcPr>
            <w:tcW w:w="1100" w:type="dxa"/>
            <w:vAlign w:val="bottom"/>
          </w:tcPr>
          <w:p>
            <w:pPr>
              <w:ind w:left="120"/>
              <w:spacing w:after="0"/>
              <w:rPr>
                <w:sz w:val="20"/>
                <w:szCs w:val="20"/>
                <w:color w:val="auto"/>
              </w:rPr>
            </w:pPr>
            <w:r>
              <w:rPr>
                <w:rFonts w:ascii="Arial" w:cs="Arial" w:eastAsia="Arial" w:hAnsi="Arial"/>
                <w:sz w:val="17"/>
                <w:szCs w:val="17"/>
                <w:b w:val="1"/>
                <w:bCs w:val="1"/>
                <w:color w:val="auto"/>
              </w:rPr>
              <w:t>Element</w:t>
            </w:r>
          </w:p>
        </w:tc>
        <w:tc>
          <w:tcPr>
            <w:tcW w:w="180" w:type="dxa"/>
            <w:vAlign w:val="bottom"/>
          </w:tcPr>
          <w:p>
            <w:pPr>
              <w:spacing w:after="0"/>
              <w:rPr>
                <w:sz w:val="19"/>
                <w:szCs w:val="19"/>
                <w:color w:val="auto"/>
              </w:rPr>
            </w:pPr>
          </w:p>
        </w:tc>
        <w:tc>
          <w:tcPr>
            <w:tcW w:w="900" w:type="dxa"/>
            <w:vAlign w:val="bottom"/>
          </w:tcPr>
          <w:p>
            <w:pPr>
              <w:ind w:left="100"/>
              <w:spacing w:after="0"/>
              <w:rPr>
                <w:sz w:val="20"/>
                <w:szCs w:val="20"/>
                <w:color w:val="auto"/>
              </w:rPr>
            </w:pPr>
            <w:r>
              <w:rPr>
                <w:rFonts w:ascii="Arial" w:cs="Arial" w:eastAsia="Arial" w:hAnsi="Arial"/>
                <w:sz w:val="17"/>
                <w:szCs w:val="17"/>
                <w:b w:val="1"/>
                <w:bCs w:val="1"/>
                <w:color w:val="auto"/>
              </w:rPr>
              <w:t>Type</w:t>
            </w:r>
          </w:p>
        </w:tc>
        <w:tc>
          <w:tcPr>
            <w:tcW w:w="20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7"/>
                <w:szCs w:val="17"/>
                <w:b w:val="1"/>
                <w:bCs w:val="1"/>
                <w:color w:val="auto"/>
              </w:rPr>
              <w:t>Objective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0" w:type="dxa"/>
            <w:vAlign w:val="bottom"/>
            <w:tcBorders>
              <w:bottom w:val="single" w:sz="8" w:color="F1F1F1"/>
              <w:right w:val="single" w:sz="8" w:color="F1F1F1"/>
            </w:tcBorders>
            <w:shd w:val="clear" w:color="auto" w:fill="F1F1F1"/>
          </w:tcPr>
          <w:p>
            <w:pPr>
              <w:spacing w:after="0"/>
              <w:rPr>
                <w:sz w:val="11"/>
                <w:szCs w:val="11"/>
                <w:color w:val="auto"/>
              </w:rPr>
            </w:pPr>
          </w:p>
        </w:tc>
        <w:tc>
          <w:tcPr>
            <w:tcW w:w="1100" w:type="dxa"/>
            <w:vAlign w:val="bottom"/>
            <w:tcBorders>
              <w:bottom w:val="single" w:sz="8" w:color="071D49"/>
            </w:tcBorders>
          </w:tcPr>
          <w:p>
            <w:pPr>
              <w:spacing w:after="0"/>
              <w:rPr>
                <w:sz w:val="11"/>
                <w:szCs w:val="11"/>
                <w:color w:val="auto"/>
              </w:rPr>
            </w:pPr>
          </w:p>
        </w:tc>
        <w:tc>
          <w:tcPr>
            <w:tcW w:w="180" w:type="dxa"/>
            <w:vAlign w:val="bottom"/>
            <w:tcBorders>
              <w:bottom w:val="single" w:sz="8" w:color="F1F1F1"/>
            </w:tcBorders>
          </w:tcPr>
          <w:p>
            <w:pPr>
              <w:spacing w:after="0"/>
              <w:rPr>
                <w:sz w:val="11"/>
                <w:szCs w:val="11"/>
                <w:color w:val="auto"/>
              </w:rPr>
            </w:pPr>
          </w:p>
        </w:tc>
        <w:tc>
          <w:tcPr>
            <w:tcW w:w="900" w:type="dxa"/>
            <w:vAlign w:val="bottom"/>
            <w:tcBorders>
              <w:bottom w:val="single" w:sz="8" w:color="071D49"/>
            </w:tcBorders>
          </w:tcPr>
          <w:p>
            <w:pPr>
              <w:spacing w:after="0"/>
              <w:rPr>
                <w:sz w:val="11"/>
                <w:szCs w:val="11"/>
                <w:color w:val="auto"/>
              </w:rPr>
            </w:pPr>
          </w:p>
        </w:tc>
        <w:tc>
          <w:tcPr>
            <w:tcW w:w="200" w:type="dxa"/>
            <w:vAlign w:val="bottom"/>
            <w:tcBorders>
              <w:bottom w:val="single" w:sz="8" w:color="F1F1F1"/>
            </w:tcBorders>
          </w:tcPr>
          <w:p>
            <w:pPr>
              <w:spacing w:after="0"/>
              <w:rPr>
                <w:sz w:val="11"/>
                <w:szCs w:val="11"/>
                <w:color w:val="auto"/>
              </w:rPr>
            </w:pPr>
          </w:p>
        </w:tc>
        <w:tc>
          <w:tcPr>
            <w:tcW w:w="1260" w:type="dxa"/>
            <w:vAlign w:val="bottom"/>
            <w:tcBorders>
              <w:bottom w:val="single" w:sz="8" w:color="071D49"/>
            </w:tcBorders>
          </w:tcPr>
          <w:p>
            <w:pPr>
              <w:spacing w:after="0"/>
              <w:rPr>
                <w:sz w:val="11"/>
                <w:szCs w:val="11"/>
                <w:color w:val="auto"/>
              </w:rPr>
            </w:pPr>
          </w:p>
        </w:tc>
        <w:tc>
          <w:tcPr>
            <w:tcW w:w="180" w:type="dxa"/>
            <w:vAlign w:val="bottom"/>
            <w:tcBorders>
              <w:bottom w:val="single" w:sz="8" w:color="F1F1F1"/>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200" w:type="dxa"/>
            <w:vAlign w:val="bottom"/>
            <w:tcBorders>
              <w:right w:val="single" w:sz="8" w:color="071D49"/>
            </w:tcBorders>
            <w:shd w:val="clear" w:color="auto" w:fill="F1F1F1"/>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Base Salary</w:t>
            </w:r>
          </w:p>
        </w:tc>
        <w:tc>
          <w:tcPr>
            <w:tcW w:w="180" w:type="dxa"/>
            <w:vAlign w:val="bottom"/>
            <w:tcBorders>
              <w:right w:val="single" w:sz="8" w:color="071D49"/>
            </w:tcBorders>
            <w:shd w:val="clear" w:color="auto" w:fill="F1F1F1"/>
          </w:tcPr>
          <w:p>
            <w:pPr>
              <w:spacing w:after="0"/>
              <w:rPr>
                <w:sz w:val="24"/>
                <w:szCs w:val="24"/>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Fixed</w:t>
            </w:r>
          </w:p>
        </w:tc>
        <w:tc>
          <w:tcPr>
            <w:tcW w:w="200" w:type="dxa"/>
            <w:vAlign w:val="bottom"/>
            <w:tcBorders>
              <w:right w:val="single" w:sz="8" w:color="071D49"/>
            </w:tcBorders>
            <w:shd w:val="clear" w:color="auto" w:fill="F1F1F1"/>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Attract &amp; retain</w:t>
            </w:r>
          </w:p>
        </w:tc>
        <w:tc>
          <w:tcPr>
            <w:tcW w:w="18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Borders>
              <w:right w:val="single" w:sz="8" w:color="071D49"/>
            </w:tcBorders>
            <w:shd w:val="clear" w:color="auto" w:fill="F1F1F1"/>
          </w:tcPr>
          <w:p>
            <w:pPr>
              <w:spacing w:after="0"/>
              <w:rPr>
                <w:sz w:val="10"/>
                <w:szCs w:val="10"/>
                <w:color w:val="auto"/>
              </w:rPr>
            </w:pPr>
          </w:p>
        </w:tc>
        <w:tc>
          <w:tcPr>
            <w:tcW w:w="900" w:type="dxa"/>
            <w:vAlign w:val="bottom"/>
            <w:vMerge w:val="continue"/>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top talent</w:t>
            </w:r>
          </w:p>
        </w:tc>
        <w:tc>
          <w:tcPr>
            <w:tcW w:w="18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60" w:type="dxa"/>
            <w:vAlign w:val="bottom"/>
            <w:vMerge w:val="continue"/>
          </w:tcPr>
          <w:p>
            <w:pPr>
              <w:spacing w:after="0"/>
              <w:rPr>
                <w:sz w:val="6"/>
                <w:szCs w:val="6"/>
                <w:color w:val="auto"/>
              </w:rPr>
            </w:pPr>
          </w:p>
        </w:tc>
        <w:tc>
          <w:tcPr>
            <w:tcW w:w="18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100" w:type="dxa"/>
            <w:vAlign w:val="bottom"/>
            <w:tcBorders>
              <w:bottom w:val="single" w:sz="8" w:color="071D49"/>
            </w:tcBorders>
            <w:shd w:val="clear" w:color="auto" w:fill="F1F1F1"/>
          </w:tcPr>
          <w:p>
            <w:pPr>
              <w:spacing w:after="0"/>
              <w:rPr>
                <w:sz w:val="13"/>
                <w:szCs w:val="13"/>
                <w:color w:val="auto"/>
              </w:rPr>
            </w:pPr>
          </w:p>
        </w:tc>
        <w:tc>
          <w:tcPr>
            <w:tcW w:w="180" w:type="dxa"/>
            <w:vAlign w:val="bottom"/>
            <w:tcBorders>
              <w:bottom w:val="single" w:sz="8" w:color="F1F1F1"/>
              <w:right w:val="single" w:sz="8" w:color="F1F1F1"/>
            </w:tcBorders>
            <w:shd w:val="clear" w:color="auto" w:fill="F1F1F1"/>
          </w:tcPr>
          <w:p>
            <w:pPr>
              <w:spacing w:after="0"/>
              <w:rPr>
                <w:sz w:val="13"/>
                <w:szCs w:val="13"/>
                <w:color w:val="auto"/>
              </w:rPr>
            </w:pPr>
          </w:p>
        </w:tc>
        <w:tc>
          <w:tcPr>
            <w:tcW w:w="9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260" w:type="dxa"/>
            <w:vAlign w:val="bottom"/>
            <w:tcBorders>
              <w:bottom w:val="single" w:sz="8" w:color="071D49"/>
            </w:tcBorders>
            <w:shd w:val="clear" w:color="auto" w:fill="F1F1F1"/>
          </w:tcPr>
          <w:p>
            <w:pPr>
              <w:spacing w:after="0"/>
              <w:rPr>
                <w:sz w:val="13"/>
                <w:szCs w:val="13"/>
                <w:color w:val="auto"/>
              </w:rPr>
            </w:pPr>
          </w:p>
        </w:tc>
        <w:tc>
          <w:tcPr>
            <w:tcW w:w="180" w:type="dxa"/>
            <w:vAlign w:val="bottom"/>
            <w:tcBorders>
              <w:bottom w:val="single" w:sz="8" w:color="F1F1F1"/>
            </w:tcBorders>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388"/>
        </w:trPr>
        <w:tc>
          <w:tcPr>
            <w:tcW w:w="200" w:type="dxa"/>
            <w:vAlign w:val="bottom"/>
            <w:tcBorders>
              <w:right w:val="single" w:sz="8" w:color="071D49"/>
            </w:tcBorders>
            <w:shd w:val="clear" w:color="auto" w:fill="F1F1F1"/>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Borders>
              <w:right w:val="single" w:sz="8" w:color="071D49"/>
            </w:tcBorders>
            <w:shd w:val="clear" w:color="auto" w:fill="F1F1F1"/>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right w:val="single" w:sz="8" w:color="071D49"/>
            </w:tcBorders>
            <w:shd w:val="clear" w:color="auto" w:fill="F1F1F1"/>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Encourage</w:t>
            </w:r>
          </w:p>
        </w:tc>
        <w:tc>
          <w:tcPr>
            <w:tcW w:w="18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0" w:type="dxa"/>
            <w:vAlign w:val="bottom"/>
            <w:tcBorders>
              <w:right w:val="single" w:sz="8" w:color="071D49"/>
            </w:tcBorders>
            <w:shd w:val="clear" w:color="auto" w:fill="F1F1F1"/>
          </w:tcPr>
          <w:p>
            <w:pPr>
              <w:spacing w:after="0"/>
              <w:rPr>
                <w:sz w:val="15"/>
                <w:szCs w:val="15"/>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Short-Term</w:t>
            </w:r>
          </w:p>
        </w:tc>
        <w:tc>
          <w:tcPr>
            <w:tcW w:w="180" w:type="dxa"/>
            <w:vAlign w:val="bottom"/>
            <w:tcBorders>
              <w:right w:val="single" w:sz="8" w:color="071D49"/>
            </w:tcBorders>
            <w:shd w:val="clear" w:color="auto" w:fill="F1F1F1"/>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Borders>
              <w:right w:val="single" w:sz="8" w:color="071D49"/>
            </w:tcBorders>
            <w:shd w:val="clear" w:color="auto" w:fill="F1F1F1"/>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achievement of</w:t>
            </w:r>
          </w:p>
        </w:tc>
        <w:tc>
          <w:tcPr>
            <w:tcW w:w="180" w:type="dxa"/>
            <w:vAlign w:val="bottom"/>
            <w:shd w:val="clear" w:color="auto" w:fill="F1F1F1"/>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0" w:type="dxa"/>
            <w:vAlign w:val="bottom"/>
            <w:tcBorders>
              <w:right w:val="single" w:sz="8" w:color="071D49"/>
            </w:tcBorders>
            <w:shd w:val="clear" w:color="auto" w:fill="F1F1F1"/>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Borders>
              <w:right w:val="single" w:sz="8" w:color="071D49"/>
            </w:tcBorders>
            <w:shd w:val="clear" w:color="auto" w:fill="F1F1F1"/>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At-Risk</w:t>
            </w:r>
          </w:p>
        </w:tc>
        <w:tc>
          <w:tcPr>
            <w:tcW w:w="200" w:type="dxa"/>
            <w:vAlign w:val="bottom"/>
            <w:tcBorders>
              <w:right w:val="single" w:sz="8" w:color="071D49"/>
            </w:tcBorders>
            <w:shd w:val="clear" w:color="auto" w:fill="F1F1F1"/>
          </w:tcPr>
          <w:p>
            <w:pPr>
              <w:spacing w:after="0"/>
              <w:rPr>
                <w:sz w:val="7"/>
                <w:szCs w:val="7"/>
                <w:color w:val="auto"/>
              </w:rPr>
            </w:pP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company’s</w:t>
            </w: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 w:type="dxa"/>
            <w:vAlign w:val="bottom"/>
            <w:tcBorders>
              <w:right w:val="single" w:sz="8" w:color="071D49"/>
            </w:tcBorders>
            <w:shd w:val="clear" w:color="auto" w:fill="F1F1F1"/>
          </w:tcPr>
          <w:p>
            <w:pPr>
              <w:spacing w:after="0"/>
              <w:rPr>
                <w:sz w:val="7"/>
                <w:szCs w:val="7"/>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Incentives</w:t>
            </w:r>
          </w:p>
        </w:tc>
        <w:tc>
          <w:tcPr>
            <w:tcW w:w="180" w:type="dxa"/>
            <w:vAlign w:val="bottom"/>
            <w:tcBorders>
              <w:right w:val="single" w:sz="8" w:color="071D49"/>
            </w:tcBorders>
            <w:shd w:val="clear" w:color="auto" w:fill="F1F1F1"/>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1260" w:type="dxa"/>
            <w:vAlign w:val="bottom"/>
            <w:vMerge w:val="continue"/>
          </w:tcPr>
          <w:p>
            <w:pPr>
              <w:spacing w:after="0"/>
              <w:rPr>
                <w:sz w:val="7"/>
                <w:szCs w:val="7"/>
                <w:color w:val="auto"/>
              </w:rPr>
            </w:pP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Borders>
              <w:right w:val="single" w:sz="8" w:color="071D49"/>
            </w:tcBorders>
            <w:shd w:val="clear" w:color="auto" w:fill="F1F1F1"/>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primary business</w:t>
            </w:r>
          </w:p>
        </w:tc>
        <w:tc>
          <w:tcPr>
            <w:tcW w:w="18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0" w:type="dxa"/>
            <w:vAlign w:val="bottom"/>
            <w:tcBorders>
              <w:right w:val="single" w:sz="8" w:color="071D49"/>
            </w:tcBorders>
            <w:shd w:val="clear" w:color="auto" w:fill="F1F1F1"/>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Borders>
              <w:right w:val="single" w:sz="8" w:color="071D49"/>
            </w:tcBorders>
            <w:shd w:val="clear" w:color="auto" w:fill="F1F1F1"/>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Borders>
              <w:right w:val="single" w:sz="8" w:color="071D49"/>
            </w:tcBorders>
            <w:shd w:val="clear" w:color="auto" w:fill="F1F1F1"/>
          </w:tcPr>
          <w:p>
            <w:pPr>
              <w:spacing w:after="0"/>
              <w:rPr>
                <w:sz w:val="4"/>
                <w:szCs w:val="4"/>
                <w:color w:val="auto"/>
              </w:rPr>
            </w:pPr>
          </w:p>
        </w:tc>
        <w:tc>
          <w:tcPr>
            <w:tcW w:w="1260" w:type="dxa"/>
            <w:vAlign w:val="bottom"/>
            <w:vMerge w:val="continue"/>
          </w:tcPr>
          <w:p>
            <w:pPr>
              <w:spacing w:after="0"/>
              <w:rPr>
                <w:sz w:val="4"/>
                <w:szCs w:val="4"/>
                <w:color w:val="auto"/>
              </w:rPr>
            </w:pPr>
          </w:p>
        </w:tc>
        <w:tc>
          <w:tcPr>
            <w:tcW w:w="180" w:type="dxa"/>
            <w:vAlign w:val="bottom"/>
            <w:shd w:val="clear" w:color="auto" w:fill="F1F1F1"/>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0" w:type="dxa"/>
            <w:vAlign w:val="bottom"/>
            <w:tcBorders>
              <w:right w:val="single" w:sz="8" w:color="071D49"/>
            </w:tcBorders>
            <w:shd w:val="clear" w:color="auto" w:fill="F1F1F1"/>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Borders>
              <w:right w:val="single" w:sz="8" w:color="071D49"/>
            </w:tcBorders>
            <w:shd w:val="clear" w:color="auto" w:fill="F1F1F1"/>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Borders>
              <w:right w:val="single" w:sz="8" w:color="071D49"/>
            </w:tcBorders>
            <w:shd w:val="clear" w:color="auto" w:fill="F1F1F1"/>
          </w:tcPr>
          <w:p>
            <w:pPr>
              <w:spacing w:after="0"/>
              <w:rPr>
                <w:sz w:val="17"/>
                <w:szCs w:val="17"/>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goals</w:t>
            </w:r>
          </w:p>
        </w:tc>
        <w:tc>
          <w:tcPr>
            <w:tcW w:w="180" w:type="dxa"/>
            <w:vAlign w:val="bottom"/>
            <w:shd w:val="clear" w:color="auto" w:fill="F1F1F1"/>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0" w:type="dxa"/>
            <w:vAlign w:val="bottom"/>
            <w:tcBorders>
              <w:right w:val="single" w:sz="8" w:color="071D49"/>
            </w:tcBorders>
            <w:shd w:val="clear" w:color="auto" w:fill="F1F1F1"/>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right w:val="single" w:sz="8" w:color="071D49"/>
            </w:tcBorders>
            <w:shd w:val="clear" w:color="auto" w:fill="F1F1F1"/>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Borders>
              <w:right w:val="single" w:sz="8" w:color="071D49"/>
            </w:tcBorders>
            <w:shd w:val="clear" w:color="auto" w:fill="F1F1F1"/>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shd w:val="clear" w:color="auto" w:fill="F1F1F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100" w:type="dxa"/>
            <w:vAlign w:val="bottom"/>
            <w:tcBorders>
              <w:bottom w:val="single" w:sz="8" w:color="071D49"/>
            </w:tcBorders>
            <w:shd w:val="clear" w:color="auto" w:fill="F1F1F1"/>
          </w:tcPr>
          <w:p>
            <w:pPr>
              <w:spacing w:after="0"/>
              <w:rPr>
                <w:sz w:val="13"/>
                <w:szCs w:val="13"/>
                <w:color w:val="auto"/>
              </w:rPr>
            </w:pPr>
          </w:p>
        </w:tc>
        <w:tc>
          <w:tcPr>
            <w:tcW w:w="180" w:type="dxa"/>
            <w:vAlign w:val="bottom"/>
            <w:tcBorders>
              <w:bottom w:val="single" w:sz="8" w:color="F1F1F1"/>
              <w:right w:val="single" w:sz="8" w:color="F1F1F1"/>
            </w:tcBorders>
            <w:shd w:val="clear" w:color="auto" w:fill="F1F1F1"/>
          </w:tcPr>
          <w:p>
            <w:pPr>
              <w:spacing w:after="0"/>
              <w:rPr>
                <w:sz w:val="13"/>
                <w:szCs w:val="13"/>
                <w:color w:val="auto"/>
              </w:rPr>
            </w:pPr>
          </w:p>
        </w:tc>
        <w:tc>
          <w:tcPr>
            <w:tcW w:w="900" w:type="dxa"/>
            <w:vAlign w:val="bottom"/>
            <w:tcBorders>
              <w:bottom w:val="single" w:sz="8" w:color="071D49"/>
            </w:tcBorders>
            <w:shd w:val="clear" w:color="auto" w:fill="F1F1F1"/>
          </w:tcPr>
          <w:p>
            <w:pPr>
              <w:spacing w:after="0"/>
              <w:rPr>
                <w:sz w:val="13"/>
                <w:szCs w:val="13"/>
                <w:color w:val="auto"/>
              </w:rPr>
            </w:pPr>
          </w:p>
        </w:tc>
        <w:tc>
          <w:tcPr>
            <w:tcW w:w="200" w:type="dxa"/>
            <w:vAlign w:val="bottom"/>
            <w:tcBorders>
              <w:bottom w:val="single" w:sz="8" w:color="F1F1F1"/>
              <w:right w:val="single" w:sz="8" w:color="F1F1F1"/>
            </w:tcBorders>
            <w:shd w:val="clear" w:color="auto" w:fill="F1F1F1"/>
          </w:tcPr>
          <w:p>
            <w:pPr>
              <w:spacing w:after="0"/>
              <w:rPr>
                <w:sz w:val="13"/>
                <w:szCs w:val="13"/>
                <w:color w:val="auto"/>
              </w:rPr>
            </w:pPr>
          </w:p>
        </w:tc>
        <w:tc>
          <w:tcPr>
            <w:tcW w:w="1260" w:type="dxa"/>
            <w:vAlign w:val="bottom"/>
            <w:tcBorders>
              <w:bottom w:val="single" w:sz="8" w:color="071D49"/>
            </w:tcBorders>
            <w:shd w:val="clear" w:color="auto" w:fill="F1F1F1"/>
          </w:tcPr>
          <w:p>
            <w:pPr>
              <w:spacing w:after="0"/>
              <w:rPr>
                <w:sz w:val="13"/>
                <w:szCs w:val="13"/>
                <w:color w:val="auto"/>
              </w:rPr>
            </w:pPr>
          </w:p>
        </w:tc>
        <w:tc>
          <w:tcPr>
            <w:tcW w:w="180" w:type="dxa"/>
            <w:vAlign w:val="bottom"/>
            <w:tcBorders>
              <w:bottom w:val="single" w:sz="8" w:color="F1F1F1"/>
            </w:tcBorders>
            <w:shd w:val="clear" w:color="auto" w:fill="F1F1F1"/>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200" w:type="dxa"/>
            <w:vAlign w:val="bottom"/>
            <w:tcBorders>
              <w:right w:val="single" w:sz="8" w:color="071D49"/>
            </w:tcBorders>
            <w:shd w:val="clear" w:color="auto" w:fill="F1F1F1"/>
          </w:tcPr>
          <w:p>
            <w:pPr>
              <w:spacing w:after="0"/>
              <w:rPr>
                <w:sz w:val="24"/>
                <w:szCs w:val="24"/>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Long-Term</w:t>
            </w:r>
          </w:p>
        </w:tc>
        <w:tc>
          <w:tcPr>
            <w:tcW w:w="180" w:type="dxa"/>
            <w:vAlign w:val="bottom"/>
            <w:tcBorders>
              <w:right w:val="single" w:sz="8" w:color="071D49"/>
            </w:tcBorders>
            <w:shd w:val="clear" w:color="auto" w:fill="F1F1F1"/>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Borders>
              <w:right w:val="single" w:sz="8" w:color="071D49"/>
            </w:tcBorders>
            <w:shd w:val="clear" w:color="auto" w:fill="F1F1F1"/>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5"/>
                <w:szCs w:val="15"/>
                <w:color w:val="auto"/>
              </w:rPr>
              <w:t>Align NEO</w:t>
            </w:r>
          </w:p>
        </w:tc>
        <w:tc>
          <w:tcPr>
            <w:tcW w:w="180" w:type="dxa"/>
            <w:vAlign w:val="bottom"/>
            <w:shd w:val="clear" w:color="auto" w:fill="F1F1F1"/>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0" w:type="dxa"/>
            <w:vAlign w:val="bottom"/>
            <w:tcBorders>
              <w:right w:val="single" w:sz="8" w:color="071D49"/>
            </w:tcBorders>
            <w:shd w:val="clear" w:color="auto" w:fill="F1F1F1"/>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Borders>
              <w:right w:val="single" w:sz="8" w:color="071D49"/>
            </w:tcBorders>
            <w:shd w:val="clear" w:color="auto" w:fill="F1F1F1"/>
          </w:tcPr>
          <w:p>
            <w:pPr>
              <w:spacing w:after="0"/>
              <w:rPr>
                <w:sz w:val="7"/>
                <w:szCs w:val="7"/>
                <w:color w:val="auto"/>
              </w:rPr>
            </w:pPr>
          </w:p>
        </w:tc>
        <w:tc>
          <w:tcPr>
            <w:tcW w:w="900" w:type="dxa"/>
            <w:vAlign w:val="bottom"/>
            <w:vMerge w:val="restart"/>
          </w:tcPr>
          <w:p>
            <w:pPr>
              <w:ind w:left="120"/>
              <w:spacing w:after="0"/>
              <w:rPr>
                <w:sz w:val="20"/>
                <w:szCs w:val="20"/>
                <w:color w:val="auto"/>
              </w:rPr>
            </w:pPr>
            <w:r>
              <w:rPr>
                <w:rFonts w:ascii="Arial" w:cs="Arial" w:eastAsia="Arial" w:hAnsi="Arial"/>
                <w:sz w:val="15"/>
                <w:szCs w:val="15"/>
                <w:color w:val="auto"/>
              </w:rPr>
              <w:t>At-Risk</w:t>
            </w:r>
          </w:p>
        </w:tc>
        <w:tc>
          <w:tcPr>
            <w:tcW w:w="200" w:type="dxa"/>
            <w:vAlign w:val="bottom"/>
            <w:tcBorders>
              <w:right w:val="single" w:sz="8" w:color="071D49"/>
            </w:tcBorders>
            <w:shd w:val="clear" w:color="auto" w:fill="F1F1F1"/>
          </w:tcPr>
          <w:p>
            <w:pPr>
              <w:spacing w:after="0"/>
              <w:rPr>
                <w:sz w:val="7"/>
                <w:szCs w:val="7"/>
                <w:color w:val="auto"/>
              </w:rPr>
            </w:pP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interests with</w:t>
            </w: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 w:type="dxa"/>
            <w:vAlign w:val="bottom"/>
            <w:tcBorders>
              <w:right w:val="single" w:sz="8" w:color="071D49"/>
            </w:tcBorders>
            <w:shd w:val="clear" w:color="auto" w:fill="F1F1F1"/>
          </w:tcPr>
          <w:p>
            <w:pPr>
              <w:spacing w:after="0"/>
              <w:rPr>
                <w:sz w:val="7"/>
                <w:szCs w:val="7"/>
                <w:color w:val="auto"/>
              </w:rPr>
            </w:pPr>
          </w:p>
        </w:tc>
        <w:tc>
          <w:tcPr>
            <w:tcW w:w="11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Incentives</w:t>
            </w:r>
          </w:p>
        </w:tc>
        <w:tc>
          <w:tcPr>
            <w:tcW w:w="180" w:type="dxa"/>
            <w:vAlign w:val="bottom"/>
            <w:tcBorders>
              <w:right w:val="single" w:sz="8" w:color="071D49"/>
            </w:tcBorders>
            <w:shd w:val="clear" w:color="auto" w:fill="F1F1F1"/>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Borders>
              <w:right w:val="single" w:sz="8" w:color="071D49"/>
            </w:tcBorders>
            <w:shd w:val="clear" w:color="auto" w:fill="F1F1F1"/>
          </w:tcPr>
          <w:p>
            <w:pPr>
              <w:spacing w:after="0"/>
              <w:rPr>
                <w:sz w:val="7"/>
                <w:szCs w:val="7"/>
                <w:color w:val="auto"/>
              </w:rPr>
            </w:pPr>
          </w:p>
        </w:tc>
        <w:tc>
          <w:tcPr>
            <w:tcW w:w="1260" w:type="dxa"/>
            <w:vAlign w:val="bottom"/>
            <w:vMerge w:val="continue"/>
          </w:tcPr>
          <w:p>
            <w:pPr>
              <w:spacing w:after="0"/>
              <w:rPr>
                <w:sz w:val="7"/>
                <w:szCs w:val="7"/>
                <w:color w:val="auto"/>
              </w:rPr>
            </w:pPr>
          </w:p>
        </w:tc>
        <w:tc>
          <w:tcPr>
            <w:tcW w:w="180" w:type="dxa"/>
            <w:vAlign w:val="bottom"/>
            <w:shd w:val="clear" w:color="auto" w:fill="F1F1F1"/>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tcBorders>
              <w:right w:val="single" w:sz="8" w:color="071D49"/>
            </w:tcBorders>
            <w:shd w:val="clear" w:color="auto" w:fill="F1F1F1"/>
          </w:tcPr>
          <w:p>
            <w:pPr>
              <w:spacing w:after="0"/>
              <w:rPr>
                <w:sz w:val="10"/>
                <w:szCs w:val="10"/>
                <w:color w:val="auto"/>
              </w:rPr>
            </w:pPr>
          </w:p>
        </w:tc>
        <w:tc>
          <w:tcPr>
            <w:tcW w:w="1100" w:type="dxa"/>
            <w:vAlign w:val="bottom"/>
            <w:vMerge w:val="continue"/>
          </w:tcPr>
          <w:p>
            <w:pPr>
              <w:spacing w:after="0"/>
              <w:rPr>
                <w:sz w:val="10"/>
                <w:szCs w:val="10"/>
                <w:color w:val="auto"/>
              </w:rPr>
            </w:pPr>
          </w:p>
        </w:tc>
        <w:tc>
          <w:tcPr>
            <w:tcW w:w="180" w:type="dxa"/>
            <w:vAlign w:val="bottom"/>
            <w:tcBorders>
              <w:right w:val="single" w:sz="8" w:color="071D49"/>
            </w:tcBorders>
            <w:shd w:val="clear" w:color="auto" w:fill="F1F1F1"/>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Borders>
              <w:right w:val="single" w:sz="8" w:color="071D49"/>
            </w:tcBorders>
            <w:shd w:val="clear" w:color="auto" w:fill="F1F1F1"/>
          </w:tcPr>
          <w:p>
            <w:pPr>
              <w:spacing w:after="0"/>
              <w:rPr>
                <w:sz w:val="10"/>
                <w:szCs w:val="10"/>
                <w:color w:val="auto"/>
              </w:rPr>
            </w:pPr>
          </w:p>
        </w:tc>
        <w:tc>
          <w:tcPr>
            <w:tcW w:w="1260" w:type="dxa"/>
            <w:vAlign w:val="bottom"/>
            <w:vMerge w:val="restart"/>
          </w:tcPr>
          <w:p>
            <w:pPr>
              <w:ind w:left="100"/>
              <w:spacing w:after="0"/>
              <w:rPr>
                <w:sz w:val="20"/>
                <w:szCs w:val="20"/>
                <w:color w:val="auto"/>
              </w:rPr>
            </w:pPr>
            <w:r>
              <w:rPr>
                <w:rFonts w:ascii="Arial" w:cs="Arial" w:eastAsia="Arial" w:hAnsi="Arial"/>
                <w:sz w:val="15"/>
                <w:szCs w:val="15"/>
                <w:color w:val="auto"/>
              </w:rPr>
              <w:t>stockholders</w:t>
            </w:r>
          </w:p>
        </w:tc>
        <w:tc>
          <w:tcPr>
            <w:tcW w:w="180" w:type="dxa"/>
            <w:vAlign w:val="bottom"/>
            <w:shd w:val="clear" w:color="auto" w:fill="F1F1F1"/>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60" w:type="dxa"/>
            <w:vAlign w:val="bottom"/>
            <w:vMerge w:val="continue"/>
          </w:tcPr>
          <w:p>
            <w:pPr>
              <w:spacing w:after="0"/>
              <w:rPr>
                <w:sz w:val="6"/>
                <w:szCs w:val="6"/>
                <w:color w:val="auto"/>
              </w:rPr>
            </w:pPr>
          </w:p>
        </w:tc>
        <w:tc>
          <w:tcPr>
            <w:tcW w:w="18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0" w:type="dxa"/>
            <w:vAlign w:val="bottom"/>
            <w:tcBorders>
              <w:right w:val="single" w:sz="8" w:color="071D49"/>
            </w:tcBorders>
            <w:shd w:val="clear" w:color="auto" w:fill="F1F1F1"/>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right w:val="single" w:sz="8" w:color="071D49"/>
            </w:tcBorders>
            <w:shd w:val="clear" w:color="auto" w:fill="F1F1F1"/>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Borders>
              <w:right w:val="single" w:sz="8" w:color="071D49"/>
            </w:tcBorders>
            <w:shd w:val="clear" w:color="auto" w:fill="F1F1F1"/>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shd w:val="clear" w:color="auto" w:fill="F1F1F1"/>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0" w:type="dxa"/>
            <w:vAlign w:val="bottom"/>
            <w:tcBorders>
              <w:right w:val="single" w:sz="8" w:color="F1F1F1"/>
            </w:tcBorders>
            <w:shd w:val="clear" w:color="auto" w:fill="F1F1F1"/>
          </w:tcPr>
          <w:p>
            <w:pPr>
              <w:spacing w:after="0"/>
              <w:rPr>
                <w:sz w:val="13"/>
                <w:szCs w:val="13"/>
                <w:color w:val="auto"/>
              </w:rPr>
            </w:pPr>
          </w:p>
        </w:tc>
        <w:tc>
          <w:tcPr>
            <w:tcW w:w="1100" w:type="dxa"/>
            <w:vAlign w:val="bottom"/>
            <w:shd w:val="clear" w:color="auto" w:fill="F1F1F1"/>
          </w:tcPr>
          <w:p>
            <w:pPr>
              <w:spacing w:after="0"/>
              <w:rPr>
                <w:sz w:val="13"/>
                <w:szCs w:val="13"/>
                <w:color w:val="auto"/>
              </w:rPr>
            </w:pPr>
          </w:p>
        </w:tc>
        <w:tc>
          <w:tcPr>
            <w:tcW w:w="180" w:type="dxa"/>
            <w:vAlign w:val="bottom"/>
            <w:tcBorders>
              <w:right w:val="single" w:sz="8" w:color="F1F1F1"/>
            </w:tcBorders>
            <w:shd w:val="clear" w:color="auto" w:fill="F1F1F1"/>
          </w:tcPr>
          <w:p>
            <w:pPr>
              <w:spacing w:after="0"/>
              <w:rPr>
                <w:sz w:val="13"/>
                <w:szCs w:val="13"/>
                <w:color w:val="auto"/>
              </w:rPr>
            </w:pPr>
          </w:p>
        </w:tc>
        <w:tc>
          <w:tcPr>
            <w:tcW w:w="900" w:type="dxa"/>
            <w:vAlign w:val="bottom"/>
            <w:shd w:val="clear" w:color="auto" w:fill="F1F1F1"/>
          </w:tcPr>
          <w:p>
            <w:pPr>
              <w:spacing w:after="0"/>
              <w:rPr>
                <w:sz w:val="13"/>
                <w:szCs w:val="13"/>
                <w:color w:val="auto"/>
              </w:rPr>
            </w:pPr>
          </w:p>
        </w:tc>
        <w:tc>
          <w:tcPr>
            <w:tcW w:w="200" w:type="dxa"/>
            <w:vAlign w:val="bottom"/>
            <w:tcBorders>
              <w:right w:val="single" w:sz="8" w:color="F1F1F1"/>
            </w:tcBorders>
            <w:shd w:val="clear" w:color="auto" w:fill="F1F1F1"/>
          </w:tcPr>
          <w:p>
            <w:pPr>
              <w:spacing w:after="0"/>
              <w:rPr>
                <w:sz w:val="13"/>
                <w:szCs w:val="13"/>
                <w:color w:val="auto"/>
              </w:rPr>
            </w:pPr>
          </w:p>
        </w:tc>
        <w:tc>
          <w:tcPr>
            <w:tcW w:w="1260" w:type="dxa"/>
            <w:vAlign w:val="bottom"/>
            <w:shd w:val="clear" w:color="auto" w:fill="F1F1F1"/>
          </w:tcPr>
          <w:p>
            <w:pPr>
              <w:spacing w:after="0"/>
              <w:rPr>
                <w:sz w:val="13"/>
                <w:szCs w:val="13"/>
                <w:color w:val="auto"/>
              </w:rPr>
            </w:pPr>
          </w:p>
        </w:tc>
        <w:tc>
          <w:tcPr>
            <w:tcW w:w="180" w:type="dxa"/>
            <w:vAlign w:val="bottom"/>
            <w:shd w:val="clear" w:color="auto" w:fill="F1F1F1"/>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5715</wp:posOffset>
            </wp:positionV>
            <wp:extent cx="5760085" cy="2081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0085" cy="2081530"/>
                    </a:xfrm>
                    <a:prstGeom prst="rect">
                      <a:avLst/>
                    </a:prstGeom>
                    <a:noFill/>
                  </pic:spPr>
                </pic:pic>
              </a:graphicData>
            </a:graphic>
          </wp:anchor>
        </w:drawing>
      </w:r>
    </w:p>
    <w:p>
      <w:pPr>
        <w:spacing w:after="0" w:line="202" w:lineRule="exact"/>
        <w:rPr>
          <w:sz w:val="20"/>
          <w:szCs w:val="20"/>
          <w:color w:val="auto"/>
        </w:rPr>
      </w:pPr>
    </w:p>
    <w:p>
      <w:pPr>
        <w:ind w:left="20" w:right="180"/>
        <w:spacing w:after="0" w:line="261" w:lineRule="auto"/>
        <w:rPr>
          <w:sz w:val="20"/>
          <w:szCs w:val="20"/>
          <w:color w:val="auto"/>
        </w:rPr>
      </w:pPr>
      <w:r>
        <w:rPr>
          <w:rFonts w:ascii="Arial" w:cs="Arial" w:eastAsia="Arial" w:hAnsi="Arial"/>
          <w:sz w:val="15"/>
          <w:szCs w:val="15"/>
          <w:color w:val="auto"/>
        </w:rPr>
        <w:t>Individual salaries are established relative to market median based on each NEO’s individual performance, skills, experience, and internal equity, as well as the company’s annual operating budget</w:t>
      </w:r>
    </w:p>
    <w:p>
      <w:pPr>
        <w:spacing w:after="0" w:line="188" w:lineRule="exact"/>
        <w:rPr>
          <w:sz w:val="20"/>
          <w:szCs w:val="20"/>
          <w:color w:val="auto"/>
        </w:rPr>
      </w:pPr>
    </w:p>
    <w:p>
      <w:pPr>
        <w:ind w:left="20" w:right="620"/>
        <w:spacing w:after="0" w:line="253" w:lineRule="auto"/>
        <w:rPr>
          <w:sz w:val="20"/>
          <w:szCs w:val="20"/>
          <w:color w:val="auto"/>
        </w:rPr>
      </w:pPr>
      <w:r>
        <w:rPr>
          <w:rFonts w:ascii="Arial" w:cs="Arial" w:eastAsia="Arial" w:hAnsi="Arial"/>
          <w:sz w:val="15"/>
          <w:szCs w:val="15"/>
          <w:color w:val="auto"/>
        </w:rPr>
        <w:t>Plan utilizes non-GAAP financial goals as well as an assessment of individual performance against strategic objectives: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Platform revenue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Income before taxes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Operating margin</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Return on assets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Strategic and leadership goals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Long-term incentive annual awards are granted in the form of:</w:t>
      </w:r>
    </w:p>
    <w:p>
      <w:pPr>
        <w:spacing w:after="0" w:line="17" w:lineRule="exact"/>
        <w:rPr>
          <w:sz w:val="20"/>
          <w:szCs w:val="20"/>
          <w:color w:val="auto"/>
        </w:rPr>
      </w:pPr>
    </w:p>
    <w:p>
      <w:pPr>
        <w:ind w:left="20" w:right="480"/>
        <w:spacing w:after="0" w:line="243" w:lineRule="auto"/>
        <w:rPr>
          <w:sz w:val="20"/>
          <w:szCs w:val="20"/>
          <w:color w:val="auto"/>
        </w:rPr>
      </w:pPr>
      <w:r>
        <w:rPr>
          <w:rFonts w:ascii="Arial" w:cs="Arial" w:eastAsia="Arial" w:hAnsi="Arial"/>
          <w:sz w:val="15"/>
          <w:szCs w:val="15"/>
          <w:color w:val="auto"/>
        </w:rPr>
        <w:t>— Performance shares and performance-vested restricted stock units (80% of NEO’s LTI award)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Non-qualified stock options (20% of NEO’s LTI award)</w:t>
      </w:r>
    </w:p>
    <w:p>
      <w:pPr>
        <w:spacing w:after="0" w:line="351" w:lineRule="exact"/>
        <w:rPr>
          <w:sz w:val="20"/>
          <w:szCs w:val="20"/>
          <w:color w:val="auto"/>
        </w:rPr>
      </w:pPr>
    </w:p>
    <w:p>
      <w:pPr>
        <w:sectPr>
          <w:pgSz w:w="11900" w:h="16838" w:orient="portrait"/>
          <w:cols w:equalWidth="0" w:num="2">
            <w:col w:w="4020" w:space="100"/>
            <w:col w:w="5120"/>
          </w:cols>
          <w:pgMar w:left="1300" w:top="486" w:right="1359" w:bottom="1440" w:gutter="0" w:footer="0" w:header="0"/>
          <w:type w:val="continuous"/>
        </w:sectPr>
      </w:pPr>
    </w:p>
    <w:p>
      <w:pPr>
        <w:spacing w:after="0" w:line="277"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12</w:t>
      </w:r>
      <w:r>
        <w:rPr>
          <w:sz w:val="20"/>
          <w:szCs w:val="20"/>
          <w:color w:val="auto"/>
        </w:rPr>
        <w:tab/>
      </w:r>
      <w:r>
        <w:rPr>
          <w:sz w:val="1"/>
          <w:szCs w:val="1"/>
          <w:color w:val="auto"/>
        </w:rPr>
        <w:drawing>
          <wp:inline distT="0" distB="0" distL="0" distR="0">
            <wp:extent cx="810260" cy="1511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5887085"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00" w:top="486" w:right="135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INFORMATION CONCERNING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87085" cy="1587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193675</wp:posOffset>
            </wp:positionV>
            <wp:extent cx="24130" cy="540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130" cy="54038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185420</wp:posOffset>
            </wp:positionV>
            <wp:extent cx="4004310" cy="556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004310" cy="55626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40"/>
        <w:spacing w:after="0" w:line="301"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You are being asked to elect five Class III directors at the Annual Meeting.</w:t>
      </w:r>
    </w:p>
    <w:p>
      <w:pPr>
        <w:spacing w:after="0" w:line="90"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b w:val="1"/>
          <w:bCs w:val="1"/>
          <w:i w:val="1"/>
          <w:iCs w:val="1"/>
          <w:color w:val="auto"/>
        </w:rPr>
        <w:t xml:space="preserve">The board of directors recommends you vote </w:t>
      </w:r>
      <w:r>
        <w:rPr>
          <w:rFonts w:ascii="Arial" w:cs="Arial" w:eastAsia="Arial" w:hAnsi="Arial"/>
          <w:sz w:val="17"/>
          <w:szCs w:val="17"/>
          <w:b w:val="1"/>
          <w:bCs w:val="1"/>
          <w:color w:val="auto"/>
        </w:rPr>
        <w:t>“FOR”</w:t>
      </w:r>
      <w:r>
        <w:rPr>
          <w:rFonts w:ascii="Arial" w:cs="Arial" w:eastAsia="Arial" w:hAnsi="Arial"/>
          <w:sz w:val="17"/>
          <w:szCs w:val="17"/>
          <w:b w:val="1"/>
          <w:bCs w:val="1"/>
          <w:i w:val="1"/>
          <w:iCs w:val="1"/>
          <w:color w:val="auto"/>
        </w:rPr>
        <w:t xml:space="preserve"> each of the nominees set forth below.</w:t>
      </w:r>
    </w:p>
    <w:p>
      <w:pPr>
        <w:spacing w:after="0" w:line="200" w:lineRule="exact"/>
        <w:rPr>
          <w:sz w:val="20"/>
          <w:szCs w:val="20"/>
          <w:color w:val="auto"/>
        </w:rPr>
      </w:pPr>
    </w:p>
    <w:p>
      <w:pPr>
        <w:sectPr>
          <w:pgSz w:w="11900" w:h="16838" w:orient="portrait"/>
          <w:cols w:equalWidth="0" w:num="2">
            <w:col w:w="2840" w:space="260"/>
            <w:col w:w="6180"/>
          </w:cols>
          <w:pgMar w:left="1300" w:top="486" w:right="1319" w:bottom="1440" w:gutter="0" w:footer="0" w:header="0"/>
          <w:type w:val="continuous"/>
        </w:sectPr>
      </w:pPr>
    </w:p>
    <w:p>
      <w:pPr>
        <w:spacing w:after="0" w:line="34" w:lineRule="exact"/>
        <w:rPr>
          <w:sz w:val="20"/>
          <w:szCs w:val="20"/>
          <w:color w:val="auto"/>
        </w:rPr>
      </w:pPr>
    </w:p>
    <w:p>
      <w:pPr>
        <w:ind w:left="20" w:right="120"/>
        <w:spacing w:after="0" w:line="238" w:lineRule="auto"/>
        <w:rPr>
          <w:sz w:val="20"/>
          <w:szCs w:val="20"/>
          <w:color w:val="auto"/>
        </w:rPr>
      </w:pPr>
      <w:r>
        <w:rPr>
          <w:rFonts w:ascii="Arial" w:cs="Arial" w:eastAsia="Arial" w:hAnsi="Arial"/>
          <w:sz w:val="17"/>
          <w:szCs w:val="17"/>
          <w:color w:val="auto"/>
        </w:rPr>
        <w:t>The board of directors consists of three classes currently comprised of four directors in Class I, four directors in Class II, and five directors in Class III. Directors of one class are elected each year for a term of three years. The Class III directors are presented for re-election to hold office until the expiration of their term at the 2027 annual meeting of stockholders and until their successors are elected and qualified or until their earlier death or resignation. All of the nominees are currently serving as directors.</w:t>
      </w:r>
    </w:p>
    <w:p>
      <w:pPr>
        <w:spacing w:after="0" w:line="144" w:lineRule="exact"/>
        <w:rPr>
          <w:sz w:val="20"/>
          <w:szCs w:val="20"/>
          <w:color w:val="auto"/>
        </w:rPr>
      </w:pPr>
    </w:p>
    <w:p>
      <w:pPr>
        <w:jc w:val="both"/>
        <w:ind w:left="20" w:right="240"/>
        <w:spacing w:after="0" w:line="246" w:lineRule="auto"/>
        <w:rPr>
          <w:sz w:val="20"/>
          <w:szCs w:val="20"/>
          <w:color w:val="auto"/>
        </w:rPr>
      </w:pPr>
      <w:r>
        <w:rPr>
          <w:rFonts w:ascii="Arial" w:cs="Arial" w:eastAsia="Arial" w:hAnsi="Arial"/>
          <w:sz w:val="17"/>
          <w:szCs w:val="17"/>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INFORMATION CONCERNING DIRECTOR NOMINEES</w:t>
      </w:r>
    </w:p>
    <w:p>
      <w:pPr>
        <w:spacing w:after="0" w:line="195" w:lineRule="exact"/>
        <w:rPr>
          <w:sz w:val="20"/>
          <w:szCs w:val="20"/>
          <w:color w:val="auto"/>
        </w:rPr>
      </w:pPr>
    </w:p>
    <w:p>
      <w:pPr>
        <w:spacing w:after="0"/>
        <w:rPr>
          <w:sz w:val="20"/>
          <w:szCs w:val="20"/>
          <w:color w:val="auto"/>
        </w:rPr>
      </w:pPr>
      <w:r>
        <w:rPr>
          <w:rFonts w:ascii="Arial" w:cs="Arial" w:eastAsia="Arial" w:hAnsi="Arial"/>
          <w:sz w:val="30"/>
          <w:szCs w:val="30"/>
          <w:color w:val="auto"/>
        </w:rPr>
        <w:t>Nominees (Class III)</w:t>
      </w:r>
    </w:p>
    <w:p>
      <w:pPr>
        <w:spacing w:after="0" w:line="17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Roxanne S.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-153035</wp:posOffset>
            </wp:positionV>
            <wp:extent cx="810260" cy="818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260" cy="81851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63</w:t>
      </w:r>
    </w:p>
    <w:p>
      <w:pPr>
        <w:ind w:left="172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Compensation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President, Austin Investment Advisors</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Ms. Austin is president of Austin Investment Advisors, a private investment and consulting firm. She chaired the U.S. Mid-market Investment Advisory Committee of EQT Partners from 2017 to 2023. Previously, Ms. Austin also served as the president and chief executive officer of Move Networks, Inc., a provider of Internet television services. Ms. Austin served as president and chief operating officer of DIRECTV, Inc. Ms. Austin also served as executive vice president and chief financial officer of Hughes Electronics Corporation and as a partner of Deloitte &amp; Touche LLP. Ms. Austin is also a director of Crowdstrike, Inc., Freshworks, Inc., and Verizon Communications Inc. Ms. Austin previously served as a director of Abbott Laboratories from 2000 to 2022, Teledyne Technologies, Inc. from 2006 to 2021, Target Corporation from 2002 to 2020, and Telefonaktiebolaget LM Ericsson from 2008 to 2016.</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right="100" w:hanging="237"/>
        <w:spacing w:after="0" w:line="237" w:lineRule="auto"/>
        <w:tabs>
          <w:tab w:leader="none" w:pos="328" w:val="left"/>
        </w:tabs>
        <w:numPr>
          <w:ilvl w:val="0"/>
          <w:numId w:val="31"/>
        </w:numPr>
        <w:rPr>
          <w:rFonts w:ascii="Times New Roman" w:cs="Times New Roman" w:eastAsia="Times New Roman" w:hAnsi="Times New Roman"/>
          <w:sz w:val="17"/>
          <w:szCs w:val="17"/>
          <w:color w:val="071D49"/>
        </w:rPr>
      </w:pPr>
      <w:r>
        <w:rPr>
          <w:rFonts w:ascii="Arial" w:cs="Arial" w:eastAsia="Arial" w:hAnsi="Arial"/>
          <w:sz w:val="17"/>
          <w:szCs w:val="17"/>
          <w:color w:val="auto"/>
        </w:rPr>
        <w:t>Through her extensive management and operating roles, including her financial roles, Ms. Austin contributes significant oversight and leadership experience to the board, including financial expertise and knowledge of financial statements, corporate finance, and accounting matters. Ms. Austin also provides substantial cybersecurity and other information technology expertise, as a result of her role as a director at Crowdstrike, Inc., a cybersecurity technology company, and former director at Target Corporation, among other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-612140</wp:posOffset>
            </wp:positionV>
            <wp:extent cx="5878830" cy="603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78830" cy="603885"/>
                    </a:xfrm>
                    <a:prstGeom prst="rect">
                      <a:avLst/>
                    </a:prstGeom>
                    <a:noFill/>
                  </pic:spPr>
                </pic:pic>
              </a:graphicData>
            </a:graphic>
          </wp:anchor>
        </w:drawing>
      </w:r>
    </w:p>
    <w:p>
      <w:pPr>
        <w:spacing w:after="0" w:line="131"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-153035</wp:posOffset>
            </wp:positionV>
            <wp:extent cx="794385" cy="786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94385" cy="78676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70</w:t>
      </w:r>
    </w:p>
    <w:p>
      <w:pPr>
        <w:ind w:left="172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Chairman of the Board and Chief Executive Officer, AbbVie Inc.</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Mr. Gonzalez is the chairman and chief executive officer of AbbVie, a position he has held since 2013.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 Hospital Products Division; vice president and president of Abbott’s Health Systems Division; and divisional vice president and general manager for Abbott’s Diagnostics Operations in the United States and Canada.</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right="120" w:hanging="237"/>
        <w:spacing w:after="0" w:line="235" w:lineRule="auto"/>
        <w:tabs>
          <w:tab w:leader="none" w:pos="328" w:val="left"/>
        </w:tabs>
        <w:numPr>
          <w:ilvl w:val="0"/>
          <w:numId w:val="32"/>
        </w:numPr>
        <w:rPr>
          <w:rFonts w:ascii="Times New Roman" w:cs="Times New Roman" w:eastAsia="Times New Roman" w:hAnsi="Times New Roman"/>
          <w:sz w:val="17"/>
          <w:szCs w:val="17"/>
          <w:color w:val="071D49"/>
        </w:rPr>
      </w:pPr>
      <w:r>
        <w:rPr>
          <w:rFonts w:ascii="Arial" w:cs="Arial" w:eastAsia="Arial" w:hAnsi="Arial"/>
          <w:sz w:val="17"/>
          <w:szCs w:val="17"/>
          <w:color w:val="auto"/>
        </w:rPr>
        <w:t>As a result of his service since 2013 as AbbVie’s chairman and chief executive officer and his more than 30-year career at Abbott, Mr. Gonzalez has developed valuable business, management, and leadership experience, as well as extensive knowledge of AbbVie and its global operations.</w:t>
      </w:r>
    </w:p>
    <w:p>
      <w:pPr>
        <w:ind w:left="360" w:right="640" w:hanging="237"/>
        <w:spacing w:after="0" w:line="256" w:lineRule="auto"/>
        <w:tabs>
          <w:tab w:leader="none" w:pos="328" w:val="left"/>
        </w:tabs>
        <w:numPr>
          <w:ilvl w:val="0"/>
          <w:numId w:val="32"/>
        </w:numPr>
        <w:rPr>
          <w:rFonts w:ascii="Times New Roman" w:cs="Times New Roman" w:eastAsia="Times New Roman" w:hAnsi="Times New Roman"/>
          <w:sz w:val="17"/>
          <w:szCs w:val="17"/>
          <w:color w:val="071D49"/>
        </w:rPr>
      </w:pPr>
      <w:r>
        <w:rPr>
          <w:rFonts w:ascii="Arial" w:cs="Arial" w:eastAsia="Arial" w:hAnsi="Arial"/>
          <w:sz w:val="17"/>
          <w:szCs w:val="17"/>
          <w:color w:val="auto"/>
        </w:rPr>
        <w:t>Mr. Gonzalez’s experience and knowledge enable him to contribute to AbbVie’s board key insights into strategic, management, and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-629920</wp:posOffset>
            </wp:positionV>
            <wp:extent cx="5878830" cy="6115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78830" cy="6115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14</w:t>
      </w:r>
      <w:r>
        <w:rPr>
          <w:sz w:val="20"/>
          <w:szCs w:val="20"/>
          <w:color w:val="auto"/>
        </w:rPr>
        <w:tab/>
      </w:r>
      <w:r>
        <w:rPr>
          <w:sz w:val="1"/>
          <w:szCs w:val="1"/>
          <w:color w:val="auto"/>
        </w:rPr>
        <w:drawing>
          <wp:inline distT="0" distB="0" distL="0" distR="0">
            <wp:extent cx="810260" cy="15113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INFORMATION CONCERNING DIRECTOR NOMINEES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Susan E. Quaggin,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-153035</wp:posOffset>
            </wp:positionV>
            <wp:extent cx="826135" cy="8185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6135" cy="81851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2023</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60</w:t>
      </w:r>
    </w:p>
    <w:p>
      <w:pPr>
        <w:ind w:left="174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Public Policy and Sustainability</w:t>
      </w:r>
    </w:p>
    <w:p>
      <w:pPr>
        <w:ind w:left="1740"/>
        <w:spacing w:after="0" w:line="231"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Irving S. Cutter Professor and Chair of Medicine, Northwestern University</w:t>
      </w:r>
    </w:p>
    <w:p>
      <w:pPr>
        <w:ind w:left="1740"/>
        <w:spacing w:after="0"/>
        <w:rPr>
          <w:sz w:val="20"/>
          <w:szCs w:val="20"/>
          <w:color w:val="auto"/>
        </w:rPr>
      </w:pPr>
      <w:r>
        <w:rPr>
          <w:rFonts w:ascii="Arial" w:cs="Arial" w:eastAsia="Arial" w:hAnsi="Arial"/>
          <w:sz w:val="17"/>
          <w:szCs w:val="17"/>
          <w:b w:val="1"/>
          <w:bCs w:val="1"/>
          <w:color w:val="071D49"/>
        </w:rPr>
        <w:t>Feinberg School of Medicine</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100"/>
        <w:spacing w:after="0" w:line="235" w:lineRule="auto"/>
        <w:rPr>
          <w:sz w:val="20"/>
          <w:szCs w:val="20"/>
          <w:color w:val="auto"/>
        </w:rPr>
      </w:pPr>
      <w:r>
        <w:rPr>
          <w:rFonts w:ascii="Arial" w:cs="Arial" w:eastAsia="Arial" w:hAnsi="Arial"/>
          <w:sz w:val="17"/>
          <w:szCs w:val="17"/>
          <w:color w:val="auto"/>
        </w:rPr>
        <w:t>Dr. Quaggin is currently the Irving S. Cutter Professor of Medicine at Northwestern University Feinberg School of Medicine, where she has served as the Chair of the Department of Medicine since 2023 and Director of the Feinberg Cardiovascular and Renal Research Institute since 2013. Dr. Quaggin serves as a council member of the Association of American Physicians and previously served as president of the American Society of Nephrology in 2021 and 2022.</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60" w:hanging="237"/>
        <w:spacing w:after="0" w:line="239" w:lineRule="auto"/>
        <w:tabs>
          <w:tab w:leader="none" w:pos="348" w:val="left"/>
        </w:tabs>
        <w:numPr>
          <w:ilvl w:val="0"/>
          <w:numId w:val="33"/>
        </w:numPr>
        <w:rPr>
          <w:rFonts w:ascii="Times New Roman" w:cs="Times New Roman" w:eastAsia="Times New Roman" w:hAnsi="Times New Roman"/>
          <w:sz w:val="17"/>
          <w:szCs w:val="17"/>
          <w:color w:val="071D49"/>
        </w:rPr>
      </w:pPr>
      <w:r>
        <w:rPr>
          <w:rFonts w:ascii="Arial" w:cs="Arial" w:eastAsia="Arial" w:hAnsi="Arial"/>
          <w:sz w:val="17"/>
          <w:szCs w:val="17"/>
          <w:color w:val="auto"/>
        </w:rPr>
        <w:t>Through her position as the Irving S. Cutter Professor of Medicine at Northwestern University Feinberg School of Medicine, as well as her other leadership roles, Dr. Quaggin has acquired extensive medical and scientific expertise and deep knowledge of the health care environment. This expertise allows her to contribute valuable insights on AbbVie’s key research and development initiatives, among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-494030</wp:posOffset>
            </wp:positionV>
            <wp:extent cx="5878830" cy="484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78830" cy="484505"/>
                    </a:xfrm>
                    <a:prstGeom prst="rect">
                      <a:avLst/>
                    </a:prstGeom>
                    <a:noFill/>
                  </pic:spPr>
                </pic:pic>
              </a:graphicData>
            </a:graphic>
          </wp:anchor>
        </w:drawing>
      </w:r>
    </w:p>
    <w:p>
      <w:pPr>
        <w:spacing w:after="0" w:line="130"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Rebecca B.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-153035</wp:posOffset>
            </wp:positionV>
            <wp:extent cx="810260" cy="818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0260" cy="81851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2018</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71</w:t>
      </w:r>
    </w:p>
    <w:p>
      <w:pPr>
        <w:ind w:left="174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Nominations &amp; Governance and Public Policy and Sustainability</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President of Chevron Pipe Line Company</w:t>
      </w:r>
    </w:p>
    <w:p>
      <w:pPr>
        <w:spacing w:after="0" w:line="38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380"/>
        <w:spacing w:after="0" w:line="234" w:lineRule="auto"/>
        <w:rPr>
          <w:sz w:val="20"/>
          <w:szCs w:val="20"/>
          <w:color w:val="auto"/>
        </w:rPr>
      </w:pPr>
      <w:r>
        <w:rPr>
          <w:rFonts w:ascii="Arial" w:cs="Arial" w:eastAsia="Arial" w:hAnsi="Arial"/>
          <w:sz w:val="17"/>
          <w:szCs w:val="17"/>
          <w:color w:val="auto"/>
        </w:rPr>
        <w:t>Ms. Roberts served as president of Chevron Pipe Line Company from 2006 until her retirement in 2011. She previously served as the president of Chevron Global Power Generation from 2003 to 2006, in addition to various technical and management positions during her thirty-six year career with Chevron. Ms. Roberts began her career as a chemist and research scientist. Ms. Roberts currently serves on the board of directors at Black Hills Corporation and MSA Safety Incorporated. Ms. Roberts served as a director of Enbridge, Inc. from 2015 to 2018.</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60" w:hanging="237"/>
        <w:spacing w:after="0" w:line="237" w:lineRule="auto"/>
        <w:tabs>
          <w:tab w:leader="none" w:pos="348" w:val="left"/>
        </w:tabs>
        <w:numPr>
          <w:ilvl w:val="0"/>
          <w:numId w:val="34"/>
        </w:numPr>
        <w:rPr>
          <w:rFonts w:ascii="Times New Roman" w:cs="Times New Roman" w:eastAsia="Times New Roman" w:hAnsi="Times New Roman"/>
          <w:sz w:val="17"/>
          <w:szCs w:val="17"/>
          <w:color w:val="071D49"/>
        </w:rPr>
      </w:pPr>
      <w:r>
        <w:rPr>
          <w:rFonts w:ascii="Arial" w:cs="Arial" w:eastAsia="Arial" w:hAnsi="Arial"/>
          <w:sz w:val="17"/>
          <w:szCs w:val="17"/>
          <w:color w:val="auto"/>
        </w:rPr>
        <w:t>Ms. Roberts brings management, business development, operational, environmental and safety, marketing, and strategy development expertise with a scientific background and extensive global experience at Chevron.</w:t>
      </w:r>
    </w:p>
    <w:p>
      <w:pPr>
        <w:spacing w:after="0" w:line="1" w:lineRule="exact"/>
        <w:rPr>
          <w:rFonts w:ascii="Times New Roman" w:cs="Times New Roman" w:eastAsia="Times New Roman" w:hAnsi="Times New Roman"/>
          <w:sz w:val="17"/>
          <w:szCs w:val="17"/>
          <w:color w:val="071D49"/>
        </w:rPr>
      </w:pPr>
    </w:p>
    <w:p>
      <w:pPr>
        <w:ind w:left="380" w:right="420" w:hanging="237"/>
        <w:spacing w:after="0" w:line="243" w:lineRule="auto"/>
        <w:tabs>
          <w:tab w:leader="none" w:pos="348" w:val="left"/>
        </w:tabs>
        <w:numPr>
          <w:ilvl w:val="0"/>
          <w:numId w:val="34"/>
        </w:numPr>
        <w:rPr>
          <w:rFonts w:ascii="Times New Roman" w:cs="Times New Roman" w:eastAsia="Times New Roman" w:hAnsi="Times New Roman"/>
          <w:sz w:val="17"/>
          <w:szCs w:val="17"/>
          <w:color w:val="071D49"/>
        </w:rPr>
      </w:pPr>
      <w:r>
        <w:rPr>
          <w:rFonts w:ascii="Arial" w:cs="Arial" w:eastAsia="Arial" w:hAnsi="Arial"/>
          <w:sz w:val="17"/>
          <w:szCs w:val="17"/>
          <w:color w:val="auto"/>
        </w:rPr>
        <w:t>She provides an informed perspective to the board on regulatory and operational matters faced by a complex international company. She also has broad experience across a range of geographies, including Asia, Europe, and Central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-622935</wp:posOffset>
            </wp:positionV>
            <wp:extent cx="5878830" cy="6115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8830" cy="61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INFORMATION CONCERNING DIRECTOR NOMINEES</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-153035</wp:posOffset>
            </wp:positionV>
            <wp:extent cx="810260" cy="818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260" cy="81851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75</w:t>
      </w:r>
    </w:p>
    <w:p>
      <w:pPr>
        <w:ind w:left="172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Compensation, Nominations &amp; Governance, and Public Policy and</w:t>
      </w:r>
    </w:p>
    <w:p>
      <w:pPr>
        <w:ind w:left="1720"/>
        <w:spacing w:after="0" w:line="231" w:lineRule="auto"/>
        <w:rPr>
          <w:sz w:val="20"/>
          <w:szCs w:val="20"/>
          <w:color w:val="auto"/>
        </w:rPr>
      </w:pPr>
      <w:r>
        <w:rPr>
          <w:rFonts w:ascii="Arial" w:cs="Arial" w:eastAsia="Arial" w:hAnsi="Arial"/>
          <w:sz w:val="17"/>
          <w:szCs w:val="17"/>
          <w:b w:val="1"/>
          <w:bCs w:val="1"/>
          <w:color w:val="071D49"/>
        </w:rPr>
        <w:t>Sustainability</w:t>
      </w:r>
    </w:p>
    <w:p>
      <w:pPr>
        <w:ind w:left="1720"/>
        <w:spacing w:after="0" w:line="230"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Chairman and Chief Executive Officer of the UAL Corporation</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071D49"/>
        </w:rPr>
        <w:t>Lead Independent Director</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Mr. Tilton was chairman of the Midwest for JPMorgan Chase &amp; Co. from 2011 until his retirement in 2014. From October 2010 to December 2012, Mr. Tilton also served as the non-executive chairman of the board of United Continental Holdings, Inc. From September 2002 to October 2010, he served as chairman, president and chief executive officer of UAL Corporation, and chairman and chief executive officer of United Air Lines, Inc., its wholly owned subsidiary. Prior to becoming the vice chairman of Chevron Texaco following the merger of Texaco Inc. and Chevron Corp., Mr. Tilton enjoyed a 30-year multi-disciplinary career with Texaco Inc., culminating in his election as chairman and chief executive officer. Mr. Tilton is also a director of Phillips 66. Mr. Tilton also served on the board of directors of Lincoln National Corporation from 2002 to 2007, of TXU Corporation from 2005 to 2007, of Corning Incorporated from 2010 to 2012, of United Continental Holdings, Inc. from 2010 to 2012, and of Abbott Laboratories from 2007 to 2023.</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right="100" w:hanging="237"/>
        <w:spacing w:after="0" w:line="232" w:lineRule="auto"/>
        <w:tabs>
          <w:tab w:leader="none" w:pos="328" w:val="left"/>
        </w:tabs>
        <w:numPr>
          <w:ilvl w:val="0"/>
          <w:numId w:val="35"/>
        </w:numPr>
        <w:rPr>
          <w:rFonts w:ascii="Times New Roman" w:cs="Times New Roman" w:eastAsia="Times New Roman" w:hAnsi="Times New Roman"/>
          <w:sz w:val="17"/>
          <w:szCs w:val="17"/>
          <w:color w:val="071D49"/>
        </w:rPr>
      </w:pPr>
      <w:r>
        <w:rPr>
          <w:rFonts w:ascii="Arial" w:cs="Arial" w:eastAsia="Arial" w:hAnsi="Arial"/>
          <w:sz w:val="17"/>
          <w:szCs w:val="17"/>
          <w:color w:val="auto"/>
        </w:rPr>
        <w:t>As chairman of the Midwest for JPMorgan Chase &amp; Co. and having previously served as non-executive chairman of the board of United Continental Holdings, Inc., and chairman, president, and chief executive officer of UAL Corporation and United Air Lines, vice chairman of Chevron Texaco and as interim chairman of Dynegy, Inc., Mr. Tilton acquired strong management experience overseeing complex multinational businesses operating in highly regulated industries, as well as expertise in finance and capital markets matters. He also acquired deep knowledge of governance, environmental, and other ESG matters.</w:t>
      </w:r>
    </w:p>
    <w:p>
      <w:pPr>
        <w:spacing w:after="0" w:line="4" w:lineRule="exact"/>
        <w:rPr>
          <w:rFonts w:ascii="Times New Roman" w:cs="Times New Roman" w:eastAsia="Times New Roman" w:hAnsi="Times New Roman"/>
          <w:sz w:val="17"/>
          <w:szCs w:val="17"/>
          <w:color w:val="071D49"/>
        </w:rPr>
      </w:pPr>
    </w:p>
    <w:p>
      <w:pPr>
        <w:ind w:left="360" w:hanging="237"/>
        <w:spacing w:after="0" w:line="243" w:lineRule="auto"/>
        <w:tabs>
          <w:tab w:leader="none" w:pos="328" w:val="left"/>
        </w:tabs>
        <w:numPr>
          <w:ilvl w:val="0"/>
          <w:numId w:val="35"/>
        </w:numPr>
        <w:rPr>
          <w:rFonts w:ascii="Times New Roman" w:cs="Times New Roman" w:eastAsia="Times New Roman" w:hAnsi="Times New Roman"/>
          <w:sz w:val="17"/>
          <w:szCs w:val="17"/>
          <w:color w:val="071D49"/>
        </w:rPr>
      </w:pPr>
      <w:r>
        <w:rPr>
          <w:rFonts w:ascii="Arial" w:cs="Arial" w:eastAsia="Arial" w:hAnsi="Arial"/>
          <w:sz w:val="17"/>
          <w:szCs w:val="17"/>
          <w:color w:val="auto"/>
        </w:rPr>
        <w:t>His experience as non-executive chairman of the board of United Continental Holdings, Inc. also enhances his contributions as AbbVie’s lead independent director, including his ability to effectively lead core board processes such as self-evaluations, succession planning,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-1099185</wp:posOffset>
            </wp:positionV>
            <wp:extent cx="5878830" cy="10883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78830" cy="1088390"/>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30"/>
          <w:szCs w:val="30"/>
          <w:color w:val="auto"/>
        </w:rPr>
        <w:t>Class I—Directors whose terms expire in 2025</w:t>
      </w:r>
    </w:p>
    <w:p>
      <w:pPr>
        <w:spacing w:after="0" w:line="172"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William H.L.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-153035</wp:posOffset>
            </wp:positionV>
            <wp:extent cx="810260" cy="818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260" cy="81851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72</w:t>
      </w:r>
    </w:p>
    <w:p>
      <w:pPr>
        <w:ind w:left="172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and Nominations &amp; Governance</w:t>
      </w:r>
    </w:p>
    <w:p>
      <w:pPr>
        <w:ind w:left="1720"/>
        <w:spacing w:after="0" w:line="231"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Senior Vice President and Director at The Boston Consulting</w:t>
      </w:r>
    </w:p>
    <w:p>
      <w:pPr>
        <w:ind w:left="1720"/>
        <w:spacing w:after="0"/>
        <w:rPr>
          <w:sz w:val="20"/>
          <w:szCs w:val="20"/>
          <w:color w:val="auto"/>
        </w:rPr>
      </w:pPr>
      <w:r>
        <w:rPr>
          <w:rFonts w:ascii="Arial" w:cs="Arial" w:eastAsia="Arial" w:hAnsi="Arial"/>
          <w:sz w:val="17"/>
          <w:szCs w:val="17"/>
          <w:b w:val="1"/>
          <w:bCs w:val="1"/>
          <w:color w:val="071D49"/>
        </w:rPr>
        <w:t>Group</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Mr. Burnside is a retired senior vice president and director at The Boston Consulting Group (BCG). Prior to becoming managing partner of BCG’s Los Angeles office in 1987, he worked in BCG’s London and Chicago offices, servicing clients in telecommunications, media, defense, financial services, and manufacturing. He most recently served as an advisor for BCG from 2011 to 2023.</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hanging="237"/>
        <w:spacing w:after="0" w:line="239" w:lineRule="auto"/>
        <w:tabs>
          <w:tab w:leader="none" w:pos="377" w:val="left"/>
        </w:tabs>
        <w:numPr>
          <w:ilvl w:val="0"/>
          <w:numId w:val="36"/>
        </w:numPr>
        <w:rPr>
          <w:rFonts w:ascii="Times New Roman" w:cs="Times New Roman" w:eastAsia="Times New Roman" w:hAnsi="Times New Roman"/>
          <w:sz w:val="15"/>
          <w:szCs w:val="15"/>
          <w:color w:val="071D49"/>
        </w:rPr>
      </w:pPr>
      <w:r>
        <w:rPr>
          <w:rFonts w:ascii="Arial" w:cs="Arial" w:eastAsia="Arial" w:hAnsi="Arial"/>
          <w:sz w:val="17"/>
          <w:szCs w:val="17"/>
          <w:color w:val="auto"/>
        </w:rPr>
        <w:t>Through his experience with The Boston Consulting Group, Mr. Burnside contributes knowledge and understanding of corporate finance and capital markets matters to the board, as well as global and domestic strategic advisory experience across a broad base of industries. He provides an informed perspective to the board on financial forecasting and planning, mergers and acquisitions, human capital management, marketing, and risk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-493395</wp:posOffset>
            </wp:positionV>
            <wp:extent cx="5878830" cy="4845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78830" cy="48450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16</w:t>
      </w:r>
      <w:r>
        <w:rPr>
          <w:sz w:val="20"/>
          <w:szCs w:val="20"/>
          <w:color w:val="auto"/>
        </w:rPr>
        <w:tab/>
      </w:r>
      <w:r>
        <w:rPr>
          <w:sz w:val="1"/>
          <w:szCs w:val="1"/>
          <w:color w:val="auto"/>
        </w:rPr>
        <w:drawing>
          <wp:inline distT="0" distB="0" distL="0" distR="0">
            <wp:extent cx="810260" cy="1511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INFORMATION CONCERNING DIRECTOR NOMINEES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Thomas C. 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-153035</wp:posOffset>
            </wp:positionV>
            <wp:extent cx="842010" cy="882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42010" cy="88201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2020</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69</w:t>
      </w:r>
    </w:p>
    <w:p>
      <w:pPr>
        <w:ind w:left="174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and Compensation</w:t>
      </w:r>
    </w:p>
    <w:p>
      <w:pPr>
        <w:ind w:left="1740"/>
        <w:spacing w:after="0" w:line="231"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Executive Vice President, Finance and Administration,</w:t>
      </w:r>
    </w:p>
    <w:p>
      <w:pPr>
        <w:ind w:left="1740"/>
        <w:spacing w:after="0"/>
        <w:rPr>
          <w:sz w:val="20"/>
          <w:szCs w:val="20"/>
          <w:color w:val="auto"/>
        </w:rPr>
      </w:pPr>
      <w:r>
        <w:rPr>
          <w:rFonts w:ascii="Arial" w:cs="Arial" w:eastAsia="Arial" w:hAnsi="Arial"/>
          <w:sz w:val="17"/>
          <w:szCs w:val="17"/>
          <w:b w:val="1"/>
          <w:bCs w:val="1"/>
          <w:color w:val="071D49"/>
        </w:rPr>
        <w:t>Abbott Laboratories</w:t>
      </w:r>
    </w:p>
    <w:p>
      <w:pPr>
        <w:spacing w:after="0" w:line="29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80"/>
        <w:spacing w:after="0" w:line="234" w:lineRule="auto"/>
        <w:rPr>
          <w:sz w:val="20"/>
          <w:szCs w:val="20"/>
          <w:color w:val="auto"/>
        </w:rPr>
      </w:pPr>
      <w:r>
        <w:rPr>
          <w:rFonts w:ascii="Arial" w:cs="Arial" w:eastAsia="Arial" w:hAnsi="Arial"/>
          <w:sz w:val="17"/>
          <w:szCs w:val="17"/>
          <w:color w:val="auto"/>
        </w:rPr>
        <w:t>Mr. Freyman served as a director at Allergan from 2018 to 2020, when AbbVie acquired Allergan plc. Mr. Freyman previously served as executive vice president, finance and administration at Abbott Laboratories from 2015 until his retirement in 2017. He previously served at Abbott as chief financial officer and executive vice president, finance and was first appointed chief financial officer and senior vice president, finance in 2001. Mr. Freyman previously served as a director of Tenneco Inc. from 2013 to 2022 and Hanger, Inc. from 2017 to 2022.</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100" w:hanging="237"/>
        <w:spacing w:after="0" w:line="255" w:lineRule="auto"/>
        <w:tabs>
          <w:tab w:leader="none" w:pos="344" w:val="left"/>
        </w:tabs>
        <w:numPr>
          <w:ilvl w:val="0"/>
          <w:numId w:val="37"/>
        </w:numPr>
        <w:rPr>
          <w:rFonts w:ascii="Times New Roman" w:cs="Times New Roman" w:eastAsia="Times New Roman" w:hAnsi="Times New Roman"/>
          <w:sz w:val="14"/>
          <w:szCs w:val="14"/>
          <w:color w:val="071D49"/>
        </w:rPr>
      </w:pPr>
      <w:r>
        <w:rPr>
          <w:rFonts w:ascii="Arial" w:cs="Arial" w:eastAsia="Arial" w:hAnsi="Arial"/>
          <w:sz w:val="16"/>
          <w:szCs w:val="16"/>
          <w:color w:val="auto"/>
        </w:rPr>
        <w:t>Mr. Freyman’s extensive experience as a leader in the health care industry, knowledge of the Allergan businesses, and expertise in complex accounting and financial issues provides the board with significant global industry experience, continuity in oversight of the Allergan businesses, and finance and risk expertise, including related to financial planning. As a result of his previous role as a director at Tenneco Inc., a global automotive products manufacturer, Mr. Freyman also has extensive manufacturing and environmental, health, and safety oversight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-619760</wp:posOffset>
            </wp:positionV>
            <wp:extent cx="5878830" cy="603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78830" cy="603885"/>
                    </a:xfrm>
                    <a:prstGeom prst="rect">
                      <a:avLst/>
                    </a:prstGeom>
                    <a:noFill/>
                  </pic:spPr>
                </pic:pic>
              </a:graphicData>
            </a:graphic>
          </wp:anchor>
        </w:drawing>
      </w:r>
    </w:p>
    <w:p>
      <w:pPr>
        <w:spacing w:after="0" w:line="119"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Brett J.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-153035</wp:posOffset>
            </wp:positionV>
            <wp:extent cx="810260" cy="8102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0260" cy="810260"/>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2016</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54</w:t>
      </w:r>
    </w:p>
    <w:p>
      <w:pPr>
        <w:ind w:left="174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Nominations &amp; Governance and Public Policy and Sustainability</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President, United Airlines Holdings, Inc.</w:t>
      </w:r>
    </w:p>
    <w:p>
      <w:pPr>
        <w:spacing w:after="0" w:line="3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20"/>
        <w:spacing w:after="0" w:line="233" w:lineRule="auto"/>
        <w:rPr>
          <w:sz w:val="20"/>
          <w:szCs w:val="20"/>
          <w:color w:val="auto"/>
        </w:rPr>
      </w:pPr>
      <w:r>
        <w:rPr>
          <w:rFonts w:ascii="Arial" w:cs="Arial" w:eastAsia="Arial" w:hAnsi="Arial"/>
          <w:sz w:val="17"/>
          <w:szCs w:val="17"/>
          <w:color w:val="auto"/>
        </w:rPr>
        <w:t>Mr. Hart is the president of United Airlines Holdings, Inc. (UAL) and United Airlines, Inc. He served as executive vice president and chief administrative officer between March 2019 and May 2020, executive vice president, chief administrative officer and general counsel between May 2017 and March 2019, and as executive vice president and general counsel between February 2012 and May 2017.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120" w:hanging="237"/>
        <w:spacing w:after="0" w:line="237" w:lineRule="auto"/>
        <w:tabs>
          <w:tab w:leader="none" w:pos="344" w:val="left"/>
        </w:tabs>
        <w:numPr>
          <w:ilvl w:val="0"/>
          <w:numId w:val="38"/>
        </w:numPr>
        <w:rPr>
          <w:rFonts w:ascii="Times New Roman" w:cs="Times New Roman" w:eastAsia="Times New Roman" w:hAnsi="Times New Roman"/>
          <w:sz w:val="15"/>
          <w:szCs w:val="15"/>
          <w:color w:val="071D49"/>
        </w:rPr>
      </w:pPr>
      <w:r>
        <w:rPr>
          <w:rFonts w:ascii="Arial" w:cs="Arial" w:eastAsia="Arial" w:hAnsi="Arial"/>
          <w:sz w:val="17"/>
          <w:szCs w:val="17"/>
          <w:color w:val="auto"/>
        </w:rPr>
        <w:t>In his role leading United Airlines Holdings, Inc.’s operations, including safety, government affairs, regulatory, legal, and environmental sustainability teams, among other functions, Mr. Hart has a broad set of skills critical to oversight of a complex international business in a highly regulated industry like AbbVie. These skills include operational and strategic acumen with expertise in risk management, ESG, climate change, legal strategic matters, government and regulatory affairs, corporate governance,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-611505</wp:posOffset>
            </wp:positionV>
            <wp:extent cx="5878830" cy="6038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78830" cy="60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INFORMATION CONCERNING DIRECTOR NOMINEES</w:t>
      </w:r>
    </w:p>
    <w:p>
      <w:pPr>
        <w:spacing w:after="0" w:line="17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Edward J.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-153035</wp:posOffset>
            </wp:positionV>
            <wp:extent cx="810260" cy="818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260" cy="81851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66</w:t>
      </w:r>
    </w:p>
    <w:p>
      <w:pPr>
        <w:ind w:left="172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and Nominations &amp; Governance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Group President for Resource Industries of Caterpillar Inc.</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Mr. Rapp served as the Caterpillar Inc. group president for resource industries from 2014 until his retirement in mid-2016. He previously served at Caterpillar as group president based in Singapore in 2013 and 2014 and as the chief financial officer from 2010 to 2013, and he was named a group president in 2007. He also serves as a director of Xos, Inc. He is currently a member of the University of Missouri College of Business Advisory Board. Mr. Rapp previously served as a director of FM Global.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right="440" w:hanging="237"/>
        <w:spacing w:after="0" w:line="235" w:lineRule="auto"/>
        <w:tabs>
          <w:tab w:leader="none" w:pos="328" w:val="left"/>
        </w:tabs>
        <w:numPr>
          <w:ilvl w:val="0"/>
          <w:numId w:val="39"/>
        </w:numPr>
        <w:rPr>
          <w:rFonts w:ascii="Times New Roman" w:cs="Times New Roman" w:eastAsia="Times New Roman" w:hAnsi="Times New Roman"/>
          <w:sz w:val="17"/>
          <w:szCs w:val="17"/>
          <w:color w:val="071D49"/>
        </w:rPr>
      </w:pPr>
      <w:r>
        <w:rPr>
          <w:rFonts w:ascii="Arial" w:cs="Arial" w:eastAsia="Arial" w:hAnsi="Arial"/>
          <w:sz w:val="17"/>
          <w:szCs w:val="17"/>
          <w:color w:val="auto"/>
        </w:rPr>
        <w:t>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ind w:left="360" w:hanging="237"/>
        <w:spacing w:after="0" w:line="239" w:lineRule="auto"/>
        <w:tabs>
          <w:tab w:leader="none" w:pos="328" w:val="left"/>
        </w:tabs>
        <w:numPr>
          <w:ilvl w:val="0"/>
          <w:numId w:val="39"/>
        </w:numPr>
        <w:rPr>
          <w:rFonts w:ascii="Times New Roman" w:cs="Times New Roman" w:eastAsia="Times New Roman" w:hAnsi="Times New Roman"/>
          <w:sz w:val="17"/>
          <w:szCs w:val="17"/>
          <w:color w:val="071D49"/>
        </w:rPr>
      </w:pPr>
      <w:r>
        <w:rPr>
          <w:rFonts w:ascii="Arial" w:cs="Arial" w:eastAsia="Arial" w:hAnsi="Arial"/>
          <w:sz w:val="17"/>
          <w:szCs w:val="17"/>
          <w:color w:val="auto"/>
        </w:rPr>
        <w:t>Mr. Rapp brings experience with business operations in numerous geographies, including Asia, Africa, and Europe, which provides a strong international perspective for AbbVie’s business across over 175 countries. As a result of his role on the board of Xos, Inc., a manufacturer of zero-emission commercial vehicles, Mr. Rapp has gained substantial experience in climate change and emissions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-859155</wp:posOffset>
            </wp:positionV>
            <wp:extent cx="5878830" cy="8502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78830" cy="85026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30"/>
          <w:szCs w:val="30"/>
          <w:color w:val="auto"/>
        </w:rPr>
        <w:t>Class II—Directors whose terms expire in 2026</w:t>
      </w:r>
    </w:p>
    <w:p>
      <w:pPr>
        <w:spacing w:after="0" w:line="184"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Robert J. Alpern,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-153035</wp:posOffset>
            </wp:positionV>
            <wp:extent cx="826135" cy="818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6135" cy="81851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73</w:t>
      </w:r>
    </w:p>
    <w:p>
      <w:pPr>
        <w:ind w:left="1720"/>
        <w:spacing w:after="0" w:line="230" w:lineRule="auto"/>
        <w:rPr>
          <w:sz w:val="20"/>
          <w:szCs w:val="20"/>
          <w:color w:val="auto"/>
        </w:rPr>
      </w:pPr>
      <w:r>
        <w:rPr>
          <w:rFonts w:ascii="Arial" w:cs="Arial" w:eastAsia="Arial" w:hAnsi="Arial"/>
          <w:sz w:val="17"/>
          <w:szCs w:val="17"/>
          <w:color w:val="auto"/>
        </w:rPr>
        <w:t>Committees</w:t>
      </w:r>
      <w:r>
        <w:rPr>
          <w:rFonts w:ascii="Arial" w:cs="Arial" w:eastAsia="Arial" w:hAnsi="Arial"/>
          <w:sz w:val="17"/>
          <w:szCs w:val="17"/>
          <w:color w:val="007F91"/>
        </w:rPr>
        <w:t>:</w:t>
      </w:r>
      <w:r>
        <w:rPr>
          <w:rFonts w:ascii="Arial" w:cs="Arial" w:eastAsia="Arial" w:hAnsi="Arial"/>
          <w:sz w:val="17"/>
          <w:szCs w:val="17"/>
          <w:color w:val="auto"/>
        </w:rPr>
        <w:t xml:space="preserve"> </w:t>
      </w:r>
      <w:r>
        <w:rPr>
          <w:rFonts w:ascii="Arial" w:cs="Arial" w:eastAsia="Arial" w:hAnsi="Arial"/>
          <w:sz w:val="17"/>
          <w:szCs w:val="17"/>
          <w:b w:val="1"/>
          <w:bCs w:val="1"/>
          <w:color w:val="071D49"/>
        </w:rPr>
        <w:t>Nominations &amp; Governance and Public Policy and Sustainability</w:t>
      </w:r>
    </w:p>
    <w:p>
      <w:pPr>
        <w:ind w:left="1720"/>
        <w:spacing w:after="0" w:line="231"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Ensign Professor of Medicine and Physiology, Professor of Internal</w:t>
      </w:r>
    </w:p>
    <w:p>
      <w:pPr>
        <w:ind w:left="1720"/>
        <w:spacing w:after="0"/>
        <w:rPr>
          <w:sz w:val="20"/>
          <w:szCs w:val="20"/>
          <w:color w:val="auto"/>
        </w:rPr>
      </w:pPr>
      <w:r>
        <w:rPr>
          <w:rFonts w:ascii="Arial" w:cs="Arial" w:eastAsia="Arial" w:hAnsi="Arial"/>
          <w:sz w:val="16"/>
          <w:szCs w:val="16"/>
          <w:b w:val="1"/>
          <w:bCs w:val="1"/>
          <w:color w:val="071D49"/>
        </w:rPr>
        <w:t>Medicine and Cellular and Molecular Physiology, and Former Dean of Yale School of Medicine</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auto"/>
        </w:rPr>
        <w:t>Dr. Alpern is Ensign Professor of Medicine and Physiology and Professor of Internal Medicine and Cellular and Molecular Physiology at Yale School of Medicine. Dr. Alpern served as the Dean of Yale School of Medicine and Ensign Professor of Medicine and Professor of Internal Medicine at Yale School of Medicine from June 2004 to January 2020. From July 1998 to May 2004, Dr. Alpern was the Dean of The University of Texas Southwestern Medical Center. Dr. Alpern served on the board of Yale-New Haven Hospital from October 2005 to January 2020. Dr. Alpern also serves as a director of Abbott Laboratories. Dr. Alpern previously served as a director of Tricida, Inc. from 2013 to 2023.</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right="80" w:hanging="237"/>
        <w:spacing w:after="0" w:line="237" w:lineRule="auto"/>
        <w:tabs>
          <w:tab w:leader="none" w:pos="328" w:val="left"/>
        </w:tabs>
        <w:numPr>
          <w:ilvl w:val="0"/>
          <w:numId w:val="40"/>
        </w:numPr>
        <w:rPr>
          <w:rFonts w:ascii="Times New Roman" w:cs="Times New Roman" w:eastAsia="Times New Roman" w:hAnsi="Times New Roman"/>
          <w:sz w:val="17"/>
          <w:szCs w:val="17"/>
          <w:color w:val="071D49"/>
        </w:rPr>
      </w:pPr>
      <w:r>
        <w:rPr>
          <w:rFonts w:ascii="Arial" w:cs="Arial" w:eastAsia="Arial" w:hAnsi="Arial"/>
          <w:sz w:val="17"/>
          <w:szCs w:val="17"/>
          <w:color w:val="auto"/>
        </w:rPr>
        <w:t>Through his position as Ensign Professor of Medicine and Physiology, Professor of Internal Medicine and Cellular and Molecular Physiology, as well as his previous service as Dean of Yale School of Medicine, Dean of The University of Texas Southwestern Medical Center, and on the board of Yale-New Haven Hospital, Dr. Alpern contributes valuable insights to the board through his medical and scientific expertise and his knowledge of the health care environment and the scientific nature of AbbVie’s key research and development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-612140</wp:posOffset>
            </wp:positionV>
            <wp:extent cx="5878830" cy="6038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78830" cy="60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18</w:t>
      </w:r>
      <w:r>
        <w:rPr>
          <w:sz w:val="20"/>
          <w:szCs w:val="20"/>
          <w:color w:val="auto"/>
        </w:rPr>
        <w:tab/>
      </w:r>
      <w:r>
        <w:rPr>
          <w:sz w:val="1"/>
          <w:szCs w:val="1"/>
          <w:color w:val="auto"/>
        </w:rPr>
        <w:drawing>
          <wp:inline distT="0" distB="0" distL="0" distR="0">
            <wp:extent cx="810260" cy="1511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20"/>
          </w:cols>
          <w:pgMar w:left="1320" w:top="486" w:right="135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INFORMATION CONCERNING DIRECTOR NOMINEES</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Jennifer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-153035</wp:posOffset>
            </wp:positionV>
            <wp:extent cx="826135" cy="818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6135" cy="81851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2023</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52</w:t>
      </w:r>
    </w:p>
    <w:p>
      <w:pPr>
        <w:ind w:left="1740"/>
        <w:spacing w:after="0" w:line="230" w:lineRule="auto"/>
        <w:rPr>
          <w:sz w:val="20"/>
          <w:szCs w:val="20"/>
          <w:color w:val="auto"/>
        </w:rPr>
      </w:pPr>
      <w:r>
        <w:rPr>
          <w:rFonts w:ascii="Arial" w:cs="Arial" w:eastAsia="Arial" w:hAnsi="Arial"/>
          <w:sz w:val="17"/>
          <w:szCs w:val="17"/>
          <w:color w:val="auto"/>
        </w:rPr>
        <w:t>Committees</w:t>
      </w:r>
      <w:r>
        <w:rPr>
          <w:rFonts w:ascii="Arial" w:cs="Arial" w:eastAsia="Arial" w:hAnsi="Arial"/>
          <w:sz w:val="17"/>
          <w:szCs w:val="17"/>
          <w:color w:val="007F91"/>
        </w:rPr>
        <w:t>:</w:t>
      </w:r>
      <w:r>
        <w:rPr>
          <w:rFonts w:ascii="Arial" w:cs="Arial" w:eastAsia="Arial" w:hAnsi="Arial"/>
          <w:sz w:val="17"/>
          <w:szCs w:val="17"/>
          <w:color w:val="auto"/>
        </w:rPr>
        <w:t xml:space="preserve"> </w:t>
      </w:r>
      <w:r>
        <w:rPr>
          <w:rFonts w:ascii="Arial" w:cs="Arial" w:eastAsia="Arial" w:hAnsi="Arial"/>
          <w:sz w:val="17"/>
          <w:szCs w:val="17"/>
          <w:b w:val="1"/>
          <w:bCs w:val="1"/>
          <w:color w:val="071D49"/>
        </w:rPr>
        <w:t>Nominations &amp; Governance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Chief Executive Officer, Health Care, Procter &amp; Gamble</w:t>
      </w:r>
    </w:p>
    <w:p>
      <w:pPr>
        <w:spacing w:after="0" w:line="39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40"/>
        <w:spacing w:after="0" w:line="244" w:lineRule="auto"/>
        <w:rPr>
          <w:sz w:val="20"/>
          <w:szCs w:val="20"/>
          <w:color w:val="auto"/>
        </w:rPr>
      </w:pPr>
      <w:r>
        <w:rPr>
          <w:rFonts w:ascii="Arial" w:cs="Arial" w:eastAsia="Arial" w:hAnsi="Arial"/>
          <w:sz w:val="16"/>
          <w:szCs w:val="16"/>
          <w:color w:val="auto"/>
        </w:rPr>
        <w:t>Ms. Davis currently serves as chief executive officer, health care at Procter &amp; Gamble (P&amp;G), a position she has held since 2022. Ms. Davis previously served at P&amp;G as president, feminine care (2019 - 2022), president, global feminine care (2018</w:t>
      </w:r>
    </w:p>
    <w:p>
      <w:pPr>
        <w:spacing w:after="0" w:line="1" w:lineRule="exact"/>
        <w:rPr>
          <w:sz w:val="20"/>
          <w:szCs w:val="20"/>
          <w:color w:val="auto"/>
        </w:rPr>
      </w:pPr>
    </w:p>
    <w:p>
      <w:pPr>
        <w:ind w:left="140" w:right="80" w:firstLine="3"/>
        <w:spacing w:after="0" w:line="242"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2019), and vice president - feminine care, North America and brand franchise leader, Tampax (2016 - 2018), in addition to various commercial roles with increasing responsibility in her 30+ year career at P&amp;G.</w:t>
      </w:r>
    </w:p>
    <w:p>
      <w:pPr>
        <w:spacing w:after="0" w:line="34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160" w:hanging="237"/>
        <w:spacing w:after="0" w:line="239" w:lineRule="auto"/>
        <w:tabs>
          <w:tab w:leader="none" w:pos="348" w:val="left"/>
        </w:tabs>
        <w:numPr>
          <w:ilvl w:val="0"/>
          <w:numId w:val="42"/>
        </w:numPr>
        <w:rPr>
          <w:rFonts w:ascii="Times New Roman" w:cs="Times New Roman" w:eastAsia="Times New Roman" w:hAnsi="Times New Roman"/>
          <w:sz w:val="17"/>
          <w:szCs w:val="17"/>
          <w:color w:val="071D49"/>
        </w:rPr>
      </w:pPr>
      <w:r>
        <w:rPr>
          <w:rFonts w:ascii="Arial" w:cs="Arial" w:eastAsia="Arial" w:hAnsi="Arial"/>
          <w:sz w:val="17"/>
          <w:szCs w:val="17"/>
          <w:color w:val="auto"/>
        </w:rPr>
        <w:t>As a result of her extensive tenure at P&amp;G, Ms. Davis brings to the board marketing and other commercial strategy and execution experience, as well as corporate strategy and leadership, consumer behavior, and business development expertise. She also has substantial experience overseeing P&amp;G’s health care research and development, manufacturing, quality, and supply,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-494030</wp:posOffset>
            </wp:positionV>
            <wp:extent cx="5878830" cy="4845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78830" cy="484505"/>
                    </a:xfrm>
                    <a:prstGeom prst="rect">
                      <a:avLst/>
                    </a:prstGeom>
                    <a:noFill/>
                  </pic:spPr>
                </pic:pic>
              </a:graphicData>
            </a:graphic>
          </wp:anchor>
        </w:drawing>
      </w:r>
    </w:p>
    <w:p>
      <w:pPr>
        <w:spacing w:after="0" w:line="142" w:lineRule="exact"/>
        <w:rPr>
          <w:sz w:val="20"/>
          <w:szCs w:val="20"/>
          <w:color w:val="auto"/>
        </w:rPr>
      </w:pPr>
    </w:p>
    <w:p>
      <w:pPr>
        <w:ind w:left="1740"/>
        <w:spacing w:after="0"/>
        <w:rPr>
          <w:sz w:val="20"/>
          <w:szCs w:val="20"/>
          <w:color w:val="auto"/>
        </w:rPr>
      </w:pPr>
      <w:r>
        <w:rPr>
          <w:rFonts w:ascii="Arial" w:cs="Arial" w:eastAsia="Arial" w:hAnsi="Arial"/>
          <w:sz w:val="23"/>
          <w:szCs w:val="23"/>
          <w:b w:val="1"/>
          <w:bCs w:val="1"/>
          <w:color w:val="071D49"/>
        </w:rPr>
        <w:t>Melody B.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-153035</wp:posOffset>
            </wp:positionV>
            <wp:extent cx="810260" cy="762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0260" cy="76263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2017</w:t>
      </w:r>
    </w:p>
    <w:p>
      <w:pPr>
        <w:ind w:left="174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66</w:t>
      </w:r>
    </w:p>
    <w:p>
      <w:pPr>
        <w:ind w:left="174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and Public Policy and Sustainability</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Retired President, Chevron Asia Pacific Exploration and Production</w:t>
      </w: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40" w:right="260"/>
        <w:spacing w:after="0" w:line="251" w:lineRule="auto"/>
        <w:rPr>
          <w:sz w:val="20"/>
          <w:szCs w:val="20"/>
          <w:color w:val="auto"/>
        </w:rPr>
      </w:pPr>
      <w:r>
        <w:rPr>
          <w:rFonts w:ascii="Arial" w:cs="Arial" w:eastAsia="Arial" w:hAnsi="Arial"/>
          <w:sz w:val="16"/>
          <w:szCs w:val="16"/>
          <w:color w:val="auto"/>
        </w:rPr>
        <w:t>Ms. Meyer served as president of Chevron Asia Pacific Exploration and Production Company from March 2011 to April 2016. She previously served as president of Chevron Energy Technology Company from 2008 to 2011. Ms. Meyer held various leadership roles in global and U.S. locations during her thirty-seven year career at Chevron and retired in 2016. Ms. Meyer is president of Melody Meyer Energy, LLC, a private consulting firm, a position she has held since June 2016. Ms. Meyer is also a director at bp p.I.c.. Ms. Meyer previously served as a director of NOV, Inc. from 2017 to 2023.</w:t>
      </w:r>
    </w:p>
    <w:p>
      <w:pPr>
        <w:spacing w:after="0" w:line="15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80" w:right="40" w:hanging="237"/>
        <w:spacing w:after="0" w:line="253" w:lineRule="auto"/>
        <w:tabs>
          <w:tab w:leader="none" w:pos="348" w:val="left"/>
        </w:tabs>
        <w:numPr>
          <w:ilvl w:val="0"/>
          <w:numId w:val="43"/>
        </w:numPr>
        <w:rPr>
          <w:rFonts w:ascii="Times New Roman" w:cs="Times New Roman" w:eastAsia="Times New Roman" w:hAnsi="Times New Roman"/>
          <w:sz w:val="16"/>
          <w:szCs w:val="16"/>
          <w:color w:val="071D49"/>
        </w:rPr>
      </w:pPr>
      <w:r>
        <w:rPr>
          <w:rFonts w:ascii="Arial" w:cs="Arial" w:eastAsia="Arial" w:hAnsi="Arial"/>
          <w:sz w:val="16"/>
          <w:szCs w:val="16"/>
          <w:color w:val="auto"/>
        </w:rPr>
        <w:t>As a result of her tenure at Chevron, Ms. Meyer has acquired operational, management, strategic planning, and financial expertise with extensive global experience and provides an informed perspective to the board on financial and operational matters faced by a complex international company. She also brings substantial experience related to long-term capital projects and environmental, health, safety, and sustainability matters. Her experience spans multiple jurisdictions, including developing markets in Asia and Africa. Ms. Meyer has long been active in promoting the advancement of women in energy and provides the board with strong human capital management oversight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-738505</wp:posOffset>
            </wp:positionV>
            <wp:extent cx="5878830" cy="7232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78830" cy="723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INFORMATION CONCERNING DIRECTOR NOMINEES</w:t>
      </w:r>
    </w:p>
    <w:p>
      <w:pPr>
        <w:spacing w:after="0" w:line="187" w:lineRule="exact"/>
        <w:rPr>
          <w:sz w:val="20"/>
          <w:szCs w:val="20"/>
          <w:color w:val="auto"/>
        </w:rPr>
      </w:pPr>
    </w:p>
    <w:p>
      <w:pPr>
        <w:ind w:left="1720"/>
        <w:spacing w:after="0"/>
        <w:rPr>
          <w:sz w:val="20"/>
          <w:szCs w:val="20"/>
          <w:color w:val="auto"/>
        </w:rPr>
      </w:pPr>
      <w:r>
        <w:rPr>
          <w:rFonts w:ascii="Arial" w:cs="Arial" w:eastAsia="Arial" w:hAnsi="Arial"/>
          <w:sz w:val="23"/>
          <w:szCs w:val="23"/>
          <w:b w:val="1"/>
          <w:bCs w:val="1"/>
          <w:color w:val="071D49"/>
        </w:rPr>
        <w:t>Frederick H. Waddell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-153035</wp:posOffset>
            </wp:positionV>
            <wp:extent cx="810260" cy="794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260" cy="794385"/>
                    </a:xfrm>
                    <a:prstGeom prst="rect">
                      <a:avLst/>
                    </a:prstGeom>
                    <a:noFill/>
                  </pic:spPr>
                </pic:pic>
              </a:graphicData>
            </a:graphic>
          </wp:anchor>
        </w:drawing>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71D49"/>
        </w:rPr>
        <w:t>2013</w:t>
      </w:r>
    </w:p>
    <w:p>
      <w:pPr>
        <w:ind w:left="1720"/>
        <w:spacing w:after="0" w:line="230" w:lineRule="auto"/>
        <w:rPr>
          <w:sz w:val="20"/>
          <w:szCs w:val="20"/>
          <w:color w:val="auto"/>
        </w:rPr>
      </w:pPr>
      <w:r>
        <w:rPr>
          <w:rFonts w:ascii="Arial" w:cs="Arial" w:eastAsia="Arial" w:hAnsi="Arial"/>
          <w:sz w:val="17"/>
          <w:szCs w:val="17"/>
          <w:color w:val="auto"/>
        </w:rPr>
        <w:t xml:space="preserve">Age: </w:t>
      </w:r>
      <w:r>
        <w:rPr>
          <w:rFonts w:ascii="Arial" w:cs="Arial" w:eastAsia="Arial" w:hAnsi="Arial"/>
          <w:sz w:val="17"/>
          <w:szCs w:val="17"/>
          <w:b w:val="1"/>
          <w:bCs w:val="1"/>
          <w:color w:val="071D49"/>
        </w:rPr>
        <w:t>70</w:t>
      </w:r>
    </w:p>
    <w:p>
      <w:pPr>
        <w:ind w:left="1720"/>
        <w:spacing w:after="0" w:line="230" w:lineRule="auto"/>
        <w:rPr>
          <w:sz w:val="20"/>
          <w:szCs w:val="20"/>
          <w:color w:val="auto"/>
        </w:rPr>
      </w:pPr>
      <w:r>
        <w:rPr>
          <w:rFonts w:ascii="Arial" w:cs="Arial" w:eastAsia="Arial" w:hAnsi="Arial"/>
          <w:sz w:val="17"/>
          <w:szCs w:val="17"/>
          <w:color w:val="auto"/>
        </w:rPr>
        <w:t xml:space="preserve">Committees: </w:t>
      </w:r>
      <w:r>
        <w:rPr>
          <w:rFonts w:ascii="Arial" w:cs="Arial" w:eastAsia="Arial" w:hAnsi="Arial"/>
          <w:sz w:val="17"/>
          <w:szCs w:val="17"/>
          <w:b w:val="1"/>
          <w:bCs w:val="1"/>
          <w:color w:val="071D49"/>
        </w:rPr>
        <w:t>Audit and Compensation</w:t>
      </w:r>
    </w:p>
    <w:p>
      <w:pPr>
        <w:ind w:left="1720"/>
        <w:spacing w:after="0" w:line="231" w:lineRule="auto"/>
        <w:rPr>
          <w:sz w:val="20"/>
          <w:szCs w:val="20"/>
          <w:color w:val="auto"/>
        </w:rPr>
      </w:pPr>
      <w:r>
        <w:rPr>
          <w:rFonts w:ascii="Arial" w:cs="Arial" w:eastAsia="Arial" w:hAnsi="Arial"/>
          <w:sz w:val="17"/>
          <w:szCs w:val="17"/>
          <w:color w:val="auto"/>
        </w:rPr>
        <w:t xml:space="preserve">Primary Occupation: </w:t>
      </w:r>
      <w:r>
        <w:rPr>
          <w:rFonts w:ascii="Arial" w:cs="Arial" w:eastAsia="Arial" w:hAnsi="Arial"/>
          <w:sz w:val="17"/>
          <w:szCs w:val="17"/>
          <w:b w:val="1"/>
          <w:bCs w:val="1"/>
          <w:color w:val="071D49"/>
        </w:rPr>
        <w:t>Former Chairman of the Board and Chief Executive Officer of Northern</w:t>
      </w:r>
    </w:p>
    <w:p>
      <w:pPr>
        <w:ind w:left="1720"/>
        <w:spacing w:after="0"/>
        <w:rPr>
          <w:sz w:val="20"/>
          <w:szCs w:val="20"/>
          <w:color w:val="auto"/>
        </w:rPr>
      </w:pPr>
      <w:r>
        <w:rPr>
          <w:rFonts w:ascii="Arial" w:cs="Arial" w:eastAsia="Arial" w:hAnsi="Arial"/>
          <w:sz w:val="17"/>
          <w:szCs w:val="17"/>
          <w:b w:val="1"/>
          <w:bCs w:val="1"/>
          <w:color w:val="071D49"/>
        </w:rPr>
        <w:t>Trust Corporation and The Northern Trust Company</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Experience:</w:t>
      </w:r>
    </w:p>
    <w:p>
      <w:pPr>
        <w:spacing w:after="0" w:line="1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Mr. Waddell served as chairman of the board of Northern Trust Corporation and The Northern Trust Company from November 2009 until his retirement in January 2019. He previously served as chief executive officer from 2008 through 2017, as president from 2006 to 2011 and again from October to December 2016, and chief operating officer from 2006 to 2008. Mr. Waddell is also a director of International Business Machines Corporation.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Contributions to the Board:</w:t>
      </w:r>
    </w:p>
    <w:p>
      <w:pPr>
        <w:spacing w:after="0" w:line="14" w:lineRule="exact"/>
        <w:rPr>
          <w:sz w:val="20"/>
          <w:szCs w:val="20"/>
          <w:color w:val="auto"/>
        </w:rPr>
      </w:pPr>
    </w:p>
    <w:p>
      <w:pPr>
        <w:ind w:left="360" w:hanging="237"/>
        <w:spacing w:after="0" w:line="237" w:lineRule="auto"/>
        <w:tabs>
          <w:tab w:leader="none" w:pos="328" w:val="left"/>
        </w:tabs>
        <w:numPr>
          <w:ilvl w:val="0"/>
          <w:numId w:val="44"/>
        </w:numPr>
        <w:rPr>
          <w:rFonts w:ascii="Times New Roman" w:cs="Times New Roman" w:eastAsia="Times New Roman" w:hAnsi="Times New Roman"/>
          <w:sz w:val="17"/>
          <w:szCs w:val="17"/>
          <w:color w:val="071D49"/>
        </w:rPr>
      </w:pPr>
      <w:r>
        <w:rPr>
          <w:rFonts w:ascii="Arial" w:cs="Arial" w:eastAsia="Arial" w:hAnsi="Arial"/>
          <w:sz w:val="17"/>
          <w:szCs w:val="17"/>
          <w:color w:val="auto"/>
        </w:rPr>
        <w:t>As former chairman and chief executive officer of Northern Trust Corporation and The Northern Trust Company, Mr. Waddell contributes broad financial services experience with a strong record of leadership in a highly regulated industry. Having begun his role as CEO at Northern Trust during the 2008 recession, Mr. Waddell has substantial experience overseeing a company’s strategic priorities during changing economic conditions. Through his role as a director at IBM since 2017, Mr. Waddell has garnered significant information technology and 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-612140</wp:posOffset>
            </wp:positionV>
            <wp:extent cx="5878830" cy="603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78830" cy="60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20</w:t>
      </w:r>
      <w:r>
        <w:rPr>
          <w:sz w:val="20"/>
          <w:szCs w:val="20"/>
          <w:color w:val="auto"/>
        </w:rPr>
        <w:tab/>
      </w:r>
      <w:r>
        <w:rPr>
          <w:sz w:val="1"/>
          <w:szCs w:val="1"/>
          <w:color w:val="auto"/>
        </w:rPr>
        <w:drawing>
          <wp:inline distT="0" distB="0" distL="0" distR="0">
            <wp:extent cx="810260" cy="1511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180"/>
          </w:cols>
          <w:pgMar w:left="1320" w:top="486" w:right="1399" w:bottom="1440" w:gutter="0" w:footer="0" w:header="0"/>
        </w:sectPr>
      </w:pPr>
    </w:p>
    <w:bookmarkStart w:id="23" w:name="page24"/>
    <w:bookmarkEnd w:id="2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5140"/>
        <w:spacing w:after="0"/>
        <w:rPr>
          <w:sz w:val="20"/>
          <w:szCs w:val="20"/>
          <w:color w:val="auto"/>
        </w:rPr>
      </w:pPr>
      <w:r>
        <w:rPr>
          <w:rFonts w:ascii="Arial" w:cs="Arial" w:eastAsia="Arial" w:hAnsi="Arial"/>
          <w:sz w:val="16"/>
          <w:szCs w:val="16"/>
          <w:color w:val="808080"/>
        </w:rPr>
        <w:t>THE BOARD OF DIRECTORS AND ITS COMMITTEES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43" w:lineRule="exact"/>
        <w:rPr>
          <w:sz w:val="20"/>
          <w:szCs w:val="20"/>
          <w:color w:val="auto"/>
        </w:rPr>
      </w:pPr>
    </w:p>
    <w:p>
      <w:pPr>
        <w:ind w:left="20" w:right="40"/>
        <w:spacing w:after="0"/>
        <w:rPr>
          <w:sz w:val="20"/>
          <w:szCs w:val="20"/>
          <w:color w:val="auto"/>
        </w:rPr>
      </w:pPr>
      <w:r>
        <w:rPr>
          <w:rFonts w:ascii="Arial" w:cs="Arial" w:eastAsia="Arial" w:hAnsi="Arial"/>
          <w:sz w:val="17"/>
          <w:szCs w:val="17"/>
          <w:color w:val="auto"/>
        </w:rPr>
        <w:t>The board of directors held eight meetings in 2023. The average attendance of all directors at board and committee meetings in 2023 was 96.3% percent, and each director attended at least 75% of the total number of board meetings and meetings of the committees of which they served. AbbVie encourages its board members to attend the annual stockholder meeting. All of AbbVie’s directors at the time attended the 2023 annual stockholder meeting.</w:t>
      </w:r>
    </w:p>
    <w:p>
      <w:pPr>
        <w:spacing w:after="0" w:line="69" w:lineRule="exact"/>
        <w:rPr>
          <w:sz w:val="20"/>
          <w:szCs w:val="20"/>
          <w:color w:val="auto"/>
        </w:rPr>
      </w:pPr>
    </w:p>
    <w:p>
      <w:pPr>
        <w:ind w:left="20" w:right="60"/>
        <w:spacing w:after="0" w:line="234" w:lineRule="auto"/>
        <w:rPr>
          <w:sz w:val="20"/>
          <w:szCs w:val="20"/>
          <w:color w:val="auto"/>
        </w:rPr>
      </w:pPr>
      <w:r>
        <w:rPr>
          <w:rFonts w:ascii="Arial" w:cs="Arial" w:eastAsia="Arial" w:hAnsi="Arial"/>
          <w:sz w:val="17"/>
          <w:szCs w:val="17"/>
          <w:color w:val="auto"/>
        </w:rPr>
        <w:t>The board has determined that each of the following individuals is independent in accordance with the New York Stock Exchange (NYSE) listing standards: Dr. Alpern, Ms. Austin, Mr. Burnside, Ms. Davis, Mr. Freyman, Mr. Hart, Ms. Meyer, Dr. Quaggin, Mr. Rapp, Ms. Roberts, Mr. Tilton, and Mr. Waddell.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This also included consideration of the fact that one director serves on the board of Abbott Laboratories (Abbott), AbbVie’s former parent. In making its determination, the board relied on both information provided by the directors and information developed internally by AbbVie.</w:t>
      </w:r>
    </w:p>
    <w:p>
      <w:pPr>
        <w:spacing w:after="0" w:line="71" w:lineRule="exact"/>
        <w:rPr>
          <w:sz w:val="20"/>
          <w:szCs w:val="20"/>
          <w:color w:val="auto"/>
        </w:rPr>
      </w:pPr>
    </w:p>
    <w:p>
      <w:pPr>
        <w:ind w:left="20" w:right="40"/>
        <w:spacing w:after="0" w:line="235" w:lineRule="auto"/>
        <w:rPr>
          <w:sz w:val="20"/>
          <w:szCs w:val="20"/>
          <w:color w:val="auto"/>
        </w:rPr>
      </w:pPr>
      <w:r>
        <w:rPr>
          <w:rFonts w:ascii="Arial" w:cs="Arial" w:eastAsia="Arial" w:hAnsi="Arial"/>
          <w:sz w:val="17"/>
          <w:szCs w:val="17"/>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diversity,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133" w:lineRule="exact"/>
        <w:rPr>
          <w:sz w:val="20"/>
          <w:szCs w:val="20"/>
          <w:color w:val="auto"/>
        </w:rPr>
      </w:pPr>
    </w:p>
    <w:p>
      <w:pPr>
        <w:ind w:left="20" w:right="180"/>
        <w:spacing w:after="0" w:line="237" w:lineRule="auto"/>
        <w:rPr>
          <w:sz w:val="20"/>
          <w:szCs w:val="20"/>
          <w:color w:val="auto"/>
        </w:rPr>
      </w:pPr>
      <w:r>
        <w:rPr>
          <w:rFonts w:ascii="Arial" w:cs="Arial" w:eastAsia="Arial" w:hAnsi="Arial"/>
          <w:sz w:val="17"/>
          <w:szCs w:val="17"/>
          <w:color w:val="auto"/>
        </w:rPr>
        <w:t>Each year, the board and its committees conduct detailed self-evaluations covering topics such as board and committee leadership structure, composition and effectiveness, quality of board and committee materials and discussions, priority agenda items, schedule sufficiency, and board processes. To ensure candid feedback, the evaluations are anonymous. The full board, led by the lead independent director, discusses the evaluation reports to determine what, if any, actions or improvements should be undertaken in the near-term and long-term. The board, committee, and CEO evaluations are discussed in executive session to allow for additional candid discussion. Committee chairs are elected annually.</w:t>
      </w:r>
    </w:p>
    <w:p>
      <w:pPr>
        <w:spacing w:after="0" w:line="143" w:lineRule="exact"/>
        <w:rPr>
          <w:sz w:val="20"/>
          <w:szCs w:val="20"/>
          <w:color w:val="auto"/>
        </w:rPr>
      </w:pPr>
    </w:p>
    <w:p>
      <w:pPr>
        <w:jc w:val="both"/>
        <w:ind w:left="20" w:right="60"/>
        <w:spacing w:after="0" w:line="246" w:lineRule="auto"/>
        <w:rPr>
          <w:sz w:val="20"/>
          <w:szCs w:val="20"/>
          <w:color w:val="auto"/>
        </w:rPr>
      </w:pPr>
      <w:r>
        <w:rPr>
          <w:rFonts w:ascii="Arial" w:cs="Arial" w:eastAsia="Arial" w:hAnsi="Arial"/>
          <w:sz w:val="17"/>
          <w:szCs w:val="17"/>
          <w:color w:val="auto"/>
        </w:rPr>
        <w:t>Each director’s biography includes the particular experience and qualifications that led the board to conclude that the director should serve on the board and how their qualifications add to the mix of skills on the board. The directors’ biographies are in the section of this proxy statement captioned “Information Concerning Director Nominees.”</w:t>
      </w:r>
    </w:p>
    <w:p>
      <w:pPr>
        <w:spacing w:after="0" w:line="125" w:lineRule="exact"/>
        <w:rPr>
          <w:sz w:val="20"/>
          <w:szCs w:val="20"/>
          <w:color w:val="auto"/>
        </w:rPr>
      </w:pPr>
    </w:p>
    <w:p>
      <w:pPr>
        <w:ind w:left="20" w:right="440"/>
        <w:spacing w:after="0"/>
        <w:rPr>
          <w:sz w:val="20"/>
          <w:szCs w:val="20"/>
          <w:color w:val="auto"/>
        </w:rPr>
      </w:pPr>
      <w:r>
        <w:rPr>
          <w:rFonts w:ascii="Arial" w:cs="Arial" w:eastAsia="Arial" w:hAnsi="Arial"/>
          <w:sz w:val="17"/>
          <w:szCs w:val="17"/>
          <w:color w:val="auto"/>
        </w:rPr>
        <w:t>The following table highlights our directors’ skills and experience. The skills identified below are considered by the nominations and governance committee to be the most relevant to the board’s oversight role with respect to AbbVie’s business and affairs and to drive our culture of innovation and responsibility. The specific importance of each skill also is noted.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24" w:name="page25"/>
    <w:bookmarkEnd w:id="24"/>
    <w:p>
      <w:pPr>
        <w:ind w:left="4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color w:val="808080"/>
        </w:rPr>
        <w:t>THE BOARD OF DIRECTORS AND ITS COMMITTEES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Such skills include, among others: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vMerge w:val="restart"/>
          </w:tcPr>
          <w:p>
            <w:pPr>
              <w:jc w:val="center"/>
              <w:spacing w:after="0"/>
              <w:rPr>
                <w:sz w:val="20"/>
                <w:szCs w:val="20"/>
                <w:color w:val="auto"/>
              </w:rPr>
            </w:pPr>
            <w:r>
              <w:rPr>
                <w:rFonts w:ascii="Arial" w:cs="Arial" w:eastAsia="Arial" w:hAnsi="Arial"/>
                <w:sz w:val="18"/>
                <w:szCs w:val="18"/>
                <w:color w:val="auto"/>
              </w:rPr>
              <w:t>Health Care Industry</w:t>
            </w: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Relevant to an industry understanding and review of our business and strategy</w:t>
            </w:r>
          </w:p>
        </w:tc>
        <w:tc>
          <w:tcPr>
            <w:tcW w:w="0" w:type="dxa"/>
            <w:vAlign w:val="bottom"/>
          </w:tcPr>
          <w:p>
            <w:pPr>
              <w:spacing w:after="0"/>
              <w:rPr>
                <w:sz w:val="1"/>
                <w:szCs w:val="1"/>
                <w:color w:val="auto"/>
              </w:rPr>
            </w:pPr>
          </w:p>
        </w:tc>
      </w:tr>
      <w:tr>
        <w:trPr>
          <w:trHeight w:val="142"/>
        </w:trPr>
        <w:tc>
          <w:tcPr>
            <w:tcW w:w="60" w:type="dxa"/>
            <w:vAlign w:val="bottom"/>
            <w:tcBorders>
              <w:right w:val="single" w:sz="8" w:color="071D49"/>
            </w:tcBorders>
            <w:shd w:val="clear" w:color="auto" w:fill="071D49"/>
          </w:tcPr>
          <w:p>
            <w:pPr>
              <w:spacing w:after="0"/>
              <w:rPr>
                <w:sz w:val="12"/>
                <w:szCs w:val="12"/>
                <w:color w:val="auto"/>
              </w:rPr>
            </w:pPr>
          </w:p>
        </w:tc>
        <w:tc>
          <w:tcPr>
            <w:tcW w:w="60" w:type="dxa"/>
            <w:vAlign w:val="bottom"/>
            <w:tcBorders>
              <w:left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Borders>
              <w:right w:val="single" w:sz="8" w:color="071D49"/>
            </w:tcBorders>
            <w:gridSpan w:val="4"/>
            <w:vMerge w:val="continue"/>
          </w:tcPr>
          <w:p>
            <w:pPr>
              <w:spacing w:after="0"/>
              <w:rPr>
                <w:sz w:val="12"/>
                <w:szCs w:val="12"/>
                <w:color w:val="auto"/>
              </w:rPr>
            </w:pPr>
          </w:p>
        </w:tc>
        <w:tc>
          <w:tcPr>
            <w:tcW w:w="2300" w:type="dxa"/>
            <w:vAlign w:val="bottom"/>
            <w:gridSpan w:val="3"/>
            <w:vMerge w:val="restart"/>
          </w:tcPr>
          <w:p>
            <w:pPr>
              <w:ind w:left="80"/>
              <w:spacing w:after="0"/>
              <w:rPr>
                <w:sz w:val="20"/>
                <w:szCs w:val="20"/>
                <w:color w:val="auto"/>
              </w:rPr>
            </w:pPr>
            <w:r>
              <w:rPr>
                <w:rFonts w:ascii="Arial" w:cs="Arial" w:eastAsia="Arial" w:hAnsi="Arial"/>
                <w:sz w:val="18"/>
                <w:szCs w:val="18"/>
                <w:color w:val="auto"/>
              </w:rPr>
              <w:t>for continued innovation.</w:t>
            </w: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Borders>
              <w:lef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right w:val="single" w:sz="8" w:color="071D49"/>
            </w:tcBorders>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6420" w:type="dxa"/>
            <w:vAlign w:val="bottom"/>
            <w:tcBorders>
              <w:bottom w:val="single" w:sz="8" w:color="071D49"/>
            </w:tcBorders>
            <w:gridSpan w:val="10"/>
          </w:tcPr>
          <w:p>
            <w:pPr>
              <w:spacing w:after="0"/>
              <w:rPr>
                <w:sz w:val="7"/>
                <w:szCs w:val="7"/>
                <w:color w:val="auto"/>
              </w:rPr>
            </w:pPr>
          </w:p>
        </w:tc>
        <w:tc>
          <w:tcPr>
            <w:tcW w:w="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auto"/>
              </w:rPr>
              <w:t>Leadership</w:t>
            </w:r>
          </w:p>
        </w:tc>
        <w:tc>
          <w:tcPr>
            <w:tcW w:w="680" w:type="dxa"/>
            <w:vAlign w:val="bottom"/>
            <w:tcBorders>
              <w:right w:val="single" w:sz="8" w:color="071D49"/>
            </w:tcBorders>
          </w:tcPr>
          <w:p>
            <w:pPr>
              <w:spacing w:after="0"/>
              <w:rPr>
                <w:sz w:val="24"/>
                <w:szCs w:val="24"/>
                <w:color w:val="auto"/>
              </w:rPr>
            </w:pP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For a board that can successfully advise and oversee the company’s business</w:t>
            </w:r>
          </w:p>
        </w:tc>
        <w:tc>
          <w:tcPr>
            <w:tcW w:w="0" w:type="dxa"/>
            <w:vAlign w:val="bottom"/>
          </w:tcPr>
          <w:p>
            <w:pPr>
              <w:spacing w:after="0"/>
              <w:rPr>
                <w:sz w:val="1"/>
                <w:szCs w:val="1"/>
                <w:color w:val="auto"/>
              </w:rPr>
            </w:pPr>
          </w:p>
        </w:tc>
      </w:tr>
      <w:tr>
        <w:trPr>
          <w:trHeight w:val="142"/>
        </w:trPr>
        <w:tc>
          <w:tcPr>
            <w:tcW w:w="60" w:type="dxa"/>
            <w:vAlign w:val="bottom"/>
            <w:tcBorders>
              <w:right w:val="single" w:sz="8" w:color="071D49"/>
            </w:tcBorders>
            <w:shd w:val="clear" w:color="auto" w:fill="071D49"/>
          </w:tcPr>
          <w:p>
            <w:pPr>
              <w:spacing w:after="0"/>
              <w:rPr>
                <w:sz w:val="12"/>
                <w:szCs w:val="12"/>
                <w:color w:val="auto"/>
              </w:rPr>
            </w:pPr>
          </w:p>
        </w:tc>
        <w:tc>
          <w:tcPr>
            <w:tcW w:w="60" w:type="dxa"/>
            <w:vAlign w:val="bottom"/>
            <w:tcBorders>
              <w:left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80" w:type="dxa"/>
            <w:vAlign w:val="bottom"/>
            <w:tcBorders>
              <w:right w:val="single" w:sz="8" w:color="071D49"/>
            </w:tcBorders>
          </w:tcPr>
          <w:p>
            <w:pPr>
              <w:spacing w:after="0"/>
              <w:rPr>
                <w:sz w:val="12"/>
                <w:szCs w:val="12"/>
                <w:color w:val="auto"/>
              </w:rPr>
            </w:pPr>
          </w:p>
        </w:tc>
        <w:tc>
          <w:tcPr>
            <w:tcW w:w="4420" w:type="dxa"/>
            <w:vAlign w:val="bottom"/>
            <w:gridSpan w:val="7"/>
            <w:vMerge w:val="restart"/>
          </w:tcPr>
          <w:p>
            <w:pPr>
              <w:ind w:left="80"/>
              <w:spacing w:after="0"/>
              <w:rPr>
                <w:sz w:val="20"/>
                <w:szCs w:val="20"/>
                <w:color w:val="auto"/>
              </w:rPr>
            </w:pPr>
            <w:r>
              <w:rPr>
                <w:rFonts w:ascii="Arial" w:cs="Arial" w:eastAsia="Arial" w:hAnsi="Arial"/>
                <w:sz w:val="18"/>
                <w:szCs w:val="18"/>
                <w:color w:val="auto"/>
              </w:rPr>
              <w:t>performance and represent stockholders’ interests.</w:t>
            </w: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Borders>
              <w:lef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right w:val="single" w:sz="8" w:color="071D49"/>
            </w:tcBorders>
          </w:tcPr>
          <w:p>
            <w:pPr>
              <w:spacing w:after="0"/>
              <w:rPr>
                <w:sz w:val="8"/>
                <w:szCs w:val="8"/>
                <w:color w:val="auto"/>
              </w:rPr>
            </w:pPr>
          </w:p>
        </w:tc>
        <w:tc>
          <w:tcPr>
            <w:tcW w:w="4420" w:type="dxa"/>
            <w:vAlign w:val="bottom"/>
            <w:gridSpan w:val="7"/>
            <w:vMerge w:val="continue"/>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6420" w:type="dxa"/>
            <w:vAlign w:val="bottom"/>
            <w:tcBorders>
              <w:bottom w:val="single" w:sz="8" w:color="071D49"/>
            </w:tcBorders>
            <w:gridSpan w:val="10"/>
          </w:tcPr>
          <w:p>
            <w:pPr>
              <w:spacing w:after="0"/>
              <w:rPr>
                <w:sz w:val="7"/>
                <w:szCs w:val="7"/>
                <w:color w:val="auto"/>
              </w:rPr>
            </w:pPr>
          </w:p>
        </w:tc>
        <w:tc>
          <w:tcPr>
            <w:tcW w:w="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vMerge w:val="restart"/>
          </w:tcPr>
          <w:p>
            <w:pPr>
              <w:jc w:val="center"/>
              <w:spacing w:after="0"/>
              <w:rPr>
                <w:sz w:val="20"/>
                <w:szCs w:val="20"/>
                <w:color w:val="auto"/>
              </w:rPr>
            </w:pPr>
            <w:r>
              <w:rPr>
                <w:rFonts w:ascii="Arial" w:cs="Arial" w:eastAsia="Arial" w:hAnsi="Arial"/>
                <w:sz w:val="18"/>
                <w:szCs w:val="18"/>
                <w:color w:val="auto"/>
              </w:rPr>
              <w:t>Global Business and Strategy</w:t>
            </w: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For oversight of a complex global organization like AbbVie to successfully</w:t>
            </w:r>
          </w:p>
        </w:tc>
        <w:tc>
          <w:tcPr>
            <w:tcW w:w="0" w:type="dxa"/>
            <w:vAlign w:val="bottom"/>
          </w:tcPr>
          <w:p>
            <w:pPr>
              <w:spacing w:after="0"/>
              <w:rPr>
                <w:sz w:val="1"/>
                <w:szCs w:val="1"/>
                <w:color w:val="auto"/>
              </w:rPr>
            </w:pPr>
          </w:p>
        </w:tc>
      </w:tr>
      <w:tr>
        <w:trPr>
          <w:trHeight w:val="142"/>
        </w:trPr>
        <w:tc>
          <w:tcPr>
            <w:tcW w:w="60" w:type="dxa"/>
            <w:vAlign w:val="bottom"/>
            <w:tcBorders>
              <w:right w:val="single" w:sz="8" w:color="071D49"/>
            </w:tcBorders>
            <w:shd w:val="clear" w:color="auto" w:fill="071D49"/>
          </w:tcPr>
          <w:p>
            <w:pPr>
              <w:spacing w:after="0"/>
              <w:rPr>
                <w:sz w:val="12"/>
                <w:szCs w:val="12"/>
                <w:color w:val="auto"/>
              </w:rPr>
            </w:pPr>
          </w:p>
        </w:tc>
        <w:tc>
          <w:tcPr>
            <w:tcW w:w="60" w:type="dxa"/>
            <w:vAlign w:val="bottom"/>
            <w:tcBorders>
              <w:left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Borders>
              <w:right w:val="single" w:sz="8" w:color="071D49"/>
            </w:tcBorders>
            <w:gridSpan w:val="4"/>
            <w:vMerge w:val="continue"/>
          </w:tcPr>
          <w:p>
            <w:pPr>
              <w:spacing w:after="0"/>
              <w:rPr>
                <w:sz w:val="12"/>
                <w:szCs w:val="12"/>
                <w:color w:val="auto"/>
              </w:rPr>
            </w:pPr>
          </w:p>
        </w:tc>
        <w:tc>
          <w:tcPr>
            <w:tcW w:w="6480" w:type="dxa"/>
            <w:vAlign w:val="bottom"/>
            <w:gridSpan w:val="12"/>
            <w:vMerge w:val="restart"/>
          </w:tcPr>
          <w:p>
            <w:pPr>
              <w:ind w:left="80"/>
              <w:spacing w:after="0"/>
              <w:rPr>
                <w:sz w:val="20"/>
                <w:szCs w:val="20"/>
                <w:color w:val="auto"/>
              </w:rPr>
            </w:pPr>
            <w:r>
              <w:rPr>
                <w:rFonts w:ascii="Arial" w:cs="Arial" w:eastAsia="Arial" w:hAnsi="Arial"/>
                <w:sz w:val="18"/>
                <w:szCs w:val="18"/>
                <w:color w:val="auto"/>
              </w:rPr>
              <w:t>advise and oversee the strategic development and direction of the company.</w:t>
            </w:r>
          </w:p>
        </w:tc>
        <w:tc>
          <w:tcPr>
            <w:tcW w:w="0" w:type="dxa"/>
            <w:vAlign w:val="bottom"/>
          </w:tcPr>
          <w:p>
            <w:pPr>
              <w:spacing w:after="0"/>
              <w:rPr>
                <w:sz w:val="1"/>
                <w:szCs w:val="1"/>
                <w:color w:val="auto"/>
              </w:rPr>
            </w:pPr>
          </w:p>
        </w:tc>
      </w:tr>
      <w:tr>
        <w:trPr>
          <w:trHeight w:val="100"/>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Borders>
              <w:lef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right w:val="single" w:sz="8" w:color="071D49"/>
            </w:tcBorders>
          </w:tcPr>
          <w:p>
            <w:pPr>
              <w:spacing w:after="0"/>
              <w:rPr>
                <w:sz w:val="8"/>
                <w:szCs w:val="8"/>
                <w:color w:val="auto"/>
              </w:rPr>
            </w:pPr>
          </w:p>
        </w:tc>
        <w:tc>
          <w:tcPr>
            <w:tcW w:w="648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Borders>
              <w:bottom w:val="single" w:sz="8" w:color="071D49"/>
            </w:tcBorders>
            <w:gridSpan w:val="3"/>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6420" w:type="dxa"/>
            <w:vAlign w:val="bottom"/>
            <w:tcBorders>
              <w:bottom w:val="single" w:sz="8" w:color="071D49"/>
            </w:tcBorders>
            <w:gridSpan w:val="10"/>
          </w:tcPr>
          <w:p>
            <w:pPr>
              <w:spacing w:after="0"/>
              <w:rPr>
                <w:sz w:val="7"/>
                <w:szCs w:val="7"/>
                <w:color w:val="auto"/>
              </w:rPr>
            </w:pPr>
          </w:p>
        </w:tc>
        <w:tc>
          <w:tcPr>
            <w:tcW w:w="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tcPr>
          <w:p>
            <w:pPr>
              <w:jc w:val="center"/>
              <w:spacing w:after="0"/>
              <w:rPr>
                <w:sz w:val="20"/>
                <w:szCs w:val="20"/>
                <w:color w:val="auto"/>
              </w:rPr>
            </w:pPr>
            <w:r>
              <w:rPr>
                <w:rFonts w:ascii="Arial" w:cs="Arial" w:eastAsia="Arial" w:hAnsi="Arial"/>
                <w:sz w:val="18"/>
                <w:szCs w:val="18"/>
                <w:color w:val="auto"/>
              </w:rPr>
              <w:t>Science/Research &amp;</w:t>
            </w: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For an understanding of AbbVie’s scientific and research and development</w:t>
            </w:r>
          </w:p>
        </w:tc>
        <w:tc>
          <w:tcPr>
            <w:tcW w:w="0" w:type="dxa"/>
            <w:vAlign w:val="bottom"/>
          </w:tcPr>
          <w:p>
            <w:pPr>
              <w:spacing w:after="0"/>
              <w:rPr>
                <w:sz w:val="1"/>
                <w:szCs w:val="1"/>
                <w:color w:val="auto"/>
              </w:rPr>
            </w:pPr>
          </w:p>
        </w:tc>
      </w:tr>
      <w:tr>
        <w:trPr>
          <w:trHeight w:val="242"/>
        </w:trPr>
        <w:tc>
          <w:tcPr>
            <w:tcW w:w="60" w:type="dxa"/>
            <w:vAlign w:val="bottom"/>
            <w:tcBorders>
              <w:right w:val="single" w:sz="8" w:color="071D49"/>
            </w:tcBorders>
            <w:shd w:val="clear" w:color="auto" w:fill="071D49"/>
          </w:tcPr>
          <w:p>
            <w:pPr>
              <w:spacing w:after="0"/>
              <w:rPr>
                <w:sz w:val="21"/>
                <w:szCs w:val="21"/>
                <w:color w:val="auto"/>
              </w:rPr>
            </w:pPr>
          </w:p>
        </w:tc>
        <w:tc>
          <w:tcPr>
            <w:tcW w:w="60" w:type="dxa"/>
            <w:vAlign w:val="bottom"/>
            <w:tcBorders>
              <w:left w:val="single" w:sz="8" w:color="071D49"/>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2"/>
          </w:tcPr>
          <w:p>
            <w:pPr>
              <w:jc w:val="center"/>
              <w:ind w:right="28"/>
              <w:spacing w:after="0"/>
              <w:rPr>
                <w:sz w:val="20"/>
                <w:szCs w:val="20"/>
                <w:color w:val="auto"/>
              </w:rPr>
            </w:pPr>
            <w:r>
              <w:rPr>
                <w:rFonts w:ascii="Arial" w:cs="Arial" w:eastAsia="Arial" w:hAnsi="Arial"/>
                <w:sz w:val="18"/>
                <w:szCs w:val="18"/>
                <w:color w:val="auto"/>
              </w:rPr>
              <w:t>Development</w:t>
            </w:r>
          </w:p>
        </w:tc>
        <w:tc>
          <w:tcPr>
            <w:tcW w:w="680" w:type="dxa"/>
            <w:vAlign w:val="bottom"/>
            <w:tcBorders>
              <w:right w:val="single" w:sz="8" w:color="071D49"/>
            </w:tcBorders>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initiatives.</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Borders>
              <w:bottom w:val="single" w:sz="8" w:color="071D49"/>
            </w:tcBorders>
            <w:gridSpan w:val="3"/>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6420" w:type="dxa"/>
            <w:vAlign w:val="bottom"/>
            <w:tcBorders>
              <w:bottom w:val="single" w:sz="8" w:color="071D49"/>
            </w:tcBorders>
            <w:gridSpan w:val="10"/>
          </w:tcPr>
          <w:p>
            <w:pPr>
              <w:spacing w:after="0"/>
              <w:rPr>
                <w:sz w:val="7"/>
                <w:szCs w:val="7"/>
                <w:color w:val="auto"/>
              </w:rPr>
            </w:pPr>
          </w:p>
        </w:tc>
        <w:tc>
          <w:tcPr>
            <w:tcW w:w="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tcPr>
          <w:p>
            <w:pPr>
              <w:jc w:val="center"/>
              <w:spacing w:after="0"/>
              <w:rPr>
                <w:sz w:val="20"/>
                <w:szCs w:val="20"/>
                <w:color w:val="auto"/>
              </w:rPr>
            </w:pPr>
            <w:r>
              <w:rPr>
                <w:rFonts w:ascii="Arial" w:cs="Arial" w:eastAsia="Arial" w:hAnsi="Arial"/>
                <w:sz w:val="18"/>
                <w:szCs w:val="18"/>
                <w:color w:val="auto"/>
              </w:rPr>
              <w:t>Corporate Governance and</w:t>
            </w: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Ensuring directors have the background and knowledge to perform oversight</w:t>
            </w:r>
          </w:p>
        </w:tc>
        <w:tc>
          <w:tcPr>
            <w:tcW w:w="0" w:type="dxa"/>
            <w:vAlign w:val="bottom"/>
          </w:tcPr>
          <w:p>
            <w:pPr>
              <w:spacing w:after="0"/>
              <w:rPr>
                <w:sz w:val="1"/>
                <w:szCs w:val="1"/>
                <w:color w:val="auto"/>
              </w:rPr>
            </w:pPr>
          </w:p>
        </w:tc>
      </w:tr>
      <w:tr>
        <w:trPr>
          <w:trHeight w:val="242"/>
        </w:trPr>
        <w:tc>
          <w:tcPr>
            <w:tcW w:w="60" w:type="dxa"/>
            <w:vAlign w:val="bottom"/>
            <w:tcBorders>
              <w:right w:val="single" w:sz="8" w:color="071D49"/>
            </w:tcBorders>
            <w:shd w:val="clear" w:color="auto" w:fill="071D49"/>
          </w:tcPr>
          <w:p>
            <w:pPr>
              <w:spacing w:after="0"/>
              <w:rPr>
                <w:sz w:val="21"/>
                <w:szCs w:val="21"/>
                <w:color w:val="auto"/>
              </w:rPr>
            </w:pPr>
          </w:p>
        </w:tc>
        <w:tc>
          <w:tcPr>
            <w:tcW w:w="60" w:type="dxa"/>
            <w:vAlign w:val="bottom"/>
            <w:tcBorders>
              <w:left w:val="single" w:sz="8" w:color="071D49"/>
            </w:tcBorders>
          </w:tcPr>
          <w:p>
            <w:pPr>
              <w:spacing w:after="0"/>
              <w:rPr>
                <w:sz w:val="21"/>
                <w:szCs w:val="21"/>
                <w:color w:val="auto"/>
              </w:rPr>
            </w:pPr>
          </w:p>
        </w:tc>
        <w:tc>
          <w:tcPr>
            <w:tcW w:w="80" w:type="dxa"/>
            <w:vAlign w:val="bottom"/>
          </w:tcPr>
          <w:p>
            <w:pPr>
              <w:spacing w:after="0"/>
              <w:rPr>
                <w:sz w:val="21"/>
                <w:szCs w:val="21"/>
                <w:color w:val="auto"/>
              </w:rPr>
            </w:pPr>
          </w:p>
        </w:tc>
        <w:tc>
          <w:tcPr>
            <w:tcW w:w="2660" w:type="dxa"/>
            <w:vAlign w:val="bottom"/>
            <w:tcBorders>
              <w:right w:val="single" w:sz="8" w:color="071D49"/>
            </w:tcBorders>
            <w:gridSpan w:val="4"/>
          </w:tcPr>
          <w:p>
            <w:pPr>
              <w:jc w:val="center"/>
              <w:spacing w:after="0"/>
              <w:rPr>
                <w:sz w:val="20"/>
                <w:szCs w:val="20"/>
                <w:color w:val="auto"/>
              </w:rPr>
            </w:pPr>
            <w:r>
              <w:rPr>
                <w:rFonts w:ascii="Arial" w:cs="Arial" w:eastAsia="Arial" w:hAnsi="Arial"/>
                <w:sz w:val="18"/>
                <w:szCs w:val="18"/>
                <w:color w:val="auto"/>
              </w:rPr>
              <w:t>Public Company Board</w:t>
            </w:r>
          </w:p>
        </w:tc>
        <w:tc>
          <w:tcPr>
            <w:tcW w:w="2300" w:type="dxa"/>
            <w:vAlign w:val="bottom"/>
            <w:gridSpan w:val="3"/>
          </w:tcPr>
          <w:p>
            <w:pPr>
              <w:ind w:left="80"/>
              <w:spacing w:after="0"/>
              <w:rPr>
                <w:sz w:val="20"/>
                <w:szCs w:val="20"/>
                <w:color w:val="auto"/>
              </w:rPr>
            </w:pPr>
            <w:r>
              <w:rPr>
                <w:rFonts w:ascii="Arial" w:cs="Arial" w:eastAsia="Arial" w:hAnsi="Arial"/>
                <w:sz w:val="18"/>
                <w:szCs w:val="18"/>
                <w:color w:val="auto"/>
              </w:rPr>
              <w:t>and governance roles.</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6420" w:type="dxa"/>
            <w:vAlign w:val="bottom"/>
            <w:tcBorders>
              <w:bottom w:val="single" w:sz="8" w:color="071D49"/>
            </w:tcBorders>
            <w:gridSpan w:val="10"/>
          </w:tcPr>
          <w:p>
            <w:pPr>
              <w:spacing w:after="0"/>
              <w:rPr>
                <w:sz w:val="7"/>
                <w:szCs w:val="7"/>
                <w:color w:val="auto"/>
              </w:rPr>
            </w:pPr>
          </w:p>
        </w:tc>
        <w:tc>
          <w:tcPr>
            <w:tcW w:w="60" w:type="dxa"/>
            <w:vAlign w:val="bottom"/>
            <w:tcBorders>
              <w:bottom w:val="single" w:sz="8" w:color="071D49"/>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vMerge w:val="restart"/>
          </w:tcPr>
          <w:p>
            <w:pPr>
              <w:jc w:val="center"/>
              <w:spacing w:after="0"/>
              <w:rPr>
                <w:sz w:val="20"/>
                <w:szCs w:val="20"/>
                <w:color w:val="auto"/>
              </w:rPr>
            </w:pPr>
            <w:r>
              <w:rPr>
                <w:rFonts w:ascii="Arial" w:cs="Arial" w:eastAsia="Arial" w:hAnsi="Arial"/>
                <w:sz w:val="18"/>
                <w:szCs w:val="18"/>
                <w:color w:val="auto"/>
              </w:rPr>
              <w:t>Finance or Accounting</w:t>
            </w:r>
          </w:p>
        </w:tc>
        <w:tc>
          <w:tcPr>
            <w:tcW w:w="6480" w:type="dxa"/>
            <w:vAlign w:val="bottom"/>
            <w:gridSpan w:val="12"/>
          </w:tcPr>
          <w:p>
            <w:pPr>
              <w:ind w:left="80"/>
              <w:spacing w:after="0"/>
              <w:rPr>
                <w:sz w:val="20"/>
                <w:szCs w:val="20"/>
                <w:color w:val="auto"/>
              </w:rPr>
            </w:pPr>
            <w:r>
              <w:rPr>
                <w:rFonts w:ascii="Arial" w:cs="Arial" w:eastAsia="Arial" w:hAnsi="Arial"/>
                <w:sz w:val="18"/>
                <w:szCs w:val="18"/>
                <w:color w:val="auto"/>
              </w:rPr>
              <w:t>Enabling our directors to analyze our financial statements, oversee our capital</w:t>
            </w:r>
          </w:p>
        </w:tc>
        <w:tc>
          <w:tcPr>
            <w:tcW w:w="0" w:type="dxa"/>
            <w:vAlign w:val="bottom"/>
          </w:tcPr>
          <w:p>
            <w:pPr>
              <w:spacing w:after="0"/>
              <w:rPr>
                <w:sz w:val="1"/>
                <w:szCs w:val="1"/>
                <w:color w:val="auto"/>
              </w:rPr>
            </w:pPr>
          </w:p>
        </w:tc>
      </w:tr>
      <w:tr>
        <w:trPr>
          <w:trHeight w:val="142"/>
        </w:trPr>
        <w:tc>
          <w:tcPr>
            <w:tcW w:w="60" w:type="dxa"/>
            <w:vAlign w:val="bottom"/>
            <w:tcBorders>
              <w:right w:val="single" w:sz="8" w:color="071D49"/>
            </w:tcBorders>
            <w:shd w:val="clear" w:color="auto" w:fill="071D49"/>
          </w:tcPr>
          <w:p>
            <w:pPr>
              <w:spacing w:after="0"/>
              <w:rPr>
                <w:sz w:val="12"/>
                <w:szCs w:val="12"/>
                <w:color w:val="auto"/>
              </w:rPr>
            </w:pPr>
          </w:p>
        </w:tc>
        <w:tc>
          <w:tcPr>
            <w:tcW w:w="60" w:type="dxa"/>
            <w:vAlign w:val="bottom"/>
            <w:tcBorders>
              <w:left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tcBorders>
              <w:right w:val="single" w:sz="8" w:color="071D49"/>
            </w:tcBorders>
            <w:gridSpan w:val="4"/>
            <w:vMerge w:val="continue"/>
          </w:tcPr>
          <w:p>
            <w:pPr>
              <w:spacing w:after="0"/>
              <w:rPr>
                <w:sz w:val="12"/>
                <w:szCs w:val="12"/>
                <w:color w:val="auto"/>
              </w:rPr>
            </w:pPr>
          </w:p>
        </w:tc>
        <w:tc>
          <w:tcPr>
            <w:tcW w:w="3980" w:type="dxa"/>
            <w:vAlign w:val="bottom"/>
            <w:gridSpan w:val="6"/>
            <w:vMerge w:val="restart"/>
          </w:tcPr>
          <w:p>
            <w:pPr>
              <w:ind w:left="80"/>
              <w:spacing w:after="0"/>
              <w:rPr>
                <w:sz w:val="20"/>
                <w:szCs w:val="20"/>
                <w:color w:val="auto"/>
              </w:rPr>
            </w:pPr>
            <w:r>
              <w:rPr>
                <w:rFonts w:ascii="Arial" w:cs="Arial" w:eastAsia="Arial" w:hAnsi="Arial"/>
                <w:sz w:val="18"/>
                <w:szCs w:val="18"/>
                <w:color w:val="auto"/>
              </w:rPr>
              <w:t>structure, and consider financial transactions.</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Borders>
              <w:lef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right w:val="single" w:sz="8" w:color="071D49"/>
            </w:tcBorders>
          </w:tcPr>
          <w:p>
            <w:pPr>
              <w:spacing w:after="0"/>
              <w:rPr>
                <w:sz w:val="8"/>
                <w:szCs w:val="8"/>
                <w:color w:val="auto"/>
              </w:rPr>
            </w:pPr>
          </w:p>
        </w:tc>
        <w:tc>
          <w:tcPr>
            <w:tcW w:w="398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tcBorders>
              <w:bottom w:val="single" w:sz="8" w:color="071D49"/>
            </w:tcBorders>
            <w:gridSpan w:val="3"/>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5720" w:type="dxa"/>
            <w:vAlign w:val="bottom"/>
            <w:tcBorders>
              <w:bottom w:val="single" w:sz="8" w:color="071D49"/>
            </w:tcBorders>
            <w:gridSpan w:val="9"/>
          </w:tcPr>
          <w:p>
            <w:pPr>
              <w:spacing w:after="0"/>
              <w:rPr>
                <w:sz w:val="7"/>
                <w:szCs w:val="7"/>
                <w:color w:val="auto"/>
              </w:rPr>
            </w:pPr>
          </w:p>
        </w:tc>
        <w:tc>
          <w:tcPr>
            <w:tcW w:w="700" w:type="dxa"/>
            <w:vAlign w:val="bottom"/>
            <w:tcBorders>
              <w:bottom w:val="single" w:sz="8" w:color="071D49"/>
            </w:tcBorders>
          </w:tcPr>
          <w:p>
            <w:pPr>
              <w:spacing w:after="0"/>
              <w:rPr>
                <w:sz w:val="7"/>
                <w:szCs w:val="7"/>
                <w:color w:val="auto"/>
              </w:rPr>
            </w:pPr>
          </w:p>
        </w:tc>
        <w:tc>
          <w:tcPr>
            <w:tcW w:w="20" w:type="dxa"/>
            <w:vAlign w:val="bottom"/>
            <w:tcBorders>
              <w:bottom w:val="single" w:sz="8" w:color="071D49"/>
            </w:tcBorders>
          </w:tcPr>
          <w:p>
            <w:pPr>
              <w:spacing w:after="0"/>
              <w:rPr>
                <w:sz w:val="7"/>
                <w:szCs w:val="7"/>
                <w:color w:val="auto"/>
              </w:rPr>
            </w:pPr>
          </w:p>
        </w:tc>
        <w:tc>
          <w:tcPr>
            <w:tcW w:w="4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tcBorders>
              <w:right w:val="single" w:sz="8" w:color="071D49"/>
            </w:tcBorders>
            <w:gridSpan w:val="4"/>
          </w:tcPr>
          <w:p>
            <w:pPr>
              <w:jc w:val="center"/>
              <w:spacing w:after="0"/>
              <w:rPr>
                <w:sz w:val="20"/>
                <w:szCs w:val="20"/>
                <w:color w:val="auto"/>
              </w:rPr>
            </w:pPr>
            <w:r>
              <w:rPr>
                <w:rFonts w:ascii="Arial" w:cs="Arial" w:eastAsia="Arial" w:hAnsi="Arial"/>
                <w:sz w:val="18"/>
                <w:szCs w:val="18"/>
                <w:color w:val="auto"/>
              </w:rPr>
              <w:t>Government Relations and</w:t>
            </w:r>
          </w:p>
        </w:tc>
        <w:tc>
          <w:tcPr>
            <w:tcW w:w="5720" w:type="dxa"/>
            <w:vAlign w:val="bottom"/>
            <w:gridSpan w:val="9"/>
          </w:tcPr>
          <w:p>
            <w:pPr>
              <w:ind w:left="80"/>
              <w:spacing w:after="0"/>
              <w:rPr>
                <w:sz w:val="20"/>
                <w:szCs w:val="20"/>
                <w:color w:val="auto"/>
              </w:rPr>
            </w:pPr>
            <w:r>
              <w:rPr>
                <w:rFonts w:ascii="Arial" w:cs="Arial" w:eastAsia="Arial" w:hAnsi="Arial"/>
                <w:sz w:val="18"/>
                <w:szCs w:val="18"/>
                <w:color w:val="auto"/>
              </w:rPr>
              <w:t>For an understanding of the complex regulatory and governmental</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0" w:type="dxa"/>
            <w:vAlign w:val="bottom"/>
            <w:tcBorders>
              <w:right w:val="single" w:sz="8" w:color="071D49"/>
            </w:tcBorders>
            <w:shd w:val="clear" w:color="auto" w:fill="071D49"/>
          </w:tcPr>
          <w:p>
            <w:pPr>
              <w:spacing w:after="0"/>
              <w:rPr>
                <w:sz w:val="21"/>
                <w:szCs w:val="21"/>
                <w:color w:val="auto"/>
              </w:rPr>
            </w:pPr>
          </w:p>
        </w:tc>
        <w:tc>
          <w:tcPr>
            <w:tcW w:w="60" w:type="dxa"/>
            <w:vAlign w:val="bottom"/>
            <w:tcBorders>
              <w:left w:val="single" w:sz="8" w:color="071D49"/>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gridSpan w:val="2"/>
          </w:tcPr>
          <w:p>
            <w:pPr>
              <w:jc w:val="center"/>
              <w:ind w:right="28"/>
              <w:spacing w:after="0"/>
              <w:rPr>
                <w:sz w:val="20"/>
                <w:szCs w:val="20"/>
                <w:color w:val="auto"/>
              </w:rPr>
            </w:pPr>
            <w:r>
              <w:rPr>
                <w:rFonts w:ascii="Arial" w:cs="Arial" w:eastAsia="Arial" w:hAnsi="Arial"/>
                <w:sz w:val="18"/>
                <w:szCs w:val="18"/>
                <w:color w:val="auto"/>
              </w:rPr>
              <w:t>Regulatory</w:t>
            </w:r>
          </w:p>
        </w:tc>
        <w:tc>
          <w:tcPr>
            <w:tcW w:w="680" w:type="dxa"/>
            <w:vAlign w:val="bottom"/>
            <w:tcBorders>
              <w:right w:val="single" w:sz="8" w:color="071D49"/>
            </w:tcBorders>
          </w:tcPr>
          <w:p>
            <w:pPr>
              <w:spacing w:after="0"/>
              <w:rPr>
                <w:sz w:val="21"/>
                <w:szCs w:val="21"/>
                <w:color w:val="auto"/>
              </w:rPr>
            </w:pPr>
          </w:p>
        </w:tc>
        <w:tc>
          <w:tcPr>
            <w:tcW w:w="3980" w:type="dxa"/>
            <w:vAlign w:val="bottom"/>
            <w:gridSpan w:val="6"/>
          </w:tcPr>
          <w:p>
            <w:pPr>
              <w:ind w:left="80"/>
              <w:spacing w:after="0"/>
              <w:rPr>
                <w:sz w:val="20"/>
                <w:szCs w:val="20"/>
                <w:color w:val="auto"/>
              </w:rPr>
            </w:pPr>
            <w:r>
              <w:rPr>
                <w:rFonts w:ascii="Arial" w:cs="Arial" w:eastAsia="Arial" w:hAnsi="Arial"/>
                <w:sz w:val="18"/>
                <w:szCs w:val="18"/>
                <w:color w:val="auto"/>
              </w:rPr>
              <w:t>environment in which our business operates.</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Borders>
              <w:left w:val="single" w:sz="8" w:color="071D49"/>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tcPr>
          <w:p>
            <w:pPr>
              <w:spacing w:after="0"/>
              <w:rPr>
                <w:sz w:val="7"/>
                <w:szCs w:val="7"/>
                <w:color w:val="auto"/>
              </w:rPr>
            </w:pPr>
          </w:p>
        </w:tc>
        <w:tc>
          <w:tcPr>
            <w:tcW w:w="680" w:type="dxa"/>
            <w:vAlign w:val="bottom"/>
            <w:tcBorders>
              <w:bottom w:val="single" w:sz="8" w:color="071D49"/>
              <w:right w:val="single" w:sz="8" w:color="071D49"/>
            </w:tcBorders>
          </w:tcPr>
          <w:p>
            <w:pPr>
              <w:spacing w:after="0"/>
              <w:rPr>
                <w:sz w:val="7"/>
                <w:szCs w:val="7"/>
                <w:color w:val="auto"/>
              </w:rPr>
            </w:pPr>
          </w:p>
        </w:tc>
        <w:tc>
          <w:tcPr>
            <w:tcW w:w="5720" w:type="dxa"/>
            <w:vAlign w:val="bottom"/>
            <w:tcBorders>
              <w:bottom w:val="single" w:sz="8" w:color="071D49"/>
            </w:tcBorders>
            <w:gridSpan w:val="9"/>
          </w:tcPr>
          <w:p>
            <w:pPr>
              <w:spacing w:after="0"/>
              <w:rPr>
                <w:sz w:val="7"/>
                <w:szCs w:val="7"/>
                <w:color w:val="auto"/>
              </w:rPr>
            </w:pPr>
          </w:p>
        </w:tc>
        <w:tc>
          <w:tcPr>
            <w:tcW w:w="700" w:type="dxa"/>
            <w:vAlign w:val="bottom"/>
            <w:tcBorders>
              <w:bottom w:val="single" w:sz="8" w:color="071D49"/>
            </w:tcBorders>
          </w:tcPr>
          <w:p>
            <w:pPr>
              <w:spacing w:after="0"/>
              <w:rPr>
                <w:sz w:val="7"/>
                <w:szCs w:val="7"/>
                <w:color w:val="auto"/>
              </w:rPr>
            </w:pPr>
          </w:p>
        </w:tc>
        <w:tc>
          <w:tcPr>
            <w:tcW w:w="20" w:type="dxa"/>
            <w:vAlign w:val="bottom"/>
            <w:tcBorders>
              <w:bottom w:val="single" w:sz="8" w:color="071D49"/>
            </w:tcBorders>
          </w:tcPr>
          <w:p>
            <w:pPr>
              <w:spacing w:after="0"/>
              <w:rPr>
                <w:sz w:val="7"/>
                <w:szCs w:val="7"/>
                <w:color w:val="auto"/>
              </w:rPr>
            </w:pPr>
          </w:p>
        </w:tc>
        <w:tc>
          <w:tcPr>
            <w:tcW w:w="4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Borders>
              <w:left w:val="single" w:sz="8" w:color="071D49"/>
            </w:tcBorders>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3"/>
            <w:vMerge w:val="restart"/>
          </w:tcPr>
          <w:p>
            <w:pPr>
              <w:jc w:val="center"/>
              <w:ind w:left="551"/>
              <w:spacing w:after="0"/>
              <w:rPr>
                <w:sz w:val="20"/>
                <w:szCs w:val="20"/>
                <w:color w:val="auto"/>
              </w:rPr>
            </w:pPr>
            <w:r>
              <w:rPr>
                <w:rFonts w:ascii="Arial" w:cs="Arial" w:eastAsia="Arial" w:hAnsi="Arial"/>
                <w:sz w:val="18"/>
                <w:szCs w:val="18"/>
                <w:color w:val="auto"/>
              </w:rPr>
              <w:t>Marketing/Sales</w:t>
            </w:r>
          </w:p>
        </w:tc>
        <w:tc>
          <w:tcPr>
            <w:tcW w:w="680" w:type="dxa"/>
            <w:vAlign w:val="bottom"/>
            <w:tcBorders>
              <w:right w:val="single" w:sz="8" w:color="071D49"/>
            </w:tcBorders>
          </w:tcPr>
          <w:p>
            <w:pPr>
              <w:spacing w:after="0"/>
              <w:rPr>
                <w:sz w:val="24"/>
                <w:szCs w:val="24"/>
                <w:color w:val="auto"/>
              </w:rPr>
            </w:pPr>
          </w:p>
        </w:tc>
        <w:tc>
          <w:tcPr>
            <w:tcW w:w="5720" w:type="dxa"/>
            <w:vAlign w:val="bottom"/>
            <w:gridSpan w:val="9"/>
          </w:tcPr>
          <w:p>
            <w:pPr>
              <w:ind w:left="80"/>
              <w:spacing w:after="0"/>
              <w:rPr>
                <w:sz w:val="20"/>
                <w:szCs w:val="20"/>
                <w:color w:val="auto"/>
              </w:rPr>
            </w:pPr>
            <w:r>
              <w:rPr>
                <w:rFonts w:ascii="Arial" w:cs="Arial" w:eastAsia="Arial" w:hAnsi="Arial"/>
                <w:sz w:val="18"/>
                <w:szCs w:val="18"/>
                <w:color w:val="auto"/>
              </w:rPr>
              <w:t>Experience in commercialization, marketing, and brand development,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right w:val="single" w:sz="8" w:color="071D49"/>
            </w:tcBorders>
            <w:shd w:val="clear" w:color="auto" w:fill="071D49"/>
          </w:tcPr>
          <w:p>
            <w:pPr>
              <w:spacing w:after="0"/>
              <w:rPr>
                <w:sz w:val="12"/>
                <w:szCs w:val="12"/>
                <w:color w:val="auto"/>
              </w:rPr>
            </w:pPr>
          </w:p>
        </w:tc>
        <w:tc>
          <w:tcPr>
            <w:tcW w:w="60" w:type="dxa"/>
            <w:vAlign w:val="bottom"/>
            <w:tcBorders>
              <w:left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680" w:type="dxa"/>
            <w:vAlign w:val="bottom"/>
            <w:tcBorders>
              <w:right w:val="single" w:sz="8" w:color="071D49"/>
            </w:tcBorders>
          </w:tcPr>
          <w:p>
            <w:pPr>
              <w:spacing w:after="0"/>
              <w:rPr>
                <w:sz w:val="12"/>
                <w:szCs w:val="12"/>
                <w:color w:val="auto"/>
              </w:rPr>
            </w:pPr>
          </w:p>
        </w:tc>
        <w:tc>
          <w:tcPr>
            <w:tcW w:w="3280" w:type="dxa"/>
            <w:vAlign w:val="bottom"/>
            <w:gridSpan w:val="5"/>
            <w:vMerge w:val="restart"/>
          </w:tcPr>
          <w:p>
            <w:pPr>
              <w:ind w:left="80"/>
              <w:spacing w:after="0"/>
              <w:rPr>
                <w:sz w:val="20"/>
                <w:szCs w:val="20"/>
                <w:color w:val="auto"/>
              </w:rPr>
            </w:pPr>
            <w:r>
              <w:rPr>
                <w:rFonts w:ascii="Arial" w:cs="Arial" w:eastAsia="Arial" w:hAnsi="Arial"/>
                <w:sz w:val="18"/>
                <w:szCs w:val="18"/>
                <w:color w:val="auto"/>
              </w:rPr>
              <w:t>including through digital channels.</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Borders>
              <w:lef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right w:val="single" w:sz="8" w:color="071D49"/>
            </w:tcBorders>
          </w:tcPr>
          <w:p>
            <w:pPr>
              <w:spacing w:after="0"/>
              <w:rPr>
                <w:sz w:val="8"/>
                <w:szCs w:val="8"/>
                <w:color w:val="auto"/>
              </w:rPr>
            </w:pPr>
          </w:p>
        </w:tc>
        <w:tc>
          <w:tcPr>
            <w:tcW w:w="3280" w:type="dxa"/>
            <w:vAlign w:val="bottom"/>
            <w:gridSpan w:val="5"/>
            <w:vMerge w:val="continue"/>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60" w:type="dxa"/>
            <w:vAlign w:val="bottom"/>
            <w:tcBorders>
              <w:right w:val="single" w:sz="8" w:color="071D49"/>
            </w:tcBorders>
            <w:shd w:val="clear" w:color="auto" w:fill="071D49"/>
          </w:tcPr>
          <w:p>
            <w:pPr>
              <w:spacing w:after="0"/>
              <w:rPr>
                <w:sz w:val="6"/>
                <w:szCs w:val="6"/>
                <w:color w:val="auto"/>
              </w:rPr>
            </w:pPr>
          </w:p>
        </w:tc>
        <w:tc>
          <w:tcPr>
            <w:tcW w:w="60" w:type="dxa"/>
            <w:vAlign w:val="bottom"/>
            <w:tcBorders>
              <w:left w:val="single" w:sz="8" w:color="071D49"/>
            </w:tcBorders>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Borders>
              <w:right w:val="single" w:sz="8" w:color="071D49"/>
            </w:tcBorders>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ALPERN</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8"/>
              </w:rPr>
              <w:t>AUSTIN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5"/>
              </w:rPr>
              <w:t>BURNSIDE</w:t>
            </w:r>
          </w:p>
        </w:tc>
        <w:tc>
          <w:tcPr>
            <w:tcW w:w="740" w:type="dxa"/>
            <w:vAlign w:val="bottom"/>
          </w:tcPr>
          <w:p>
            <w:pPr>
              <w:ind w:left="220"/>
              <w:spacing w:after="0"/>
              <w:rPr>
                <w:sz w:val="20"/>
                <w:szCs w:val="20"/>
                <w:color w:val="auto"/>
              </w:rPr>
            </w:pPr>
            <w:r>
              <w:rPr>
                <w:rFonts w:ascii="Arial" w:cs="Arial" w:eastAsia="Arial" w:hAnsi="Arial"/>
                <w:sz w:val="12"/>
                <w:szCs w:val="12"/>
                <w:b w:val="1"/>
                <w:bCs w:val="1"/>
                <w:color w:val="auto"/>
              </w:rPr>
              <w:t>DAVIS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4"/>
              </w:rPr>
              <w:t>FREYMAN</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GONZALEZ</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w w:val="95"/>
              </w:rPr>
              <w:t>HART</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8"/>
              </w:rPr>
              <w:t>MEYER</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QUAGGIN</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RAPP</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ROBERTS</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2"/>
              </w:rPr>
              <w:t>TILTON</w:t>
            </w:r>
          </w:p>
        </w:tc>
        <w:tc>
          <w:tcPr>
            <w:tcW w:w="76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6"/>
              </w:rPr>
              <w:t>WADDELL</w:t>
            </w:r>
          </w:p>
        </w:tc>
        <w:tc>
          <w:tcPr>
            <w:tcW w:w="0" w:type="dxa"/>
            <w:vAlign w:val="bottom"/>
          </w:tcPr>
          <w:p>
            <w:pPr>
              <w:spacing w:after="0"/>
              <w:rPr>
                <w:sz w:val="1"/>
                <w:szCs w:val="1"/>
                <w:color w:val="auto"/>
              </w:rPr>
            </w:pPr>
          </w:p>
        </w:tc>
      </w:tr>
      <w:tr>
        <w:trPr>
          <w:trHeight w:val="107"/>
        </w:trPr>
        <w:tc>
          <w:tcPr>
            <w:tcW w:w="60" w:type="dxa"/>
            <w:vAlign w:val="bottom"/>
            <w:tcBorders>
              <w:top w:val="single" w:sz="8" w:color="071D49"/>
              <w:right w:val="single" w:sz="8" w:color="071D49"/>
            </w:tcBorders>
            <w:shd w:val="clear" w:color="auto" w:fill="071D49"/>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071D49"/>
            </w:tcBorders>
          </w:tcPr>
          <w:p>
            <w:pPr>
              <w:spacing w:after="0"/>
              <w:rPr>
                <w:sz w:val="9"/>
                <w:szCs w:val="9"/>
                <w:color w:val="auto"/>
              </w:rPr>
            </w:pPr>
          </w:p>
        </w:tc>
        <w:tc>
          <w:tcPr>
            <w:tcW w:w="740" w:type="dxa"/>
            <w:vAlign w:val="bottom"/>
            <w:tcBorders>
              <w:top w:val="single" w:sz="8" w:color="071D49"/>
            </w:tcBorders>
          </w:tcPr>
          <w:p>
            <w:pPr>
              <w:jc w:val="center"/>
              <w:ind w:right="11"/>
              <w:spacing w:after="0" w:line="107" w:lineRule="exact"/>
              <w:rPr>
                <w:sz w:val="20"/>
                <w:szCs w:val="20"/>
                <w:color w:val="auto"/>
              </w:rPr>
            </w:pPr>
            <w:r>
              <w:rPr>
                <w:rFonts w:ascii="Arial" w:cs="Arial" w:eastAsia="Arial" w:hAnsi="Arial"/>
                <w:sz w:val="12"/>
                <w:szCs w:val="12"/>
                <w:b w:val="1"/>
                <w:bCs w:val="1"/>
                <w:color w:val="auto"/>
                <w:w w:val="97"/>
              </w:rPr>
              <w:t>Industry</w:t>
            </w:r>
          </w:p>
        </w:tc>
        <w:tc>
          <w:tcPr>
            <w:tcW w:w="620" w:type="dxa"/>
            <w:vAlign w:val="bottom"/>
            <w:tcBorders>
              <w:top w:val="single" w:sz="8" w:color="071D49"/>
            </w:tcBorders>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620" w:type="dxa"/>
            <w:vAlign w:val="bottom"/>
            <w:tcBorders>
              <w:top w:val="single" w:sz="8" w:color="071D49"/>
              <w:right w:val="single" w:sz="8" w:color="F2F2F2"/>
            </w:tcBorders>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680" w:type="dxa"/>
            <w:vAlign w:val="bottom"/>
            <w:tcBorders>
              <w:top w:val="single" w:sz="8" w:color="071D49"/>
              <w:right w:val="single" w:sz="8" w:color="F2F2F2"/>
            </w:tcBorders>
            <w:shd w:val="clear" w:color="auto" w:fill="F2F2F2"/>
          </w:tcPr>
          <w:p>
            <w:pPr>
              <w:spacing w:after="0"/>
              <w:rPr>
                <w:sz w:val="9"/>
                <w:szCs w:val="9"/>
                <w:color w:val="auto"/>
              </w:rPr>
            </w:pPr>
          </w:p>
        </w:tc>
        <w:tc>
          <w:tcPr>
            <w:tcW w:w="740" w:type="dxa"/>
            <w:vAlign w:val="bottom"/>
            <w:tcBorders>
              <w:top w:val="single" w:sz="8" w:color="071D49"/>
            </w:tcBorders>
          </w:tcPr>
          <w:p>
            <w:pPr>
              <w:ind w:left="300"/>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60" w:type="dxa"/>
            <w:vAlign w:val="bottom"/>
            <w:tcBorders>
              <w:top w:val="single" w:sz="8" w:color="071D49"/>
            </w:tcBorders>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800" w:type="dxa"/>
            <w:vAlign w:val="bottom"/>
            <w:tcBorders>
              <w:top w:val="single" w:sz="8" w:color="071D49"/>
            </w:tcBorders>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440" w:type="dxa"/>
            <w:vAlign w:val="bottom"/>
            <w:tcBorders>
              <w:top w:val="single" w:sz="8" w:color="071D49"/>
            </w:tcBorders>
            <w:shd w:val="clear" w:color="auto" w:fill="F2F2F2"/>
          </w:tcPr>
          <w:p>
            <w:pPr>
              <w:spacing w:after="0"/>
              <w:rPr>
                <w:sz w:val="9"/>
                <w:szCs w:val="9"/>
                <w:color w:val="auto"/>
              </w:rPr>
            </w:pPr>
          </w:p>
        </w:tc>
        <w:tc>
          <w:tcPr>
            <w:tcW w:w="540" w:type="dxa"/>
            <w:vAlign w:val="bottom"/>
            <w:tcBorders>
              <w:top w:val="single" w:sz="8" w:color="071D49"/>
            </w:tcBorders>
          </w:tcPr>
          <w:p>
            <w:pPr>
              <w:spacing w:after="0"/>
              <w:rPr>
                <w:sz w:val="9"/>
                <w:szCs w:val="9"/>
                <w:color w:val="auto"/>
              </w:rPr>
            </w:pPr>
          </w:p>
        </w:tc>
        <w:tc>
          <w:tcPr>
            <w:tcW w:w="700" w:type="dxa"/>
            <w:vAlign w:val="bottom"/>
            <w:tcBorders>
              <w:top w:val="single" w:sz="8" w:color="071D49"/>
            </w:tcBorders>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440" w:type="dxa"/>
            <w:vAlign w:val="bottom"/>
            <w:tcBorders>
              <w:top w:val="single" w:sz="8" w:color="071D49"/>
            </w:tcBorders>
          </w:tcPr>
          <w:p>
            <w:pPr>
              <w:spacing w:after="0"/>
              <w:rPr>
                <w:sz w:val="9"/>
                <w:szCs w:val="9"/>
                <w:color w:val="auto"/>
              </w:rPr>
            </w:pPr>
          </w:p>
        </w:tc>
        <w:tc>
          <w:tcPr>
            <w:tcW w:w="740" w:type="dxa"/>
            <w:vAlign w:val="bottom"/>
            <w:tcBorders>
              <w:top w:val="single" w:sz="8" w:color="071D49"/>
            </w:tcBorders>
            <w:shd w:val="clear" w:color="auto" w:fill="F2F2F2"/>
          </w:tcPr>
          <w:p>
            <w:pPr>
              <w:spacing w:after="0"/>
              <w:rPr>
                <w:sz w:val="9"/>
                <w:szCs w:val="9"/>
                <w:color w:val="auto"/>
              </w:rPr>
            </w:pPr>
          </w:p>
        </w:tc>
        <w:tc>
          <w:tcPr>
            <w:tcW w:w="560" w:type="dxa"/>
            <w:vAlign w:val="bottom"/>
            <w:tcBorders>
              <w:top w:val="single" w:sz="8" w:color="071D49"/>
            </w:tcBorders>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00" w:type="dxa"/>
            <w:vAlign w:val="bottom"/>
            <w:tcBorders>
              <w:top w:val="single" w:sz="8" w:color="071D49"/>
            </w:tcBorders>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Health Care</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071D49"/>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071D49"/>
            </w:tcBorders>
          </w:tcPr>
          <w:p>
            <w:pPr>
              <w:spacing w:after="0"/>
              <w:rPr>
                <w:sz w:val="18"/>
                <w:szCs w:val="18"/>
                <w:color w:val="auto"/>
              </w:rPr>
            </w:pPr>
          </w:p>
        </w:tc>
        <w:tc>
          <w:tcPr>
            <w:tcW w:w="740" w:type="dxa"/>
            <w:vAlign w:val="bottom"/>
            <w:tcBorders>
              <w:bottom w:val="single" w:sz="8" w:color="071D49"/>
            </w:tcBorders>
          </w:tcPr>
          <w:p>
            <w:pPr>
              <w:spacing w:after="0"/>
              <w:rPr>
                <w:sz w:val="18"/>
                <w:szCs w:val="18"/>
                <w:color w:val="auto"/>
              </w:rPr>
            </w:pPr>
          </w:p>
        </w:tc>
        <w:tc>
          <w:tcPr>
            <w:tcW w:w="620" w:type="dxa"/>
            <w:vAlign w:val="bottom"/>
            <w:tcBorders>
              <w:bottom w:val="single" w:sz="8" w:color="071D49"/>
            </w:tcBorders>
            <w:shd w:val="clear" w:color="auto" w:fill="F2F2F2"/>
          </w:tcPr>
          <w:p>
            <w:pPr>
              <w:spacing w:after="0"/>
              <w:rPr>
                <w:sz w:val="18"/>
                <w:szCs w:val="18"/>
                <w:color w:val="auto"/>
              </w:rPr>
            </w:pPr>
          </w:p>
        </w:tc>
        <w:tc>
          <w:tcPr>
            <w:tcW w:w="620" w:type="dxa"/>
            <w:vAlign w:val="bottom"/>
            <w:tcBorders>
              <w:bottom w:val="single" w:sz="8" w:color="071D49"/>
              <w:right w:val="single" w:sz="8" w:color="F2F2F2"/>
            </w:tcBorders>
          </w:tcPr>
          <w:p>
            <w:pPr>
              <w:spacing w:after="0"/>
              <w:rPr>
                <w:sz w:val="18"/>
                <w:szCs w:val="18"/>
                <w:color w:val="auto"/>
              </w:rPr>
            </w:pPr>
          </w:p>
        </w:tc>
        <w:tc>
          <w:tcPr>
            <w:tcW w:w="680" w:type="dxa"/>
            <w:vAlign w:val="bottom"/>
            <w:tcBorders>
              <w:bottom w:val="single" w:sz="8" w:color="071D49"/>
              <w:right w:val="single" w:sz="8" w:color="F2F2F2"/>
            </w:tcBorders>
            <w:shd w:val="clear" w:color="auto" w:fill="F2F2F2"/>
          </w:tcPr>
          <w:p>
            <w:pPr>
              <w:spacing w:after="0"/>
              <w:rPr>
                <w:sz w:val="18"/>
                <w:szCs w:val="18"/>
                <w:color w:val="auto"/>
              </w:rPr>
            </w:pPr>
          </w:p>
        </w:tc>
        <w:tc>
          <w:tcPr>
            <w:tcW w:w="740" w:type="dxa"/>
            <w:vAlign w:val="bottom"/>
            <w:tcBorders>
              <w:bottom w:val="single" w:sz="8" w:color="071D49"/>
            </w:tcBorders>
          </w:tcPr>
          <w:p>
            <w:pPr>
              <w:spacing w:after="0"/>
              <w:rPr>
                <w:sz w:val="18"/>
                <w:szCs w:val="18"/>
                <w:color w:val="auto"/>
              </w:rPr>
            </w:pPr>
          </w:p>
        </w:tc>
        <w:tc>
          <w:tcPr>
            <w:tcW w:w="760" w:type="dxa"/>
            <w:vAlign w:val="bottom"/>
            <w:tcBorders>
              <w:bottom w:val="single" w:sz="8" w:color="071D49"/>
            </w:tcBorders>
            <w:shd w:val="clear" w:color="auto" w:fill="F2F2F2"/>
          </w:tcPr>
          <w:p>
            <w:pPr>
              <w:spacing w:after="0"/>
              <w:rPr>
                <w:sz w:val="18"/>
                <w:szCs w:val="18"/>
                <w:color w:val="auto"/>
              </w:rPr>
            </w:pPr>
          </w:p>
        </w:tc>
        <w:tc>
          <w:tcPr>
            <w:tcW w:w="800" w:type="dxa"/>
            <w:vAlign w:val="bottom"/>
            <w:tcBorders>
              <w:bottom w:val="single" w:sz="8" w:color="071D49"/>
            </w:tcBorders>
          </w:tcPr>
          <w:p>
            <w:pPr>
              <w:spacing w:after="0"/>
              <w:rPr>
                <w:sz w:val="18"/>
                <w:szCs w:val="18"/>
                <w:color w:val="auto"/>
              </w:rPr>
            </w:pPr>
          </w:p>
        </w:tc>
        <w:tc>
          <w:tcPr>
            <w:tcW w:w="440" w:type="dxa"/>
            <w:vAlign w:val="bottom"/>
            <w:tcBorders>
              <w:bottom w:val="single" w:sz="8" w:color="071D49"/>
            </w:tcBorders>
            <w:shd w:val="clear" w:color="auto" w:fill="F2F2F2"/>
          </w:tcPr>
          <w:p>
            <w:pPr>
              <w:spacing w:after="0"/>
              <w:rPr>
                <w:sz w:val="18"/>
                <w:szCs w:val="18"/>
                <w:color w:val="auto"/>
              </w:rPr>
            </w:pPr>
          </w:p>
        </w:tc>
        <w:tc>
          <w:tcPr>
            <w:tcW w:w="54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440" w:type="dxa"/>
            <w:vAlign w:val="bottom"/>
            <w:tcBorders>
              <w:bottom w:val="single" w:sz="8" w:color="071D49"/>
            </w:tcBorders>
          </w:tcPr>
          <w:p>
            <w:pPr>
              <w:spacing w:after="0"/>
              <w:rPr>
                <w:sz w:val="18"/>
                <w:szCs w:val="18"/>
                <w:color w:val="auto"/>
              </w:rPr>
            </w:pPr>
          </w:p>
        </w:tc>
        <w:tc>
          <w:tcPr>
            <w:tcW w:w="740" w:type="dxa"/>
            <w:vAlign w:val="bottom"/>
            <w:tcBorders>
              <w:bottom w:val="single" w:sz="8" w:color="071D49"/>
            </w:tcBorders>
            <w:shd w:val="clear" w:color="auto" w:fill="F2F2F2"/>
          </w:tcPr>
          <w:p>
            <w:pPr>
              <w:spacing w:after="0"/>
              <w:rPr>
                <w:sz w:val="18"/>
                <w:szCs w:val="18"/>
                <w:color w:val="auto"/>
              </w:rPr>
            </w:pPr>
          </w:p>
        </w:tc>
        <w:tc>
          <w:tcPr>
            <w:tcW w:w="56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60" w:type="dxa"/>
            <w:vAlign w:val="bottom"/>
            <w:tcBorders>
              <w:right w:val="single" w:sz="8" w:color="071D49"/>
            </w:tcBorders>
            <w:shd w:val="clear" w:color="auto" w:fill="071D49"/>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6"/>
              </w:rPr>
              <w:t>Leadership</w:t>
            </w:r>
          </w:p>
        </w:tc>
        <w:tc>
          <w:tcPr>
            <w:tcW w:w="6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20" w:type="dxa"/>
            <w:vAlign w:val="bottom"/>
            <w:tcBorders>
              <w:right w:val="single" w:sz="8" w:color="F2F2F2"/>
            </w:tcBorders>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tcBorders>
              <w:right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tcPr>
          <w:p>
            <w:pPr>
              <w:ind w:left="300"/>
              <w:spacing w:after="0"/>
              <w:rPr>
                <w:sz w:val="20"/>
                <w:szCs w:val="20"/>
                <w:color w:val="auto"/>
              </w:rPr>
            </w:pPr>
            <w:r>
              <w:rPr>
                <w:rFonts w:ascii="Times New Roman" w:cs="Times New Roman" w:eastAsia="Times New Roman" w:hAnsi="Times New Roman"/>
                <w:sz w:val="23"/>
                <w:szCs w:val="23"/>
                <w:color w:val="071D49"/>
              </w:rPr>
              <w:t>●</w:t>
            </w:r>
          </w:p>
        </w:tc>
        <w:tc>
          <w:tcPr>
            <w:tcW w:w="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071D49"/>
              <w:right w:val="single" w:sz="8" w:color="071D49"/>
            </w:tcBorders>
            <w:shd w:val="clear" w:color="auto" w:fill="071D49"/>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071D49"/>
            </w:tcBorders>
          </w:tcPr>
          <w:p>
            <w:pPr>
              <w:spacing w:after="0"/>
              <w:rPr>
                <w:sz w:val="8"/>
                <w:szCs w:val="8"/>
                <w:color w:val="auto"/>
              </w:rPr>
            </w:pPr>
          </w:p>
        </w:tc>
        <w:tc>
          <w:tcPr>
            <w:tcW w:w="740" w:type="dxa"/>
            <w:vAlign w:val="bottom"/>
            <w:tcBorders>
              <w:bottom w:val="single" w:sz="8" w:color="071D49"/>
            </w:tcBorders>
          </w:tcPr>
          <w:p>
            <w:pPr>
              <w:spacing w:after="0"/>
              <w:rPr>
                <w:sz w:val="8"/>
                <w:szCs w:val="8"/>
                <w:color w:val="auto"/>
              </w:rPr>
            </w:pPr>
          </w:p>
        </w:tc>
        <w:tc>
          <w:tcPr>
            <w:tcW w:w="620" w:type="dxa"/>
            <w:vAlign w:val="bottom"/>
            <w:tcBorders>
              <w:bottom w:val="single" w:sz="8" w:color="071D49"/>
            </w:tcBorders>
            <w:shd w:val="clear" w:color="auto" w:fill="F2F2F2"/>
          </w:tcPr>
          <w:p>
            <w:pPr>
              <w:spacing w:after="0"/>
              <w:rPr>
                <w:sz w:val="8"/>
                <w:szCs w:val="8"/>
                <w:color w:val="auto"/>
              </w:rPr>
            </w:pPr>
          </w:p>
        </w:tc>
        <w:tc>
          <w:tcPr>
            <w:tcW w:w="620" w:type="dxa"/>
            <w:vAlign w:val="bottom"/>
            <w:tcBorders>
              <w:bottom w:val="single" w:sz="8" w:color="071D49"/>
              <w:right w:val="single" w:sz="8" w:color="F2F2F2"/>
            </w:tcBorders>
          </w:tcPr>
          <w:p>
            <w:pPr>
              <w:spacing w:after="0"/>
              <w:rPr>
                <w:sz w:val="8"/>
                <w:szCs w:val="8"/>
                <w:color w:val="auto"/>
              </w:rPr>
            </w:pPr>
          </w:p>
        </w:tc>
        <w:tc>
          <w:tcPr>
            <w:tcW w:w="680" w:type="dxa"/>
            <w:vAlign w:val="bottom"/>
            <w:tcBorders>
              <w:bottom w:val="single" w:sz="8" w:color="071D49"/>
              <w:right w:val="single" w:sz="8" w:color="F2F2F2"/>
            </w:tcBorders>
            <w:shd w:val="clear" w:color="auto" w:fill="F2F2F2"/>
          </w:tcPr>
          <w:p>
            <w:pPr>
              <w:spacing w:after="0"/>
              <w:rPr>
                <w:sz w:val="8"/>
                <w:szCs w:val="8"/>
                <w:color w:val="auto"/>
              </w:rPr>
            </w:pPr>
          </w:p>
        </w:tc>
        <w:tc>
          <w:tcPr>
            <w:tcW w:w="740" w:type="dxa"/>
            <w:vAlign w:val="bottom"/>
            <w:tcBorders>
              <w:bottom w:val="single" w:sz="8" w:color="071D49"/>
            </w:tcBorders>
          </w:tcPr>
          <w:p>
            <w:pPr>
              <w:spacing w:after="0"/>
              <w:rPr>
                <w:sz w:val="8"/>
                <w:szCs w:val="8"/>
                <w:color w:val="auto"/>
              </w:rPr>
            </w:pPr>
          </w:p>
        </w:tc>
        <w:tc>
          <w:tcPr>
            <w:tcW w:w="760" w:type="dxa"/>
            <w:vAlign w:val="bottom"/>
            <w:tcBorders>
              <w:bottom w:val="single" w:sz="8" w:color="071D49"/>
            </w:tcBorders>
            <w:shd w:val="clear" w:color="auto" w:fill="F2F2F2"/>
          </w:tcPr>
          <w:p>
            <w:pPr>
              <w:spacing w:after="0"/>
              <w:rPr>
                <w:sz w:val="8"/>
                <w:szCs w:val="8"/>
                <w:color w:val="auto"/>
              </w:rPr>
            </w:pPr>
          </w:p>
        </w:tc>
        <w:tc>
          <w:tcPr>
            <w:tcW w:w="800" w:type="dxa"/>
            <w:vAlign w:val="bottom"/>
            <w:tcBorders>
              <w:bottom w:val="single" w:sz="8" w:color="071D49"/>
            </w:tcBorders>
          </w:tcPr>
          <w:p>
            <w:pPr>
              <w:spacing w:after="0"/>
              <w:rPr>
                <w:sz w:val="8"/>
                <w:szCs w:val="8"/>
                <w:color w:val="auto"/>
              </w:rPr>
            </w:pPr>
          </w:p>
        </w:tc>
        <w:tc>
          <w:tcPr>
            <w:tcW w:w="440" w:type="dxa"/>
            <w:vAlign w:val="bottom"/>
            <w:tcBorders>
              <w:bottom w:val="single" w:sz="8" w:color="071D49"/>
            </w:tcBorders>
            <w:shd w:val="clear" w:color="auto" w:fill="F2F2F2"/>
          </w:tcPr>
          <w:p>
            <w:pPr>
              <w:spacing w:after="0"/>
              <w:rPr>
                <w:sz w:val="8"/>
                <w:szCs w:val="8"/>
                <w:color w:val="auto"/>
              </w:rPr>
            </w:pPr>
          </w:p>
        </w:tc>
        <w:tc>
          <w:tcPr>
            <w:tcW w:w="540" w:type="dxa"/>
            <w:vAlign w:val="bottom"/>
            <w:tcBorders>
              <w:bottom w:val="single" w:sz="8" w:color="071D49"/>
            </w:tcBorders>
          </w:tcPr>
          <w:p>
            <w:pPr>
              <w:spacing w:after="0"/>
              <w:rPr>
                <w:sz w:val="8"/>
                <w:szCs w:val="8"/>
                <w:color w:val="auto"/>
              </w:rPr>
            </w:pPr>
          </w:p>
        </w:tc>
        <w:tc>
          <w:tcPr>
            <w:tcW w:w="700" w:type="dxa"/>
            <w:vAlign w:val="bottom"/>
            <w:tcBorders>
              <w:bottom w:val="single" w:sz="8" w:color="071D49"/>
            </w:tcBorders>
            <w:shd w:val="clear" w:color="auto" w:fill="F2F2F2"/>
          </w:tcPr>
          <w:p>
            <w:pPr>
              <w:spacing w:after="0"/>
              <w:rPr>
                <w:sz w:val="8"/>
                <w:szCs w:val="8"/>
                <w:color w:val="auto"/>
              </w:rPr>
            </w:pPr>
          </w:p>
        </w:tc>
        <w:tc>
          <w:tcPr>
            <w:tcW w:w="440" w:type="dxa"/>
            <w:vAlign w:val="bottom"/>
            <w:tcBorders>
              <w:bottom w:val="single" w:sz="8" w:color="071D49"/>
            </w:tcBorders>
          </w:tcPr>
          <w:p>
            <w:pPr>
              <w:spacing w:after="0"/>
              <w:rPr>
                <w:sz w:val="8"/>
                <w:szCs w:val="8"/>
                <w:color w:val="auto"/>
              </w:rPr>
            </w:pPr>
          </w:p>
        </w:tc>
        <w:tc>
          <w:tcPr>
            <w:tcW w:w="740" w:type="dxa"/>
            <w:vAlign w:val="bottom"/>
            <w:tcBorders>
              <w:bottom w:val="single" w:sz="8" w:color="071D49"/>
            </w:tcBorders>
            <w:shd w:val="clear" w:color="auto" w:fill="F2F2F2"/>
          </w:tcPr>
          <w:p>
            <w:pPr>
              <w:spacing w:after="0"/>
              <w:rPr>
                <w:sz w:val="8"/>
                <w:szCs w:val="8"/>
                <w:color w:val="auto"/>
              </w:rPr>
            </w:pPr>
          </w:p>
        </w:tc>
        <w:tc>
          <w:tcPr>
            <w:tcW w:w="560" w:type="dxa"/>
            <w:vAlign w:val="bottom"/>
            <w:tcBorders>
              <w:bottom w:val="single" w:sz="8" w:color="071D49"/>
            </w:tcBorders>
          </w:tcPr>
          <w:p>
            <w:pPr>
              <w:spacing w:after="0"/>
              <w:rPr>
                <w:sz w:val="8"/>
                <w:szCs w:val="8"/>
                <w:color w:val="auto"/>
              </w:rPr>
            </w:pPr>
          </w:p>
        </w:tc>
        <w:tc>
          <w:tcPr>
            <w:tcW w:w="700" w:type="dxa"/>
            <w:vAlign w:val="bottom"/>
            <w:tcBorders>
              <w:bottom w:val="single" w:sz="8" w:color="071D49"/>
            </w:tcBorders>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Global</w:t>
            </w:r>
          </w:p>
        </w:tc>
        <w:tc>
          <w:tcPr>
            <w:tcW w:w="62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20" w:type="dxa"/>
            <w:vAlign w:val="bottom"/>
            <w:tcBorders>
              <w:right w:val="single" w:sz="8" w:color="F2F2F2"/>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23"/>
                <w:szCs w:val="23"/>
                <w:color w:val="071D49"/>
              </w:rPr>
              <w:t>●</w:t>
            </w:r>
          </w:p>
        </w:tc>
        <w:tc>
          <w:tcPr>
            <w:tcW w:w="7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shd w:val="clear" w:color="auto" w:fill="F2F2F2"/>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Business</w:t>
            </w:r>
          </w:p>
        </w:tc>
        <w:tc>
          <w:tcPr>
            <w:tcW w:w="620" w:type="dxa"/>
            <w:vAlign w:val="bottom"/>
            <w:vMerge w:val="continue"/>
            <w:shd w:val="clear" w:color="auto" w:fill="F2F2F2"/>
          </w:tcPr>
          <w:p>
            <w:pPr>
              <w:spacing w:after="0"/>
              <w:rPr>
                <w:sz w:val="13"/>
                <w:szCs w:val="13"/>
                <w:color w:val="auto"/>
              </w:rPr>
            </w:pPr>
          </w:p>
        </w:tc>
        <w:tc>
          <w:tcPr>
            <w:tcW w:w="620" w:type="dxa"/>
            <w:vAlign w:val="bottom"/>
            <w:tcBorders>
              <w:right w:val="single" w:sz="8" w:color="F2F2F2"/>
            </w:tcBorders>
            <w:vMerge w:val="continue"/>
          </w:tcPr>
          <w:p>
            <w:pPr>
              <w:spacing w:after="0"/>
              <w:rPr>
                <w:sz w:val="13"/>
                <w:szCs w:val="13"/>
                <w:color w:val="auto"/>
              </w:rPr>
            </w:pPr>
          </w:p>
        </w:tc>
        <w:tc>
          <w:tcPr>
            <w:tcW w:w="680" w:type="dxa"/>
            <w:vAlign w:val="bottom"/>
            <w:tcBorders>
              <w:right w:val="single" w:sz="8" w:color="F2F2F2"/>
            </w:tcBorders>
            <w:vMerge w:val="continue"/>
            <w:shd w:val="clear" w:color="auto" w:fill="F2F2F2"/>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shd w:val="clear" w:color="auto" w:fill="F2F2F2"/>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shd w:val="clear" w:color="auto" w:fill="F2F2F2"/>
          </w:tcPr>
          <w:p>
            <w:pPr>
              <w:spacing w:after="0"/>
              <w:rPr>
                <w:sz w:val="13"/>
                <w:szCs w:val="13"/>
                <w:color w:val="auto"/>
              </w:rPr>
            </w:pPr>
          </w:p>
        </w:tc>
        <w:tc>
          <w:tcPr>
            <w:tcW w:w="540" w:type="dxa"/>
            <w:vAlign w:val="bottom"/>
            <w:vMerge w:val="continue"/>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vMerge w:val="continue"/>
          </w:tcPr>
          <w:p>
            <w:pPr>
              <w:spacing w:after="0"/>
              <w:rPr>
                <w:sz w:val="13"/>
                <w:szCs w:val="13"/>
                <w:color w:val="auto"/>
              </w:rPr>
            </w:pPr>
          </w:p>
        </w:tc>
        <w:tc>
          <w:tcPr>
            <w:tcW w:w="740" w:type="dxa"/>
            <w:vAlign w:val="bottom"/>
            <w:vMerge w:val="continue"/>
            <w:shd w:val="clear" w:color="auto" w:fill="F2F2F2"/>
          </w:tcPr>
          <w:p>
            <w:pPr>
              <w:spacing w:after="0"/>
              <w:rPr>
                <w:sz w:val="13"/>
                <w:szCs w:val="13"/>
                <w:color w:val="auto"/>
              </w:rPr>
            </w:pPr>
          </w:p>
        </w:tc>
        <w:tc>
          <w:tcPr>
            <w:tcW w:w="560" w:type="dxa"/>
            <w:vAlign w:val="bottom"/>
            <w:vMerge w:val="continue"/>
          </w:tcPr>
          <w:p>
            <w:pPr>
              <w:spacing w:after="0"/>
              <w:rPr>
                <w:sz w:val="13"/>
                <w:szCs w:val="13"/>
                <w:color w:val="auto"/>
              </w:rPr>
            </w:pPr>
          </w:p>
        </w:tc>
        <w:tc>
          <w:tcPr>
            <w:tcW w:w="700" w:type="dxa"/>
            <w:vAlign w:val="bottom"/>
            <w:vMerge w:val="continue"/>
            <w:shd w:val="clear" w:color="auto" w:fill="F2F2F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0" w:type="dxa"/>
            <w:vAlign w:val="bottom"/>
            <w:tcBorders>
              <w:bottom w:val="single" w:sz="8" w:color="071D49"/>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6"/>
              </w:rPr>
              <w:t>&amp; Strategy</w:t>
            </w:r>
          </w:p>
        </w:tc>
        <w:tc>
          <w:tcPr>
            <w:tcW w:w="620" w:type="dxa"/>
            <w:vAlign w:val="bottom"/>
            <w:tcBorders>
              <w:bottom w:val="single" w:sz="8" w:color="F2F2F2"/>
            </w:tcBorders>
            <w:shd w:val="clear" w:color="auto" w:fill="F2F2F2"/>
          </w:tcPr>
          <w:p>
            <w:pPr>
              <w:spacing w:after="0"/>
              <w:rPr>
                <w:sz w:val="18"/>
                <w:szCs w:val="18"/>
                <w:color w:val="auto"/>
              </w:rPr>
            </w:pPr>
          </w:p>
        </w:tc>
        <w:tc>
          <w:tcPr>
            <w:tcW w:w="620" w:type="dxa"/>
            <w:vAlign w:val="bottom"/>
            <w:tcBorders>
              <w:right w:val="single" w:sz="8" w:color="F2F2F2"/>
            </w:tcBorders>
          </w:tcPr>
          <w:p>
            <w:pPr>
              <w:spacing w:after="0"/>
              <w:rPr>
                <w:sz w:val="18"/>
                <w:szCs w:val="18"/>
                <w:color w:val="auto"/>
              </w:rPr>
            </w:pPr>
          </w:p>
        </w:tc>
        <w:tc>
          <w:tcPr>
            <w:tcW w:w="680" w:type="dxa"/>
            <w:vAlign w:val="bottom"/>
            <w:tcBorders>
              <w:bottom w:val="single" w:sz="8" w:color="F2F2F2"/>
              <w:right w:val="single" w:sz="8" w:color="F2F2F2"/>
            </w:tcBorders>
            <w:shd w:val="clear" w:color="auto" w:fill="F2F2F2"/>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Borders>
              <w:bottom w:val="single" w:sz="8" w:color="F2F2F2"/>
            </w:tcBorders>
            <w:shd w:val="clear" w:color="auto" w:fill="F2F2F2"/>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Borders>
              <w:bottom w:val="single" w:sz="8" w:color="F2F2F2"/>
            </w:tcBorders>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Borders>
              <w:bottom w:val="single" w:sz="8" w:color="F2F2F2"/>
            </w:tcBorders>
            <w:shd w:val="clear" w:color="auto" w:fill="F2F2F2"/>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Borders>
              <w:bottom w:val="single" w:sz="8" w:color="F2F2F2"/>
            </w:tcBorders>
            <w:shd w:val="clear" w:color="auto" w:fill="F2F2F2"/>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Borders>
              <w:bottom w:val="single" w:sz="8" w:color="F2F2F2"/>
            </w:tcBorders>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top w:val="single" w:sz="8" w:color="071D49"/>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71D49"/>
            </w:tcBorders>
          </w:tcPr>
          <w:p>
            <w:pPr>
              <w:spacing w:after="0"/>
              <w:rPr>
                <w:sz w:val="18"/>
                <w:szCs w:val="18"/>
                <w:color w:val="auto"/>
              </w:rPr>
            </w:pPr>
          </w:p>
        </w:tc>
        <w:tc>
          <w:tcPr>
            <w:tcW w:w="740" w:type="dxa"/>
            <w:vAlign w:val="bottom"/>
            <w:tcBorders>
              <w:top w:val="single" w:sz="8" w:color="071D49"/>
            </w:tcBorders>
          </w:tcPr>
          <w:p>
            <w:pPr>
              <w:jc w:val="center"/>
              <w:ind w:right="11"/>
              <w:spacing w:after="0"/>
              <w:rPr>
                <w:sz w:val="20"/>
                <w:szCs w:val="20"/>
                <w:color w:val="auto"/>
              </w:rPr>
            </w:pPr>
            <w:r>
              <w:rPr>
                <w:rFonts w:ascii="Arial" w:cs="Arial" w:eastAsia="Arial" w:hAnsi="Arial"/>
                <w:sz w:val="12"/>
                <w:szCs w:val="12"/>
                <w:b w:val="1"/>
                <w:bCs w:val="1"/>
                <w:color w:val="auto"/>
                <w:w w:val="94"/>
              </w:rPr>
              <w:t>Science/</w:t>
            </w:r>
          </w:p>
        </w:tc>
        <w:tc>
          <w:tcPr>
            <w:tcW w:w="620" w:type="dxa"/>
            <w:vAlign w:val="bottom"/>
            <w:tcBorders>
              <w:top w:val="single" w:sz="8" w:color="071D49"/>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20" w:type="dxa"/>
            <w:vAlign w:val="bottom"/>
            <w:tcBorders>
              <w:top w:val="single" w:sz="8" w:color="071D49"/>
              <w:right w:val="single" w:sz="8" w:color="F2F2F2"/>
            </w:tcBorders>
          </w:tcPr>
          <w:p>
            <w:pPr>
              <w:spacing w:after="0"/>
              <w:rPr>
                <w:sz w:val="18"/>
                <w:szCs w:val="18"/>
                <w:color w:val="auto"/>
              </w:rPr>
            </w:pPr>
          </w:p>
        </w:tc>
        <w:tc>
          <w:tcPr>
            <w:tcW w:w="680" w:type="dxa"/>
            <w:vAlign w:val="bottom"/>
            <w:tcBorders>
              <w:top w:val="single" w:sz="8" w:color="071D49"/>
              <w:right w:val="single" w:sz="8" w:color="F2F2F2"/>
            </w:tcBorders>
            <w:shd w:val="clear" w:color="auto" w:fill="F2F2F2"/>
          </w:tcPr>
          <w:p>
            <w:pPr>
              <w:spacing w:after="0"/>
              <w:rPr>
                <w:sz w:val="18"/>
                <w:szCs w:val="18"/>
                <w:color w:val="auto"/>
              </w:rPr>
            </w:pPr>
          </w:p>
        </w:tc>
        <w:tc>
          <w:tcPr>
            <w:tcW w:w="740" w:type="dxa"/>
            <w:vAlign w:val="bottom"/>
            <w:tcBorders>
              <w:top w:val="single" w:sz="8" w:color="071D49"/>
            </w:tcBorders>
            <w:vMerge w:val="restart"/>
          </w:tcPr>
          <w:p>
            <w:pPr>
              <w:ind w:left="300"/>
              <w:spacing w:after="0"/>
              <w:rPr>
                <w:sz w:val="20"/>
                <w:szCs w:val="20"/>
                <w:color w:val="auto"/>
              </w:rPr>
            </w:pPr>
            <w:r>
              <w:rPr>
                <w:rFonts w:ascii="Times New Roman" w:cs="Times New Roman" w:eastAsia="Times New Roman" w:hAnsi="Times New Roman"/>
                <w:sz w:val="23"/>
                <w:szCs w:val="23"/>
                <w:color w:val="071D49"/>
              </w:rPr>
              <w:t>●</w:t>
            </w:r>
          </w:p>
        </w:tc>
        <w:tc>
          <w:tcPr>
            <w:tcW w:w="760" w:type="dxa"/>
            <w:vAlign w:val="bottom"/>
            <w:tcBorders>
              <w:top w:val="single" w:sz="8" w:color="071D49"/>
            </w:tcBorders>
            <w:shd w:val="clear" w:color="auto" w:fill="F2F2F2"/>
          </w:tcPr>
          <w:p>
            <w:pPr>
              <w:spacing w:after="0"/>
              <w:rPr>
                <w:sz w:val="18"/>
                <w:szCs w:val="18"/>
                <w:color w:val="auto"/>
              </w:rPr>
            </w:pPr>
          </w:p>
        </w:tc>
        <w:tc>
          <w:tcPr>
            <w:tcW w:w="80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tcBorders>
              <w:top w:val="single" w:sz="8" w:color="071D49"/>
            </w:tcBorders>
            <w:shd w:val="clear" w:color="auto" w:fill="F2F2F2"/>
          </w:tcPr>
          <w:p>
            <w:pPr>
              <w:spacing w:after="0"/>
              <w:rPr>
                <w:sz w:val="18"/>
                <w:szCs w:val="18"/>
                <w:color w:val="auto"/>
              </w:rPr>
            </w:pPr>
          </w:p>
        </w:tc>
        <w:tc>
          <w:tcPr>
            <w:tcW w:w="54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tcBorders>
              <w:top w:val="single" w:sz="8" w:color="071D49"/>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tcBorders>
              <w:top w:val="single" w:sz="8" w:color="071D49"/>
            </w:tcBorders>
          </w:tcPr>
          <w:p>
            <w:pPr>
              <w:spacing w:after="0"/>
              <w:rPr>
                <w:sz w:val="18"/>
                <w:szCs w:val="18"/>
                <w:color w:val="auto"/>
              </w:rPr>
            </w:pPr>
          </w:p>
        </w:tc>
        <w:tc>
          <w:tcPr>
            <w:tcW w:w="740" w:type="dxa"/>
            <w:vAlign w:val="bottom"/>
            <w:tcBorders>
              <w:top w:val="single" w:sz="8" w:color="071D49"/>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60" w:type="dxa"/>
            <w:vAlign w:val="bottom"/>
            <w:tcBorders>
              <w:top w:val="single" w:sz="8" w:color="071D49"/>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tcBorders>
              <w:top w:val="single" w:sz="8" w:color="071D49"/>
            </w:tcBorders>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Borders>
              <w:right w:val="single" w:sz="8" w:color="071D49"/>
            </w:tcBorders>
            <w:shd w:val="clear" w:color="auto" w:fill="071D49"/>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Research &amp;</w:t>
            </w:r>
          </w:p>
        </w:tc>
        <w:tc>
          <w:tcPr>
            <w:tcW w:w="620" w:type="dxa"/>
            <w:vAlign w:val="bottom"/>
            <w:vMerge w:val="continue"/>
            <w:shd w:val="clear" w:color="auto" w:fill="F2F2F2"/>
          </w:tcPr>
          <w:p>
            <w:pPr>
              <w:spacing w:after="0"/>
              <w:rPr>
                <w:sz w:val="11"/>
                <w:szCs w:val="11"/>
                <w:color w:val="auto"/>
              </w:rPr>
            </w:pPr>
          </w:p>
        </w:tc>
        <w:tc>
          <w:tcPr>
            <w:tcW w:w="620" w:type="dxa"/>
            <w:vAlign w:val="bottom"/>
            <w:tcBorders>
              <w:right w:val="single" w:sz="8" w:color="F2F2F2"/>
            </w:tcBorders>
          </w:tcPr>
          <w:p>
            <w:pPr>
              <w:spacing w:after="0"/>
              <w:rPr>
                <w:sz w:val="11"/>
                <w:szCs w:val="11"/>
                <w:color w:val="auto"/>
              </w:rPr>
            </w:pPr>
          </w:p>
        </w:tc>
        <w:tc>
          <w:tcPr>
            <w:tcW w:w="680" w:type="dxa"/>
            <w:vAlign w:val="bottom"/>
            <w:tcBorders>
              <w:right w:val="single" w:sz="8" w:color="F2F2F2"/>
            </w:tcBorders>
            <w:shd w:val="clear" w:color="auto" w:fill="F2F2F2"/>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shd w:val="clear" w:color="auto" w:fill="F2F2F2"/>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vMerge w:val="continue"/>
            <w:shd w:val="clear" w:color="auto" w:fill="F2F2F2"/>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continue"/>
            <w:shd w:val="clear" w:color="auto" w:fill="F2F2F2"/>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Development</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071D49"/>
              <w:right w:val="single" w:sz="8" w:color="071D49"/>
            </w:tcBorders>
            <w:shd w:val="clear" w:color="auto" w:fill="071D49"/>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071D49"/>
            </w:tcBorders>
          </w:tcPr>
          <w:p>
            <w:pPr>
              <w:spacing w:after="0"/>
              <w:rPr>
                <w:sz w:val="6"/>
                <w:szCs w:val="6"/>
                <w:color w:val="auto"/>
              </w:rPr>
            </w:pPr>
          </w:p>
        </w:tc>
        <w:tc>
          <w:tcPr>
            <w:tcW w:w="740" w:type="dxa"/>
            <w:vAlign w:val="bottom"/>
            <w:tcBorders>
              <w:bottom w:val="single" w:sz="8" w:color="071D49"/>
            </w:tcBorders>
          </w:tcPr>
          <w:p>
            <w:pPr>
              <w:spacing w:after="0"/>
              <w:rPr>
                <w:sz w:val="6"/>
                <w:szCs w:val="6"/>
                <w:color w:val="auto"/>
              </w:rPr>
            </w:pPr>
          </w:p>
        </w:tc>
        <w:tc>
          <w:tcPr>
            <w:tcW w:w="620" w:type="dxa"/>
            <w:vAlign w:val="bottom"/>
            <w:tcBorders>
              <w:bottom w:val="single" w:sz="8" w:color="071D49"/>
            </w:tcBorders>
            <w:shd w:val="clear" w:color="auto" w:fill="F2F2F2"/>
          </w:tcPr>
          <w:p>
            <w:pPr>
              <w:spacing w:after="0"/>
              <w:rPr>
                <w:sz w:val="6"/>
                <w:szCs w:val="6"/>
                <w:color w:val="auto"/>
              </w:rPr>
            </w:pPr>
          </w:p>
        </w:tc>
        <w:tc>
          <w:tcPr>
            <w:tcW w:w="620" w:type="dxa"/>
            <w:vAlign w:val="bottom"/>
            <w:tcBorders>
              <w:bottom w:val="single" w:sz="8" w:color="071D49"/>
              <w:right w:val="single" w:sz="8" w:color="F2F2F2"/>
            </w:tcBorders>
          </w:tcPr>
          <w:p>
            <w:pPr>
              <w:spacing w:after="0"/>
              <w:rPr>
                <w:sz w:val="6"/>
                <w:szCs w:val="6"/>
                <w:color w:val="auto"/>
              </w:rPr>
            </w:pPr>
          </w:p>
        </w:tc>
        <w:tc>
          <w:tcPr>
            <w:tcW w:w="680" w:type="dxa"/>
            <w:vAlign w:val="bottom"/>
            <w:tcBorders>
              <w:bottom w:val="single" w:sz="8" w:color="071D49"/>
              <w:right w:val="single" w:sz="8" w:color="F2F2F2"/>
            </w:tcBorders>
            <w:shd w:val="clear" w:color="auto" w:fill="F2F2F2"/>
          </w:tcPr>
          <w:p>
            <w:pPr>
              <w:spacing w:after="0"/>
              <w:rPr>
                <w:sz w:val="6"/>
                <w:szCs w:val="6"/>
                <w:color w:val="auto"/>
              </w:rPr>
            </w:pPr>
          </w:p>
        </w:tc>
        <w:tc>
          <w:tcPr>
            <w:tcW w:w="740" w:type="dxa"/>
            <w:vAlign w:val="bottom"/>
            <w:tcBorders>
              <w:bottom w:val="single" w:sz="8" w:color="071D49"/>
            </w:tcBorders>
          </w:tcPr>
          <w:p>
            <w:pPr>
              <w:spacing w:after="0"/>
              <w:rPr>
                <w:sz w:val="6"/>
                <w:szCs w:val="6"/>
                <w:color w:val="auto"/>
              </w:rPr>
            </w:pPr>
          </w:p>
        </w:tc>
        <w:tc>
          <w:tcPr>
            <w:tcW w:w="760" w:type="dxa"/>
            <w:vAlign w:val="bottom"/>
            <w:tcBorders>
              <w:bottom w:val="single" w:sz="8" w:color="071D49"/>
            </w:tcBorders>
            <w:shd w:val="clear" w:color="auto" w:fill="F2F2F2"/>
          </w:tcPr>
          <w:p>
            <w:pPr>
              <w:spacing w:after="0"/>
              <w:rPr>
                <w:sz w:val="6"/>
                <w:szCs w:val="6"/>
                <w:color w:val="auto"/>
              </w:rPr>
            </w:pPr>
          </w:p>
        </w:tc>
        <w:tc>
          <w:tcPr>
            <w:tcW w:w="800" w:type="dxa"/>
            <w:vAlign w:val="bottom"/>
            <w:tcBorders>
              <w:bottom w:val="single" w:sz="8" w:color="071D49"/>
            </w:tcBorders>
          </w:tcPr>
          <w:p>
            <w:pPr>
              <w:spacing w:after="0"/>
              <w:rPr>
                <w:sz w:val="6"/>
                <w:szCs w:val="6"/>
                <w:color w:val="auto"/>
              </w:rPr>
            </w:pPr>
          </w:p>
        </w:tc>
        <w:tc>
          <w:tcPr>
            <w:tcW w:w="440" w:type="dxa"/>
            <w:vAlign w:val="bottom"/>
            <w:tcBorders>
              <w:bottom w:val="single" w:sz="8" w:color="071D49"/>
            </w:tcBorders>
            <w:shd w:val="clear" w:color="auto" w:fill="F2F2F2"/>
          </w:tcPr>
          <w:p>
            <w:pPr>
              <w:spacing w:after="0"/>
              <w:rPr>
                <w:sz w:val="6"/>
                <w:szCs w:val="6"/>
                <w:color w:val="auto"/>
              </w:rPr>
            </w:pPr>
          </w:p>
        </w:tc>
        <w:tc>
          <w:tcPr>
            <w:tcW w:w="540" w:type="dxa"/>
            <w:vAlign w:val="bottom"/>
            <w:tcBorders>
              <w:bottom w:val="single" w:sz="8" w:color="071D49"/>
            </w:tcBorders>
          </w:tcPr>
          <w:p>
            <w:pPr>
              <w:spacing w:after="0"/>
              <w:rPr>
                <w:sz w:val="6"/>
                <w:szCs w:val="6"/>
                <w:color w:val="auto"/>
              </w:rPr>
            </w:pPr>
          </w:p>
        </w:tc>
        <w:tc>
          <w:tcPr>
            <w:tcW w:w="700" w:type="dxa"/>
            <w:vAlign w:val="bottom"/>
            <w:tcBorders>
              <w:bottom w:val="single" w:sz="8" w:color="071D49"/>
            </w:tcBorders>
            <w:shd w:val="clear" w:color="auto" w:fill="F2F2F2"/>
          </w:tcPr>
          <w:p>
            <w:pPr>
              <w:spacing w:after="0"/>
              <w:rPr>
                <w:sz w:val="6"/>
                <w:szCs w:val="6"/>
                <w:color w:val="auto"/>
              </w:rPr>
            </w:pPr>
          </w:p>
        </w:tc>
        <w:tc>
          <w:tcPr>
            <w:tcW w:w="440" w:type="dxa"/>
            <w:vAlign w:val="bottom"/>
            <w:tcBorders>
              <w:bottom w:val="single" w:sz="8" w:color="071D49"/>
            </w:tcBorders>
          </w:tcPr>
          <w:p>
            <w:pPr>
              <w:spacing w:after="0"/>
              <w:rPr>
                <w:sz w:val="6"/>
                <w:szCs w:val="6"/>
                <w:color w:val="auto"/>
              </w:rPr>
            </w:pPr>
          </w:p>
        </w:tc>
        <w:tc>
          <w:tcPr>
            <w:tcW w:w="740" w:type="dxa"/>
            <w:vAlign w:val="bottom"/>
            <w:tcBorders>
              <w:bottom w:val="single" w:sz="8" w:color="071D49"/>
            </w:tcBorders>
            <w:shd w:val="clear" w:color="auto" w:fill="F2F2F2"/>
          </w:tcPr>
          <w:p>
            <w:pPr>
              <w:spacing w:after="0"/>
              <w:rPr>
                <w:sz w:val="6"/>
                <w:szCs w:val="6"/>
                <w:color w:val="auto"/>
              </w:rPr>
            </w:pPr>
          </w:p>
        </w:tc>
        <w:tc>
          <w:tcPr>
            <w:tcW w:w="560" w:type="dxa"/>
            <w:vAlign w:val="bottom"/>
            <w:tcBorders>
              <w:bottom w:val="single" w:sz="8" w:color="071D49"/>
            </w:tcBorders>
          </w:tcPr>
          <w:p>
            <w:pPr>
              <w:spacing w:after="0"/>
              <w:rPr>
                <w:sz w:val="6"/>
                <w:szCs w:val="6"/>
                <w:color w:val="auto"/>
              </w:rPr>
            </w:pPr>
          </w:p>
        </w:tc>
        <w:tc>
          <w:tcPr>
            <w:tcW w:w="700" w:type="dxa"/>
            <w:vAlign w:val="bottom"/>
            <w:tcBorders>
              <w:bottom w:val="single" w:sz="8" w:color="071D49"/>
            </w:tcBorders>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7"/>
              </w:rPr>
              <w:t>Corporate</w:t>
            </w:r>
          </w:p>
        </w:tc>
        <w:tc>
          <w:tcPr>
            <w:tcW w:w="620" w:type="dxa"/>
            <w:vAlign w:val="bottom"/>
            <w:shd w:val="clear" w:color="auto" w:fill="F2F2F2"/>
          </w:tcPr>
          <w:p>
            <w:pPr>
              <w:spacing w:after="0"/>
              <w:rPr>
                <w:sz w:val="18"/>
                <w:szCs w:val="18"/>
                <w:color w:val="auto"/>
              </w:rPr>
            </w:pPr>
          </w:p>
        </w:tc>
        <w:tc>
          <w:tcPr>
            <w:tcW w:w="620" w:type="dxa"/>
            <w:vAlign w:val="bottom"/>
            <w:tcBorders>
              <w:right w:val="single" w:sz="8" w:color="F2F2F2"/>
            </w:tcBorders>
          </w:tcPr>
          <w:p>
            <w:pPr>
              <w:spacing w:after="0"/>
              <w:rPr>
                <w:sz w:val="18"/>
                <w:szCs w:val="18"/>
                <w:color w:val="auto"/>
              </w:rPr>
            </w:pPr>
          </w:p>
        </w:tc>
        <w:tc>
          <w:tcPr>
            <w:tcW w:w="680" w:type="dxa"/>
            <w:vAlign w:val="bottom"/>
            <w:tcBorders>
              <w:right w:val="single" w:sz="8" w:color="F2F2F2"/>
            </w:tcBorders>
            <w:shd w:val="clear" w:color="auto" w:fill="F2F2F2"/>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F2F2F2"/>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shd w:val="clear" w:color="auto" w:fill="F2F2F2"/>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60" w:type="dxa"/>
            <w:vAlign w:val="bottom"/>
            <w:tcBorders>
              <w:right w:val="single" w:sz="8" w:color="071D49"/>
            </w:tcBorders>
            <w:shd w:val="clear" w:color="auto" w:fill="071D49"/>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95"/>
              </w:rPr>
              <w:t>Governance &amp;</w:t>
            </w:r>
          </w:p>
        </w:tc>
        <w:tc>
          <w:tcPr>
            <w:tcW w:w="62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20" w:type="dxa"/>
            <w:vAlign w:val="bottom"/>
            <w:tcBorders>
              <w:right w:val="single" w:sz="8" w:color="F2F2F2"/>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tcPr>
          <w:p>
            <w:pPr>
              <w:spacing w:after="0"/>
              <w:rPr>
                <w:sz w:val="10"/>
                <w:szCs w:val="10"/>
                <w:color w:val="auto"/>
              </w:rPr>
            </w:pPr>
          </w:p>
        </w:tc>
        <w:tc>
          <w:tcPr>
            <w:tcW w:w="7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shd w:val="clear" w:color="auto" w:fill="F2F2F2"/>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4"/>
              </w:rPr>
              <w:t>Public</w:t>
            </w:r>
          </w:p>
        </w:tc>
        <w:tc>
          <w:tcPr>
            <w:tcW w:w="620" w:type="dxa"/>
            <w:vAlign w:val="bottom"/>
            <w:vMerge w:val="continue"/>
            <w:shd w:val="clear" w:color="auto" w:fill="F2F2F2"/>
          </w:tcPr>
          <w:p>
            <w:pPr>
              <w:spacing w:after="0"/>
              <w:rPr>
                <w:sz w:val="13"/>
                <w:szCs w:val="13"/>
                <w:color w:val="auto"/>
              </w:rPr>
            </w:pPr>
          </w:p>
        </w:tc>
        <w:tc>
          <w:tcPr>
            <w:tcW w:w="620" w:type="dxa"/>
            <w:vAlign w:val="bottom"/>
            <w:tcBorders>
              <w:right w:val="single" w:sz="8" w:color="F2F2F2"/>
            </w:tcBorders>
            <w:vMerge w:val="continue"/>
          </w:tcPr>
          <w:p>
            <w:pPr>
              <w:spacing w:after="0"/>
              <w:rPr>
                <w:sz w:val="13"/>
                <w:szCs w:val="13"/>
                <w:color w:val="auto"/>
              </w:rPr>
            </w:pPr>
          </w:p>
        </w:tc>
        <w:tc>
          <w:tcPr>
            <w:tcW w:w="680" w:type="dxa"/>
            <w:vAlign w:val="bottom"/>
            <w:tcBorders>
              <w:right w:val="single" w:sz="8" w:color="F2F2F2"/>
            </w:tcBorders>
            <w:vMerge w:val="continue"/>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vMerge w:val="continue"/>
            <w:shd w:val="clear" w:color="auto" w:fill="F2F2F2"/>
          </w:tcPr>
          <w:p>
            <w:pPr>
              <w:spacing w:after="0"/>
              <w:rPr>
                <w:sz w:val="13"/>
                <w:szCs w:val="13"/>
                <w:color w:val="auto"/>
              </w:rPr>
            </w:pPr>
          </w:p>
        </w:tc>
        <w:tc>
          <w:tcPr>
            <w:tcW w:w="800" w:type="dxa"/>
            <w:vAlign w:val="bottom"/>
            <w:vMerge w:val="continue"/>
          </w:tcPr>
          <w:p>
            <w:pPr>
              <w:spacing w:after="0"/>
              <w:rPr>
                <w:sz w:val="13"/>
                <w:szCs w:val="13"/>
                <w:color w:val="auto"/>
              </w:rPr>
            </w:pPr>
          </w:p>
        </w:tc>
        <w:tc>
          <w:tcPr>
            <w:tcW w:w="440" w:type="dxa"/>
            <w:vAlign w:val="bottom"/>
            <w:vMerge w:val="continue"/>
            <w:shd w:val="clear" w:color="auto" w:fill="F2F2F2"/>
          </w:tcPr>
          <w:p>
            <w:pPr>
              <w:spacing w:after="0"/>
              <w:rPr>
                <w:sz w:val="13"/>
                <w:szCs w:val="13"/>
                <w:color w:val="auto"/>
              </w:rPr>
            </w:pPr>
          </w:p>
        </w:tc>
        <w:tc>
          <w:tcPr>
            <w:tcW w:w="540" w:type="dxa"/>
            <w:vAlign w:val="bottom"/>
            <w:vMerge w:val="continue"/>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vMerge w:val="continue"/>
          </w:tcPr>
          <w:p>
            <w:pPr>
              <w:spacing w:after="0"/>
              <w:rPr>
                <w:sz w:val="13"/>
                <w:szCs w:val="13"/>
                <w:color w:val="auto"/>
              </w:rPr>
            </w:pPr>
          </w:p>
        </w:tc>
        <w:tc>
          <w:tcPr>
            <w:tcW w:w="740" w:type="dxa"/>
            <w:vAlign w:val="bottom"/>
            <w:vMerge w:val="continue"/>
            <w:shd w:val="clear" w:color="auto" w:fill="F2F2F2"/>
          </w:tcPr>
          <w:p>
            <w:pPr>
              <w:spacing w:after="0"/>
              <w:rPr>
                <w:sz w:val="13"/>
                <w:szCs w:val="13"/>
                <w:color w:val="auto"/>
              </w:rPr>
            </w:pPr>
          </w:p>
        </w:tc>
        <w:tc>
          <w:tcPr>
            <w:tcW w:w="560" w:type="dxa"/>
            <w:vAlign w:val="bottom"/>
            <w:vMerge w:val="continue"/>
          </w:tcPr>
          <w:p>
            <w:pPr>
              <w:spacing w:after="0"/>
              <w:rPr>
                <w:sz w:val="13"/>
                <w:szCs w:val="13"/>
                <w:color w:val="auto"/>
              </w:rPr>
            </w:pPr>
          </w:p>
        </w:tc>
        <w:tc>
          <w:tcPr>
            <w:tcW w:w="700" w:type="dxa"/>
            <w:vAlign w:val="bottom"/>
            <w:vMerge w:val="continue"/>
            <w:shd w:val="clear" w:color="auto" w:fill="F2F2F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60" w:type="dxa"/>
            <w:vAlign w:val="bottom"/>
            <w:tcBorders>
              <w:right w:val="single" w:sz="8" w:color="071D49"/>
            </w:tcBorders>
            <w:shd w:val="clear" w:color="auto" w:fill="071D49"/>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11"/>
              <w:spacing w:after="0" w:line="95" w:lineRule="exact"/>
              <w:rPr>
                <w:sz w:val="20"/>
                <w:szCs w:val="20"/>
                <w:color w:val="auto"/>
              </w:rPr>
            </w:pPr>
            <w:r>
              <w:rPr>
                <w:rFonts w:ascii="Arial" w:cs="Arial" w:eastAsia="Arial" w:hAnsi="Arial"/>
                <w:sz w:val="11"/>
                <w:szCs w:val="11"/>
                <w:b w:val="1"/>
                <w:bCs w:val="1"/>
                <w:color w:val="auto"/>
              </w:rPr>
              <w:t>Company</w:t>
            </w:r>
          </w:p>
        </w:tc>
        <w:tc>
          <w:tcPr>
            <w:tcW w:w="620" w:type="dxa"/>
            <w:vAlign w:val="bottom"/>
            <w:shd w:val="clear" w:color="auto" w:fill="F2F2F2"/>
          </w:tcPr>
          <w:p>
            <w:pPr>
              <w:spacing w:after="0"/>
              <w:rPr>
                <w:sz w:val="8"/>
                <w:szCs w:val="8"/>
                <w:color w:val="auto"/>
              </w:rPr>
            </w:pPr>
          </w:p>
        </w:tc>
        <w:tc>
          <w:tcPr>
            <w:tcW w:w="620" w:type="dxa"/>
            <w:vAlign w:val="bottom"/>
            <w:tcBorders>
              <w:right w:val="single" w:sz="8" w:color="F2F2F2"/>
            </w:tcBorders>
          </w:tcPr>
          <w:p>
            <w:pPr>
              <w:spacing w:after="0"/>
              <w:rPr>
                <w:sz w:val="8"/>
                <w:szCs w:val="8"/>
                <w:color w:val="auto"/>
              </w:rPr>
            </w:pPr>
          </w:p>
        </w:tc>
        <w:tc>
          <w:tcPr>
            <w:tcW w:w="680" w:type="dxa"/>
            <w:vAlign w:val="bottom"/>
            <w:tcBorders>
              <w:right w:val="single" w:sz="8" w:color="F2F2F2"/>
            </w:tcBorders>
            <w:shd w:val="clear" w:color="auto" w:fill="F2F2F2"/>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shd w:val="clear" w:color="auto" w:fill="F2F2F2"/>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shd w:val="clear" w:color="auto" w:fill="F2F2F2"/>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shd w:val="clear" w:color="auto" w:fill="F2F2F2"/>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shd w:val="clear" w:color="auto" w:fill="F2F2F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7"/>
              </w:rPr>
              <w:t>Board</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071D49"/>
              <w:right w:val="single" w:sz="8" w:color="071D49"/>
            </w:tcBorders>
            <w:shd w:val="clear" w:color="auto" w:fill="071D49"/>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071D49"/>
            </w:tcBorders>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620" w:type="dxa"/>
            <w:vAlign w:val="bottom"/>
            <w:tcBorders>
              <w:bottom w:val="single" w:sz="8" w:color="071D49"/>
            </w:tcBorders>
            <w:shd w:val="clear" w:color="auto" w:fill="F2F2F2"/>
          </w:tcPr>
          <w:p>
            <w:pPr>
              <w:spacing w:after="0"/>
              <w:rPr>
                <w:sz w:val="7"/>
                <w:szCs w:val="7"/>
                <w:color w:val="auto"/>
              </w:rPr>
            </w:pPr>
          </w:p>
        </w:tc>
        <w:tc>
          <w:tcPr>
            <w:tcW w:w="620" w:type="dxa"/>
            <w:vAlign w:val="bottom"/>
            <w:tcBorders>
              <w:bottom w:val="single" w:sz="8" w:color="071D49"/>
              <w:right w:val="single" w:sz="8" w:color="F2F2F2"/>
            </w:tcBorders>
          </w:tcPr>
          <w:p>
            <w:pPr>
              <w:spacing w:after="0"/>
              <w:rPr>
                <w:sz w:val="7"/>
                <w:szCs w:val="7"/>
                <w:color w:val="auto"/>
              </w:rPr>
            </w:pPr>
          </w:p>
        </w:tc>
        <w:tc>
          <w:tcPr>
            <w:tcW w:w="680" w:type="dxa"/>
            <w:vAlign w:val="bottom"/>
            <w:tcBorders>
              <w:bottom w:val="single" w:sz="8" w:color="071D49"/>
              <w:right w:val="single" w:sz="8" w:color="F2F2F2"/>
            </w:tcBorders>
            <w:shd w:val="clear" w:color="auto" w:fill="F2F2F2"/>
          </w:tcPr>
          <w:p>
            <w:pPr>
              <w:spacing w:after="0"/>
              <w:rPr>
                <w:sz w:val="7"/>
                <w:szCs w:val="7"/>
                <w:color w:val="auto"/>
              </w:rPr>
            </w:pPr>
          </w:p>
        </w:tc>
        <w:tc>
          <w:tcPr>
            <w:tcW w:w="740" w:type="dxa"/>
            <w:vAlign w:val="bottom"/>
            <w:tcBorders>
              <w:bottom w:val="single" w:sz="8" w:color="071D49"/>
            </w:tcBorders>
          </w:tcPr>
          <w:p>
            <w:pPr>
              <w:spacing w:after="0"/>
              <w:rPr>
                <w:sz w:val="7"/>
                <w:szCs w:val="7"/>
                <w:color w:val="auto"/>
              </w:rPr>
            </w:pPr>
          </w:p>
        </w:tc>
        <w:tc>
          <w:tcPr>
            <w:tcW w:w="760" w:type="dxa"/>
            <w:vAlign w:val="bottom"/>
            <w:tcBorders>
              <w:bottom w:val="single" w:sz="8" w:color="071D49"/>
            </w:tcBorders>
            <w:shd w:val="clear" w:color="auto" w:fill="F2F2F2"/>
          </w:tcPr>
          <w:p>
            <w:pPr>
              <w:spacing w:after="0"/>
              <w:rPr>
                <w:sz w:val="7"/>
                <w:szCs w:val="7"/>
                <w:color w:val="auto"/>
              </w:rPr>
            </w:pPr>
          </w:p>
        </w:tc>
        <w:tc>
          <w:tcPr>
            <w:tcW w:w="800" w:type="dxa"/>
            <w:vAlign w:val="bottom"/>
            <w:tcBorders>
              <w:bottom w:val="single" w:sz="8" w:color="071D49"/>
            </w:tcBorders>
          </w:tcPr>
          <w:p>
            <w:pPr>
              <w:spacing w:after="0"/>
              <w:rPr>
                <w:sz w:val="7"/>
                <w:szCs w:val="7"/>
                <w:color w:val="auto"/>
              </w:rPr>
            </w:pPr>
          </w:p>
        </w:tc>
        <w:tc>
          <w:tcPr>
            <w:tcW w:w="440" w:type="dxa"/>
            <w:vAlign w:val="bottom"/>
            <w:tcBorders>
              <w:bottom w:val="single" w:sz="8" w:color="071D49"/>
            </w:tcBorders>
            <w:shd w:val="clear" w:color="auto" w:fill="F2F2F2"/>
          </w:tcPr>
          <w:p>
            <w:pPr>
              <w:spacing w:after="0"/>
              <w:rPr>
                <w:sz w:val="7"/>
                <w:szCs w:val="7"/>
                <w:color w:val="auto"/>
              </w:rPr>
            </w:pPr>
          </w:p>
        </w:tc>
        <w:tc>
          <w:tcPr>
            <w:tcW w:w="540" w:type="dxa"/>
            <w:vAlign w:val="bottom"/>
            <w:tcBorders>
              <w:bottom w:val="single" w:sz="8" w:color="071D49"/>
            </w:tcBorders>
          </w:tcPr>
          <w:p>
            <w:pPr>
              <w:spacing w:after="0"/>
              <w:rPr>
                <w:sz w:val="7"/>
                <w:szCs w:val="7"/>
                <w:color w:val="auto"/>
              </w:rPr>
            </w:pPr>
          </w:p>
        </w:tc>
        <w:tc>
          <w:tcPr>
            <w:tcW w:w="700" w:type="dxa"/>
            <w:vAlign w:val="bottom"/>
            <w:tcBorders>
              <w:bottom w:val="single" w:sz="8" w:color="071D49"/>
            </w:tcBorders>
            <w:shd w:val="clear" w:color="auto" w:fill="F2F2F2"/>
          </w:tcPr>
          <w:p>
            <w:pPr>
              <w:spacing w:after="0"/>
              <w:rPr>
                <w:sz w:val="7"/>
                <w:szCs w:val="7"/>
                <w:color w:val="auto"/>
              </w:rPr>
            </w:pPr>
          </w:p>
        </w:tc>
        <w:tc>
          <w:tcPr>
            <w:tcW w:w="440" w:type="dxa"/>
            <w:vAlign w:val="bottom"/>
            <w:tcBorders>
              <w:bottom w:val="single" w:sz="8" w:color="071D49"/>
            </w:tcBorders>
          </w:tcPr>
          <w:p>
            <w:pPr>
              <w:spacing w:after="0"/>
              <w:rPr>
                <w:sz w:val="7"/>
                <w:szCs w:val="7"/>
                <w:color w:val="auto"/>
              </w:rPr>
            </w:pPr>
          </w:p>
        </w:tc>
        <w:tc>
          <w:tcPr>
            <w:tcW w:w="740" w:type="dxa"/>
            <w:vAlign w:val="bottom"/>
            <w:tcBorders>
              <w:bottom w:val="single" w:sz="8" w:color="071D49"/>
            </w:tcBorders>
            <w:shd w:val="clear" w:color="auto" w:fill="F2F2F2"/>
          </w:tcPr>
          <w:p>
            <w:pPr>
              <w:spacing w:after="0"/>
              <w:rPr>
                <w:sz w:val="7"/>
                <w:szCs w:val="7"/>
                <w:color w:val="auto"/>
              </w:rPr>
            </w:pPr>
          </w:p>
        </w:tc>
        <w:tc>
          <w:tcPr>
            <w:tcW w:w="560" w:type="dxa"/>
            <w:vAlign w:val="bottom"/>
            <w:tcBorders>
              <w:bottom w:val="single" w:sz="8" w:color="071D49"/>
            </w:tcBorders>
          </w:tcPr>
          <w:p>
            <w:pPr>
              <w:spacing w:after="0"/>
              <w:rPr>
                <w:sz w:val="7"/>
                <w:szCs w:val="7"/>
                <w:color w:val="auto"/>
              </w:rPr>
            </w:pPr>
          </w:p>
        </w:tc>
        <w:tc>
          <w:tcPr>
            <w:tcW w:w="700" w:type="dxa"/>
            <w:vAlign w:val="bottom"/>
            <w:tcBorders>
              <w:bottom w:val="single" w:sz="8" w:color="071D49"/>
            </w:tcBorders>
            <w:shd w:val="clear" w:color="auto" w:fill="F2F2F2"/>
          </w:tcPr>
          <w:p>
            <w:pPr>
              <w:spacing w:after="0"/>
              <w:rPr>
                <w:sz w:val="7"/>
                <w:szCs w:val="7"/>
                <w:color w:val="auto"/>
              </w:rPr>
            </w:pPr>
          </w:p>
        </w:tc>
        <w:tc>
          <w:tcPr>
            <w:tcW w:w="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0" w:type="dxa"/>
            <w:vAlign w:val="bottom"/>
            <w:tcBorders>
              <w:right w:val="single" w:sz="8" w:color="071D49"/>
            </w:tcBorders>
            <w:shd w:val="clear" w:color="auto" w:fill="071D49"/>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w w:val="96"/>
              </w:rPr>
              <w:t>Accounting</w:t>
            </w:r>
          </w:p>
        </w:tc>
        <w:tc>
          <w:tcPr>
            <w:tcW w:w="620" w:type="dxa"/>
            <w:vAlign w:val="bottom"/>
            <w:shd w:val="clear" w:color="auto" w:fill="F2F2F2"/>
          </w:tcPr>
          <w:p>
            <w:pPr>
              <w:spacing w:after="0"/>
              <w:rPr>
                <w:sz w:val="9"/>
                <w:szCs w:val="9"/>
                <w:color w:val="auto"/>
              </w:rPr>
            </w:pPr>
          </w:p>
        </w:tc>
        <w:tc>
          <w:tcPr>
            <w:tcW w:w="620" w:type="dxa"/>
            <w:vAlign w:val="bottom"/>
            <w:tcBorders>
              <w:right w:val="single" w:sz="8" w:color="F2F2F2"/>
            </w:tcBorders>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680" w:type="dxa"/>
            <w:vAlign w:val="bottom"/>
            <w:tcBorders>
              <w:right w:val="single" w:sz="8" w:color="F2F2F2"/>
            </w:tcBorders>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40" w:type="dxa"/>
            <w:vAlign w:val="bottom"/>
          </w:tcPr>
          <w:p>
            <w:pPr>
              <w:spacing w:after="0"/>
              <w:rPr>
                <w:sz w:val="9"/>
                <w:szCs w:val="9"/>
                <w:color w:val="auto"/>
              </w:rPr>
            </w:pPr>
          </w:p>
        </w:tc>
        <w:tc>
          <w:tcPr>
            <w:tcW w:w="760" w:type="dxa"/>
            <w:vAlign w:val="bottom"/>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8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440" w:type="dxa"/>
            <w:vAlign w:val="bottom"/>
            <w:shd w:val="clear" w:color="auto" w:fill="F2F2F2"/>
          </w:tcPr>
          <w:p>
            <w:pPr>
              <w:spacing w:after="0"/>
              <w:rPr>
                <w:sz w:val="9"/>
                <w:szCs w:val="9"/>
                <w:color w:val="auto"/>
              </w:rPr>
            </w:pPr>
          </w:p>
        </w:tc>
        <w:tc>
          <w:tcPr>
            <w:tcW w:w="5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00" w:type="dxa"/>
            <w:vAlign w:val="bottom"/>
            <w:shd w:val="clear" w:color="auto" w:fill="F2F2F2"/>
          </w:tcPr>
          <w:p>
            <w:pPr>
              <w:spacing w:after="0"/>
              <w:rPr>
                <w:sz w:val="9"/>
                <w:szCs w:val="9"/>
                <w:color w:val="auto"/>
              </w:rPr>
            </w:pPr>
          </w:p>
        </w:tc>
        <w:tc>
          <w:tcPr>
            <w:tcW w:w="4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40" w:type="dxa"/>
            <w:vAlign w:val="bottom"/>
            <w:shd w:val="clear" w:color="auto" w:fill="F2F2F2"/>
          </w:tcPr>
          <w:p>
            <w:pPr>
              <w:spacing w:after="0"/>
              <w:rPr>
                <w:sz w:val="9"/>
                <w:szCs w:val="9"/>
                <w:color w:val="auto"/>
              </w:rPr>
            </w:pPr>
          </w:p>
        </w:tc>
        <w:tc>
          <w:tcPr>
            <w:tcW w:w="5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00" w:type="dxa"/>
            <w:vAlign w:val="bottom"/>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5"/>
              </w:rPr>
              <w:t>Finance or</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071D49"/>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071D49"/>
            </w:tcBorders>
            <w:gridSpan w:val="2"/>
          </w:tcPr>
          <w:p>
            <w:pPr>
              <w:spacing w:after="0"/>
              <w:rPr>
                <w:sz w:val="18"/>
                <w:szCs w:val="18"/>
                <w:color w:val="auto"/>
              </w:rPr>
            </w:pPr>
          </w:p>
        </w:tc>
        <w:tc>
          <w:tcPr>
            <w:tcW w:w="620" w:type="dxa"/>
            <w:vAlign w:val="bottom"/>
            <w:tcBorders>
              <w:bottom w:val="single" w:sz="8" w:color="071D49"/>
            </w:tcBorders>
            <w:shd w:val="clear" w:color="auto" w:fill="F2F2F2"/>
          </w:tcPr>
          <w:p>
            <w:pPr>
              <w:spacing w:after="0"/>
              <w:rPr>
                <w:sz w:val="18"/>
                <w:szCs w:val="18"/>
                <w:color w:val="auto"/>
              </w:rPr>
            </w:pPr>
          </w:p>
        </w:tc>
        <w:tc>
          <w:tcPr>
            <w:tcW w:w="620" w:type="dxa"/>
            <w:vAlign w:val="bottom"/>
            <w:tcBorders>
              <w:bottom w:val="single" w:sz="8" w:color="071D49"/>
              <w:right w:val="single" w:sz="8" w:color="F2F2F2"/>
            </w:tcBorders>
          </w:tcPr>
          <w:p>
            <w:pPr>
              <w:spacing w:after="0"/>
              <w:rPr>
                <w:sz w:val="18"/>
                <w:szCs w:val="18"/>
                <w:color w:val="auto"/>
              </w:rPr>
            </w:pPr>
          </w:p>
        </w:tc>
        <w:tc>
          <w:tcPr>
            <w:tcW w:w="680" w:type="dxa"/>
            <w:vAlign w:val="bottom"/>
            <w:tcBorders>
              <w:bottom w:val="single" w:sz="8" w:color="071D49"/>
              <w:right w:val="single" w:sz="8" w:color="F2F2F2"/>
            </w:tcBorders>
            <w:shd w:val="clear" w:color="auto" w:fill="F2F2F2"/>
          </w:tcPr>
          <w:p>
            <w:pPr>
              <w:spacing w:after="0"/>
              <w:rPr>
                <w:sz w:val="18"/>
                <w:szCs w:val="18"/>
                <w:color w:val="auto"/>
              </w:rPr>
            </w:pPr>
          </w:p>
        </w:tc>
        <w:tc>
          <w:tcPr>
            <w:tcW w:w="740" w:type="dxa"/>
            <w:vAlign w:val="bottom"/>
            <w:tcBorders>
              <w:bottom w:val="single" w:sz="8" w:color="071D49"/>
            </w:tcBorders>
          </w:tcPr>
          <w:p>
            <w:pPr>
              <w:spacing w:after="0"/>
              <w:rPr>
                <w:sz w:val="18"/>
                <w:szCs w:val="18"/>
                <w:color w:val="auto"/>
              </w:rPr>
            </w:pPr>
          </w:p>
        </w:tc>
        <w:tc>
          <w:tcPr>
            <w:tcW w:w="760" w:type="dxa"/>
            <w:vAlign w:val="bottom"/>
            <w:tcBorders>
              <w:bottom w:val="single" w:sz="8" w:color="071D49"/>
            </w:tcBorders>
            <w:shd w:val="clear" w:color="auto" w:fill="F2F2F2"/>
          </w:tcPr>
          <w:p>
            <w:pPr>
              <w:spacing w:after="0"/>
              <w:rPr>
                <w:sz w:val="18"/>
                <w:szCs w:val="18"/>
                <w:color w:val="auto"/>
              </w:rPr>
            </w:pPr>
          </w:p>
        </w:tc>
        <w:tc>
          <w:tcPr>
            <w:tcW w:w="800" w:type="dxa"/>
            <w:vAlign w:val="bottom"/>
            <w:tcBorders>
              <w:bottom w:val="single" w:sz="8" w:color="071D49"/>
            </w:tcBorders>
          </w:tcPr>
          <w:p>
            <w:pPr>
              <w:spacing w:after="0"/>
              <w:rPr>
                <w:sz w:val="18"/>
                <w:szCs w:val="18"/>
                <w:color w:val="auto"/>
              </w:rPr>
            </w:pPr>
          </w:p>
        </w:tc>
        <w:tc>
          <w:tcPr>
            <w:tcW w:w="440" w:type="dxa"/>
            <w:vAlign w:val="bottom"/>
            <w:tcBorders>
              <w:bottom w:val="single" w:sz="8" w:color="071D49"/>
            </w:tcBorders>
            <w:shd w:val="clear" w:color="auto" w:fill="F2F2F2"/>
          </w:tcPr>
          <w:p>
            <w:pPr>
              <w:spacing w:after="0"/>
              <w:rPr>
                <w:sz w:val="18"/>
                <w:szCs w:val="18"/>
                <w:color w:val="auto"/>
              </w:rPr>
            </w:pPr>
          </w:p>
        </w:tc>
        <w:tc>
          <w:tcPr>
            <w:tcW w:w="54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440" w:type="dxa"/>
            <w:vAlign w:val="bottom"/>
            <w:tcBorders>
              <w:bottom w:val="single" w:sz="8" w:color="071D49"/>
            </w:tcBorders>
          </w:tcPr>
          <w:p>
            <w:pPr>
              <w:spacing w:after="0"/>
              <w:rPr>
                <w:sz w:val="18"/>
                <w:szCs w:val="18"/>
                <w:color w:val="auto"/>
              </w:rPr>
            </w:pPr>
          </w:p>
        </w:tc>
        <w:tc>
          <w:tcPr>
            <w:tcW w:w="740" w:type="dxa"/>
            <w:vAlign w:val="bottom"/>
            <w:tcBorders>
              <w:bottom w:val="single" w:sz="8" w:color="071D49"/>
            </w:tcBorders>
            <w:shd w:val="clear" w:color="auto" w:fill="F2F2F2"/>
          </w:tcPr>
          <w:p>
            <w:pPr>
              <w:spacing w:after="0"/>
              <w:rPr>
                <w:sz w:val="18"/>
                <w:szCs w:val="18"/>
                <w:color w:val="auto"/>
              </w:rPr>
            </w:pPr>
          </w:p>
        </w:tc>
        <w:tc>
          <w:tcPr>
            <w:tcW w:w="56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Government</w:t>
            </w:r>
          </w:p>
        </w:tc>
        <w:tc>
          <w:tcPr>
            <w:tcW w:w="62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20" w:type="dxa"/>
            <w:vAlign w:val="bottom"/>
            <w:tcBorders>
              <w:right w:val="single" w:sz="8" w:color="F2F2F2"/>
            </w:tcBorders>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68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23"/>
                <w:szCs w:val="23"/>
                <w:color w:val="071D49"/>
              </w:rPr>
              <w:t>●</w:t>
            </w:r>
          </w:p>
        </w:tc>
        <w:tc>
          <w:tcPr>
            <w:tcW w:w="76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4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shd w:val="clear" w:color="auto" w:fill="F2F2F2"/>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4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700" w:type="dxa"/>
            <w:vAlign w:val="bottom"/>
            <w:vMerge w:val="restart"/>
            <w:shd w:val="clear" w:color="auto" w:fill="F2F2F2"/>
          </w:tcPr>
          <w:p>
            <w:pPr>
              <w:jc w:val="center"/>
              <w:spacing w:after="0"/>
              <w:rPr>
                <w:sz w:val="20"/>
                <w:szCs w:val="20"/>
                <w:color w:val="auto"/>
              </w:rPr>
            </w:pPr>
            <w:r>
              <w:rPr>
                <w:rFonts w:ascii="Times New Roman" w:cs="Times New Roman" w:eastAsia="Times New Roman" w:hAnsi="Times New Roman"/>
                <w:sz w:val="23"/>
                <w:szCs w:val="23"/>
                <w:color w:val="071D4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0" w:type="dxa"/>
            <w:vAlign w:val="bottom"/>
            <w:tcBorders>
              <w:right w:val="single" w:sz="8" w:color="071D49"/>
            </w:tcBorders>
            <w:shd w:val="clear" w:color="auto" w:fill="071D49"/>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Relations &amp;</w:t>
            </w:r>
          </w:p>
        </w:tc>
        <w:tc>
          <w:tcPr>
            <w:tcW w:w="620" w:type="dxa"/>
            <w:vAlign w:val="bottom"/>
            <w:vMerge w:val="continue"/>
            <w:shd w:val="clear" w:color="auto" w:fill="F2F2F2"/>
          </w:tcPr>
          <w:p>
            <w:pPr>
              <w:spacing w:after="0"/>
              <w:rPr>
                <w:sz w:val="11"/>
                <w:szCs w:val="11"/>
                <w:color w:val="auto"/>
              </w:rPr>
            </w:pPr>
          </w:p>
        </w:tc>
        <w:tc>
          <w:tcPr>
            <w:tcW w:w="620" w:type="dxa"/>
            <w:vAlign w:val="bottom"/>
            <w:tcBorders>
              <w:right w:val="single" w:sz="8" w:color="F2F2F2"/>
            </w:tcBorders>
            <w:vMerge w:val="continue"/>
          </w:tcPr>
          <w:p>
            <w:pPr>
              <w:spacing w:after="0"/>
              <w:rPr>
                <w:sz w:val="11"/>
                <w:szCs w:val="11"/>
                <w:color w:val="auto"/>
              </w:rPr>
            </w:pPr>
          </w:p>
        </w:tc>
        <w:tc>
          <w:tcPr>
            <w:tcW w:w="680" w:type="dxa"/>
            <w:vAlign w:val="bottom"/>
            <w:tcBorders>
              <w:right w:val="single" w:sz="8" w:color="F2F2F2"/>
            </w:tcBorders>
            <w:vMerge w:val="continue"/>
            <w:shd w:val="clear" w:color="auto" w:fill="F2F2F2"/>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shd w:val="clear" w:color="auto" w:fill="F2F2F2"/>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vMerge w:val="continue"/>
            <w:shd w:val="clear" w:color="auto" w:fill="F2F2F2"/>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vMerge w:val="continue"/>
            <w:shd w:val="clear" w:color="auto" w:fill="F2F2F2"/>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shd w:val="clear" w:color="auto" w:fill="F2F2F2"/>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8"/>
              </w:rPr>
              <w:t>Regulatory</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071D49"/>
              <w:right w:val="single" w:sz="8" w:color="071D49"/>
            </w:tcBorders>
            <w:shd w:val="clear" w:color="auto" w:fill="071D49"/>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071D49"/>
            </w:tcBorders>
          </w:tcPr>
          <w:p>
            <w:pPr>
              <w:spacing w:after="0"/>
              <w:rPr>
                <w:sz w:val="6"/>
                <w:szCs w:val="6"/>
                <w:color w:val="auto"/>
              </w:rPr>
            </w:pPr>
          </w:p>
        </w:tc>
        <w:tc>
          <w:tcPr>
            <w:tcW w:w="740" w:type="dxa"/>
            <w:vAlign w:val="bottom"/>
            <w:tcBorders>
              <w:bottom w:val="single" w:sz="8" w:color="071D49"/>
            </w:tcBorders>
          </w:tcPr>
          <w:p>
            <w:pPr>
              <w:spacing w:after="0"/>
              <w:rPr>
                <w:sz w:val="6"/>
                <w:szCs w:val="6"/>
                <w:color w:val="auto"/>
              </w:rPr>
            </w:pPr>
          </w:p>
        </w:tc>
        <w:tc>
          <w:tcPr>
            <w:tcW w:w="620" w:type="dxa"/>
            <w:vAlign w:val="bottom"/>
            <w:tcBorders>
              <w:bottom w:val="single" w:sz="8" w:color="071D49"/>
            </w:tcBorders>
            <w:shd w:val="clear" w:color="auto" w:fill="F2F2F2"/>
          </w:tcPr>
          <w:p>
            <w:pPr>
              <w:spacing w:after="0"/>
              <w:rPr>
                <w:sz w:val="6"/>
                <w:szCs w:val="6"/>
                <w:color w:val="auto"/>
              </w:rPr>
            </w:pPr>
          </w:p>
        </w:tc>
        <w:tc>
          <w:tcPr>
            <w:tcW w:w="620" w:type="dxa"/>
            <w:vAlign w:val="bottom"/>
            <w:tcBorders>
              <w:bottom w:val="single" w:sz="8" w:color="071D49"/>
              <w:right w:val="single" w:sz="8" w:color="F2F2F2"/>
            </w:tcBorders>
          </w:tcPr>
          <w:p>
            <w:pPr>
              <w:spacing w:after="0"/>
              <w:rPr>
                <w:sz w:val="6"/>
                <w:szCs w:val="6"/>
                <w:color w:val="auto"/>
              </w:rPr>
            </w:pPr>
          </w:p>
        </w:tc>
        <w:tc>
          <w:tcPr>
            <w:tcW w:w="680" w:type="dxa"/>
            <w:vAlign w:val="bottom"/>
            <w:tcBorders>
              <w:bottom w:val="single" w:sz="8" w:color="071D49"/>
              <w:right w:val="single" w:sz="8" w:color="F2F2F2"/>
            </w:tcBorders>
            <w:shd w:val="clear" w:color="auto" w:fill="F2F2F2"/>
          </w:tcPr>
          <w:p>
            <w:pPr>
              <w:spacing w:after="0"/>
              <w:rPr>
                <w:sz w:val="6"/>
                <w:szCs w:val="6"/>
                <w:color w:val="auto"/>
              </w:rPr>
            </w:pPr>
          </w:p>
        </w:tc>
        <w:tc>
          <w:tcPr>
            <w:tcW w:w="740" w:type="dxa"/>
            <w:vAlign w:val="bottom"/>
            <w:tcBorders>
              <w:bottom w:val="single" w:sz="8" w:color="071D49"/>
            </w:tcBorders>
          </w:tcPr>
          <w:p>
            <w:pPr>
              <w:spacing w:after="0"/>
              <w:rPr>
                <w:sz w:val="6"/>
                <w:szCs w:val="6"/>
                <w:color w:val="auto"/>
              </w:rPr>
            </w:pPr>
          </w:p>
        </w:tc>
        <w:tc>
          <w:tcPr>
            <w:tcW w:w="760" w:type="dxa"/>
            <w:vAlign w:val="bottom"/>
            <w:tcBorders>
              <w:bottom w:val="single" w:sz="8" w:color="071D49"/>
            </w:tcBorders>
            <w:shd w:val="clear" w:color="auto" w:fill="F2F2F2"/>
          </w:tcPr>
          <w:p>
            <w:pPr>
              <w:spacing w:after="0"/>
              <w:rPr>
                <w:sz w:val="6"/>
                <w:szCs w:val="6"/>
                <w:color w:val="auto"/>
              </w:rPr>
            </w:pPr>
          </w:p>
        </w:tc>
        <w:tc>
          <w:tcPr>
            <w:tcW w:w="800" w:type="dxa"/>
            <w:vAlign w:val="bottom"/>
            <w:tcBorders>
              <w:bottom w:val="single" w:sz="8" w:color="071D49"/>
            </w:tcBorders>
          </w:tcPr>
          <w:p>
            <w:pPr>
              <w:spacing w:after="0"/>
              <w:rPr>
                <w:sz w:val="6"/>
                <w:szCs w:val="6"/>
                <w:color w:val="auto"/>
              </w:rPr>
            </w:pPr>
          </w:p>
        </w:tc>
        <w:tc>
          <w:tcPr>
            <w:tcW w:w="440" w:type="dxa"/>
            <w:vAlign w:val="bottom"/>
            <w:tcBorders>
              <w:bottom w:val="single" w:sz="8" w:color="071D49"/>
            </w:tcBorders>
            <w:shd w:val="clear" w:color="auto" w:fill="F2F2F2"/>
          </w:tcPr>
          <w:p>
            <w:pPr>
              <w:spacing w:after="0"/>
              <w:rPr>
                <w:sz w:val="6"/>
                <w:szCs w:val="6"/>
                <w:color w:val="auto"/>
              </w:rPr>
            </w:pPr>
          </w:p>
        </w:tc>
        <w:tc>
          <w:tcPr>
            <w:tcW w:w="540" w:type="dxa"/>
            <w:vAlign w:val="bottom"/>
            <w:tcBorders>
              <w:bottom w:val="single" w:sz="8" w:color="071D49"/>
            </w:tcBorders>
          </w:tcPr>
          <w:p>
            <w:pPr>
              <w:spacing w:after="0"/>
              <w:rPr>
                <w:sz w:val="6"/>
                <w:szCs w:val="6"/>
                <w:color w:val="auto"/>
              </w:rPr>
            </w:pPr>
          </w:p>
        </w:tc>
        <w:tc>
          <w:tcPr>
            <w:tcW w:w="700" w:type="dxa"/>
            <w:vAlign w:val="bottom"/>
            <w:tcBorders>
              <w:bottom w:val="single" w:sz="8" w:color="071D49"/>
            </w:tcBorders>
            <w:shd w:val="clear" w:color="auto" w:fill="F2F2F2"/>
          </w:tcPr>
          <w:p>
            <w:pPr>
              <w:spacing w:after="0"/>
              <w:rPr>
                <w:sz w:val="6"/>
                <w:szCs w:val="6"/>
                <w:color w:val="auto"/>
              </w:rPr>
            </w:pPr>
          </w:p>
        </w:tc>
        <w:tc>
          <w:tcPr>
            <w:tcW w:w="440" w:type="dxa"/>
            <w:vAlign w:val="bottom"/>
            <w:tcBorders>
              <w:bottom w:val="single" w:sz="8" w:color="071D49"/>
            </w:tcBorders>
          </w:tcPr>
          <w:p>
            <w:pPr>
              <w:spacing w:after="0"/>
              <w:rPr>
                <w:sz w:val="6"/>
                <w:szCs w:val="6"/>
                <w:color w:val="auto"/>
              </w:rPr>
            </w:pPr>
          </w:p>
        </w:tc>
        <w:tc>
          <w:tcPr>
            <w:tcW w:w="740" w:type="dxa"/>
            <w:vAlign w:val="bottom"/>
            <w:tcBorders>
              <w:bottom w:val="single" w:sz="8" w:color="071D49"/>
            </w:tcBorders>
            <w:shd w:val="clear" w:color="auto" w:fill="F2F2F2"/>
          </w:tcPr>
          <w:p>
            <w:pPr>
              <w:spacing w:after="0"/>
              <w:rPr>
                <w:sz w:val="6"/>
                <w:szCs w:val="6"/>
                <w:color w:val="auto"/>
              </w:rPr>
            </w:pPr>
          </w:p>
        </w:tc>
        <w:tc>
          <w:tcPr>
            <w:tcW w:w="560" w:type="dxa"/>
            <w:vAlign w:val="bottom"/>
            <w:tcBorders>
              <w:bottom w:val="single" w:sz="8" w:color="071D49"/>
            </w:tcBorders>
          </w:tcPr>
          <w:p>
            <w:pPr>
              <w:spacing w:after="0"/>
              <w:rPr>
                <w:sz w:val="6"/>
                <w:szCs w:val="6"/>
                <w:color w:val="auto"/>
              </w:rPr>
            </w:pPr>
          </w:p>
        </w:tc>
        <w:tc>
          <w:tcPr>
            <w:tcW w:w="700" w:type="dxa"/>
            <w:vAlign w:val="bottom"/>
            <w:tcBorders>
              <w:bottom w:val="single" w:sz="8" w:color="071D49"/>
            </w:tcBorders>
            <w:shd w:val="clear" w:color="auto" w:fill="F2F2F2"/>
          </w:tcPr>
          <w:p>
            <w:pPr>
              <w:spacing w:after="0"/>
              <w:rPr>
                <w:sz w:val="6"/>
                <w:szCs w:val="6"/>
                <w:color w:val="auto"/>
              </w:rPr>
            </w:pPr>
          </w:p>
        </w:tc>
        <w:tc>
          <w:tcPr>
            <w:tcW w:w="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60" w:type="dxa"/>
            <w:vAlign w:val="bottom"/>
            <w:tcBorders>
              <w:right w:val="single" w:sz="8" w:color="071D49"/>
            </w:tcBorders>
            <w:shd w:val="clear" w:color="auto" w:fill="071D49"/>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11"/>
              <w:spacing w:after="0" w:line="107" w:lineRule="exact"/>
              <w:rPr>
                <w:sz w:val="20"/>
                <w:szCs w:val="20"/>
                <w:color w:val="auto"/>
              </w:rPr>
            </w:pPr>
            <w:r>
              <w:rPr>
                <w:rFonts w:ascii="Arial" w:cs="Arial" w:eastAsia="Arial" w:hAnsi="Arial"/>
                <w:sz w:val="12"/>
                <w:szCs w:val="12"/>
                <w:b w:val="1"/>
                <w:bCs w:val="1"/>
                <w:color w:val="auto"/>
                <w:w w:val="95"/>
              </w:rPr>
              <w:t>Sales</w:t>
            </w:r>
          </w:p>
        </w:tc>
        <w:tc>
          <w:tcPr>
            <w:tcW w:w="620" w:type="dxa"/>
            <w:vAlign w:val="bottom"/>
            <w:shd w:val="clear" w:color="auto" w:fill="F2F2F2"/>
          </w:tcPr>
          <w:p>
            <w:pPr>
              <w:spacing w:after="0"/>
              <w:rPr>
                <w:sz w:val="9"/>
                <w:szCs w:val="9"/>
                <w:color w:val="auto"/>
              </w:rPr>
            </w:pPr>
          </w:p>
        </w:tc>
        <w:tc>
          <w:tcPr>
            <w:tcW w:w="620" w:type="dxa"/>
            <w:vAlign w:val="bottom"/>
            <w:tcBorders>
              <w:right w:val="single" w:sz="8" w:color="F2F2F2"/>
            </w:tcBorders>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680" w:type="dxa"/>
            <w:vAlign w:val="bottom"/>
            <w:tcBorders>
              <w:right w:val="single" w:sz="8" w:color="F2F2F2"/>
            </w:tcBorders>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40" w:type="dxa"/>
            <w:vAlign w:val="bottom"/>
          </w:tcPr>
          <w:p>
            <w:pPr>
              <w:ind w:left="300"/>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60" w:type="dxa"/>
            <w:vAlign w:val="bottom"/>
            <w:shd w:val="clear" w:color="auto" w:fill="F2F2F2"/>
          </w:tcPr>
          <w:p>
            <w:pPr>
              <w:spacing w:after="0"/>
              <w:rPr>
                <w:sz w:val="9"/>
                <w:szCs w:val="9"/>
                <w:color w:val="auto"/>
              </w:rPr>
            </w:pPr>
          </w:p>
        </w:tc>
        <w:tc>
          <w:tcPr>
            <w:tcW w:w="8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440" w:type="dxa"/>
            <w:vAlign w:val="bottom"/>
            <w:shd w:val="clear" w:color="auto" w:fill="F2F2F2"/>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shd w:val="clear" w:color="auto" w:fill="F2F2F2"/>
          </w:tcPr>
          <w:p>
            <w:pPr>
              <w:spacing w:after="0"/>
              <w:rPr>
                <w:sz w:val="9"/>
                <w:szCs w:val="9"/>
                <w:color w:val="auto"/>
              </w:rPr>
            </w:pPr>
          </w:p>
        </w:tc>
        <w:tc>
          <w:tcPr>
            <w:tcW w:w="4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40" w:type="dxa"/>
            <w:vAlign w:val="bottom"/>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5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700" w:type="dxa"/>
            <w:vAlign w:val="bottom"/>
            <w:shd w:val="clear" w:color="auto" w:fill="F2F2F2"/>
          </w:tcPr>
          <w:p>
            <w:pPr>
              <w:jc w:val="center"/>
              <w:spacing w:after="0" w:line="107" w:lineRule="exact"/>
              <w:rPr>
                <w:sz w:val="20"/>
                <w:szCs w:val="20"/>
                <w:color w:val="auto"/>
              </w:rPr>
            </w:pPr>
            <w:r>
              <w:rPr>
                <w:rFonts w:ascii="Times New Roman" w:cs="Times New Roman" w:eastAsia="Times New Roman" w:hAnsi="Times New Roman"/>
                <w:sz w:val="12"/>
                <w:szCs w:val="12"/>
                <w:color w:val="071D49"/>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071D49"/>
            </w:tcBorders>
            <w:shd w:val="clear" w:color="auto" w:fill="071D49"/>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1"/>
              <w:spacing w:after="0"/>
              <w:rPr>
                <w:sz w:val="20"/>
                <w:szCs w:val="20"/>
                <w:color w:val="auto"/>
              </w:rPr>
            </w:pPr>
            <w:r>
              <w:rPr>
                <w:rFonts w:ascii="Arial" w:cs="Arial" w:eastAsia="Arial" w:hAnsi="Arial"/>
                <w:sz w:val="12"/>
                <w:szCs w:val="12"/>
                <w:b w:val="1"/>
                <w:bCs w:val="1"/>
                <w:color w:val="auto"/>
                <w:w w:val="96"/>
              </w:rPr>
              <w:t>Marketing/</w:t>
            </w:r>
          </w:p>
        </w:tc>
        <w:tc>
          <w:tcPr>
            <w:tcW w:w="620" w:type="dxa"/>
            <w:vAlign w:val="bottom"/>
            <w:shd w:val="clear" w:color="auto" w:fill="F2F2F2"/>
          </w:tcPr>
          <w:p>
            <w:pPr>
              <w:spacing w:after="0"/>
              <w:rPr>
                <w:sz w:val="13"/>
                <w:szCs w:val="13"/>
                <w:color w:val="auto"/>
              </w:rPr>
            </w:pPr>
          </w:p>
        </w:tc>
        <w:tc>
          <w:tcPr>
            <w:tcW w:w="620" w:type="dxa"/>
            <w:vAlign w:val="bottom"/>
            <w:tcBorders>
              <w:right w:val="single" w:sz="8" w:color="F2F2F2"/>
            </w:tcBorders>
          </w:tcPr>
          <w:p>
            <w:pPr>
              <w:spacing w:after="0"/>
              <w:rPr>
                <w:sz w:val="13"/>
                <w:szCs w:val="13"/>
                <w:color w:val="auto"/>
              </w:rPr>
            </w:pPr>
          </w:p>
        </w:tc>
        <w:tc>
          <w:tcPr>
            <w:tcW w:w="680" w:type="dxa"/>
            <w:vAlign w:val="bottom"/>
            <w:tcBorders>
              <w:right w:val="single" w:sz="8" w:color="F2F2F2"/>
            </w:tcBorders>
            <w:shd w:val="clear" w:color="auto" w:fill="F2F2F2"/>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shd w:val="clear" w:color="auto" w:fill="F2F2F2"/>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shd w:val="clear" w:color="auto" w:fill="F2F2F2"/>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shd w:val="clear" w:color="auto" w:fill="F2F2F2"/>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0" w:type="dxa"/>
            <w:vAlign w:val="bottom"/>
            <w:tcBorders>
              <w:bottom w:val="single" w:sz="8" w:color="071D49"/>
              <w:right w:val="single" w:sz="8" w:color="071D49"/>
            </w:tcBorders>
            <w:shd w:val="clear" w:color="auto" w:fill="071D49"/>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bottom w:val="single" w:sz="8" w:color="071D49"/>
            </w:tcBorders>
            <w:gridSpan w:val="2"/>
          </w:tcPr>
          <w:p>
            <w:pPr>
              <w:spacing w:after="0"/>
              <w:rPr>
                <w:sz w:val="18"/>
                <w:szCs w:val="18"/>
                <w:color w:val="auto"/>
              </w:rPr>
            </w:pPr>
          </w:p>
        </w:tc>
        <w:tc>
          <w:tcPr>
            <w:tcW w:w="620" w:type="dxa"/>
            <w:vAlign w:val="bottom"/>
            <w:tcBorders>
              <w:bottom w:val="single" w:sz="8" w:color="071D49"/>
            </w:tcBorders>
            <w:shd w:val="clear" w:color="auto" w:fill="F2F2F2"/>
          </w:tcPr>
          <w:p>
            <w:pPr>
              <w:spacing w:after="0"/>
              <w:rPr>
                <w:sz w:val="18"/>
                <w:szCs w:val="18"/>
                <w:color w:val="auto"/>
              </w:rPr>
            </w:pPr>
          </w:p>
        </w:tc>
        <w:tc>
          <w:tcPr>
            <w:tcW w:w="620" w:type="dxa"/>
            <w:vAlign w:val="bottom"/>
            <w:tcBorders>
              <w:bottom w:val="single" w:sz="8" w:color="071D49"/>
              <w:right w:val="single" w:sz="8" w:color="F2F2F2"/>
            </w:tcBorders>
          </w:tcPr>
          <w:p>
            <w:pPr>
              <w:spacing w:after="0"/>
              <w:rPr>
                <w:sz w:val="18"/>
                <w:szCs w:val="18"/>
                <w:color w:val="auto"/>
              </w:rPr>
            </w:pPr>
          </w:p>
        </w:tc>
        <w:tc>
          <w:tcPr>
            <w:tcW w:w="680" w:type="dxa"/>
            <w:vAlign w:val="bottom"/>
            <w:tcBorders>
              <w:bottom w:val="single" w:sz="8" w:color="071D49"/>
              <w:right w:val="single" w:sz="8" w:color="F2F2F2"/>
            </w:tcBorders>
            <w:shd w:val="clear" w:color="auto" w:fill="F2F2F2"/>
          </w:tcPr>
          <w:p>
            <w:pPr>
              <w:spacing w:after="0"/>
              <w:rPr>
                <w:sz w:val="18"/>
                <w:szCs w:val="18"/>
                <w:color w:val="auto"/>
              </w:rPr>
            </w:pPr>
          </w:p>
        </w:tc>
        <w:tc>
          <w:tcPr>
            <w:tcW w:w="740" w:type="dxa"/>
            <w:vAlign w:val="bottom"/>
            <w:tcBorders>
              <w:bottom w:val="single" w:sz="8" w:color="071D49"/>
            </w:tcBorders>
          </w:tcPr>
          <w:p>
            <w:pPr>
              <w:spacing w:after="0"/>
              <w:rPr>
                <w:sz w:val="18"/>
                <w:szCs w:val="18"/>
                <w:color w:val="auto"/>
              </w:rPr>
            </w:pPr>
          </w:p>
        </w:tc>
        <w:tc>
          <w:tcPr>
            <w:tcW w:w="760" w:type="dxa"/>
            <w:vAlign w:val="bottom"/>
            <w:tcBorders>
              <w:bottom w:val="single" w:sz="8" w:color="071D49"/>
            </w:tcBorders>
            <w:shd w:val="clear" w:color="auto" w:fill="F2F2F2"/>
          </w:tcPr>
          <w:p>
            <w:pPr>
              <w:spacing w:after="0"/>
              <w:rPr>
                <w:sz w:val="18"/>
                <w:szCs w:val="18"/>
                <w:color w:val="auto"/>
              </w:rPr>
            </w:pPr>
          </w:p>
        </w:tc>
        <w:tc>
          <w:tcPr>
            <w:tcW w:w="800" w:type="dxa"/>
            <w:vAlign w:val="bottom"/>
            <w:tcBorders>
              <w:bottom w:val="single" w:sz="8" w:color="071D49"/>
            </w:tcBorders>
          </w:tcPr>
          <w:p>
            <w:pPr>
              <w:spacing w:after="0"/>
              <w:rPr>
                <w:sz w:val="18"/>
                <w:szCs w:val="18"/>
                <w:color w:val="auto"/>
              </w:rPr>
            </w:pPr>
          </w:p>
        </w:tc>
        <w:tc>
          <w:tcPr>
            <w:tcW w:w="440" w:type="dxa"/>
            <w:vAlign w:val="bottom"/>
            <w:tcBorders>
              <w:bottom w:val="single" w:sz="8" w:color="071D49"/>
            </w:tcBorders>
            <w:shd w:val="clear" w:color="auto" w:fill="F2F2F2"/>
          </w:tcPr>
          <w:p>
            <w:pPr>
              <w:spacing w:after="0"/>
              <w:rPr>
                <w:sz w:val="18"/>
                <w:szCs w:val="18"/>
                <w:color w:val="auto"/>
              </w:rPr>
            </w:pPr>
          </w:p>
        </w:tc>
        <w:tc>
          <w:tcPr>
            <w:tcW w:w="54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440" w:type="dxa"/>
            <w:vAlign w:val="bottom"/>
            <w:tcBorders>
              <w:bottom w:val="single" w:sz="8" w:color="071D49"/>
            </w:tcBorders>
          </w:tcPr>
          <w:p>
            <w:pPr>
              <w:spacing w:after="0"/>
              <w:rPr>
                <w:sz w:val="18"/>
                <w:szCs w:val="18"/>
                <w:color w:val="auto"/>
              </w:rPr>
            </w:pPr>
          </w:p>
        </w:tc>
        <w:tc>
          <w:tcPr>
            <w:tcW w:w="740" w:type="dxa"/>
            <w:vAlign w:val="bottom"/>
            <w:tcBorders>
              <w:bottom w:val="single" w:sz="8" w:color="071D49"/>
            </w:tcBorders>
            <w:shd w:val="clear" w:color="auto" w:fill="F2F2F2"/>
          </w:tcPr>
          <w:p>
            <w:pPr>
              <w:spacing w:after="0"/>
              <w:rPr>
                <w:sz w:val="18"/>
                <w:szCs w:val="18"/>
                <w:color w:val="auto"/>
              </w:rPr>
            </w:pPr>
          </w:p>
        </w:tc>
        <w:tc>
          <w:tcPr>
            <w:tcW w:w="560" w:type="dxa"/>
            <w:vAlign w:val="bottom"/>
            <w:tcBorders>
              <w:bottom w:val="single" w:sz="8" w:color="071D49"/>
            </w:tcBorders>
          </w:tcPr>
          <w:p>
            <w:pPr>
              <w:spacing w:after="0"/>
              <w:rPr>
                <w:sz w:val="18"/>
                <w:szCs w:val="18"/>
                <w:color w:val="auto"/>
              </w:rPr>
            </w:pPr>
          </w:p>
        </w:tc>
        <w:tc>
          <w:tcPr>
            <w:tcW w:w="700" w:type="dxa"/>
            <w:vAlign w:val="bottom"/>
            <w:tcBorders>
              <w:bottom w:val="single" w:sz="8" w:color="071D49"/>
            </w:tcBorders>
            <w:shd w:val="clear" w:color="auto" w:fill="F2F2F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6"/>
        </w:trPr>
        <w:tc>
          <w:tcPr>
            <w:tcW w:w="60" w:type="dxa"/>
            <w:vAlign w:val="bottom"/>
          </w:tcPr>
          <w:p>
            <w:pPr>
              <w:spacing w:after="0"/>
              <w:rPr>
                <w:sz w:val="24"/>
                <w:szCs w:val="24"/>
                <w:color w:val="auto"/>
              </w:rPr>
            </w:pPr>
          </w:p>
        </w:tc>
        <w:tc>
          <w:tcPr>
            <w:tcW w:w="880" w:type="dxa"/>
            <w:vAlign w:val="bottom"/>
            <w:gridSpan w:val="3"/>
          </w:tcPr>
          <w:p>
            <w:pPr>
              <w:jc w:val="right"/>
              <w:ind w:right="651"/>
              <w:spacing w:after="0"/>
              <w:rPr>
                <w:sz w:val="20"/>
                <w:szCs w:val="20"/>
                <w:color w:val="auto"/>
              </w:rPr>
            </w:pPr>
            <w:r>
              <w:rPr>
                <w:rFonts w:ascii="Arial" w:cs="Arial" w:eastAsia="Arial" w:hAnsi="Arial"/>
                <w:sz w:val="17"/>
                <w:szCs w:val="17"/>
                <w:color w:val="auto"/>
                <w:w w:val="73"/>
              </w:rPr>
              <w:t>22</w:t>
            </w:r>
          </w:p>
        </w:tc>
        <w:tc>
          <w:tcPr>
            <w:tcW w:w="6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25"/>
                <w:szCs w:val="25"/>
                <w:i w:val="1"/>
                <w:iCs w:val="1"/>
                <w:color w:val="auto"/>
              </w:rPr>
              <w:t>|</w:t>
            </w:r>
          </w:p>
        </w:tc>
        <w:tc>
          <w:tcPr>
            <w:tcW w:w="2180" w:type="dxa"/>
            <w:vAlign w:val="bottom"/>
            <w:gridSpan w:val="3"/>
          </w:tcPr>
          <w:p>
            <w:pPr>
              <w:ind w:left="20"/>
              <w:spacing w:after="0"/>
              <w:rPr>
                <w:sz w:val="20"/>
                <w:szCs w:val="20"/>
                <w:color w:val="auto"/>
              </w:rPr>
            </w:pPr>
            <w:r>
              <w:rPr>
                <w:rFonts w:ascii="Arial" w:cs="Arial" w:eastAsia="Arial" w:hAnsi="Arial"/>
                <w:sz w:val="17"/>
                <w:szCs w:val="17"/>
                <w:i w:val="1"/>
                <w:iCs w:val="1"/>
                <w:color w:val="auto"/>
              </w:rPr>
              <w:t>2024 Proxy Statement</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-508000</wp:posOffset>
            </wp:positionV>
            <wp:extent cx="810260" cy="151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340"/>
          </w:cols>
          <w:pgMar w:left="1280" w:top="486" w:right="1279" w:bottom="1440" w:gutter="0" w:footer="0" w:header="0"/>
        </w:sectPr>
      </w:pPr>
    </w:p>
    <w:bookmarkStart w:id="25" w:name="page26"/>
    <w:bookmarkEnd w:id="2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5140"/>
        <w:spacing w:after="0"/>
        <w:rPr>
          <w:sz w:val="20"/>
          <w:szCs w:val="20"/>
          <w:color w:val="auto"/>
        </w:rPr>
      </w:pPr>
      <w:r>
        <w:rPr>
          <w:rFonts w:ascii="Arial" w:cs="Arial" w:eastAsia="Arial" w:hAnsi="Arial"/>
          <w:sz w:val="16"/>
          <w:szCs w:val="16"/>
          <w:color w:val="808080"/>
        </w:rPr>
        <w:t>THE BOARD OF DIRECTORS AND ITS COMMITTEES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30"/>
          <w:szCs w:val="30"/>
          <w:color w:val="auto"/>
        </w:rPr>
        <w:t>Management and Independent Director Succession</w:t>
      </w:r>
    </w:p>
    <w:p>
      <w:pPr>
        <w:spacing w:after="0" w:line="140"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Management succession planning has long been a key responsibility and area of focus for the board. The full board regularly reviews both short- and long-term succession plans for the Chief Executive Officer (CEO) and other executive officers. This review, for which the lead independent director takes a leadership role, includes a discussion of the skillset needed for these executive roles, the timeline for any potential executive transitions, the leadership pipeline and their development plans, and the diversity of the leadership pipeline. Directors regularly interact with succession candidates.</w:t>
      </w:r>
    </w:p>
    <w:p>
      <w:pPr>
        <w:spacing w:after="0" w:line="69" w:lineRule="exact"/>
        <w:rPr>
          <w:sz w:val="20"/>
          <w:szCs w:val="20"/>
          <w:color w:val="auto"/>
        </w:rPr>
      </w:pPr>
    </w:p>
    <w:p>
      <w:pPr>
        <w:ind w:left="20" w:right="300"/>
        <w:spacing w:after="0"/>
        <w:rPr>
          <w:sz w:val="20"/>
          <w:szCs w:val="20"/>
          <w:color w:val="auto"/>
        </w:rPr>
      </w:pPr>
      <w:r>
        <w:rPr>
          <w:rFonts w:ascii="Arial" w:cs="Arial" w:eastAsia="Arial" w:hAnsi="Arial"/>
          <w:sz w:val="17"/>
          <w:szCs w:val="17"/>
          <w:color w:val="auto"/>
        </w:rPr>
        <w:t>As announced on February 20, 2024, the board unanimously selected Robert A. Michael to succeed Mr. Gonzalez as the company’s CEO. Mr. Gonzalez, who has served as CEO since the company’s formation in 2013, will retire from the role of CEO and become Executive Chairman of the Board of Directors, effective July 1, 2024. The Board also appointed Mr. Michael as a member of the Board of Directors as a Class II director, effective July 1, 2024.</w:t>
      </w:r>
    </w:p>
    <w:p>
      <w:pPr>
        <w:spacing w:after="0" w:line="69"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This succession event was the result of robust planning and discussion by the full board. As part of these discussions, the board also assessed its current and future leadership structure. The board believes that having Mr. Gonzalez serve as Executive Chairman during this leadership transition will facilitate a smooth transition for the company. Mr. Gonzalez’s role as CEO since the company’s inception provides valuable insight into the company during this transition. Numerous other factors support the board’s decision to ask Mr. Gonzalez to serve as Executive Chairman, such as:</w:t>
      </w:r>
    </w:p>
    <w:p>
      <w:pPr>
        <w:spacing w:after="0" w:line="69" w:lineRule="exact"/>
        <w:rPr>
          <w:sz w:val="20"/>
          <w:szCs w:val="20"/>
          <w:color w:val="auto"/>
        </w:rPr>
      </w:pPr>
    </w:p>
    <w:p>
      <w:pPr>
        <w:ind w:left="640" w:right="60" w:hanging="303"/>
        <w:spacing w:after="0" w:line="292" w:lineRule="auto"/>
        <w:tabs>
          <w:tab w:leader="none" w:pos="64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performance of the company under Mr. Gonzalez’s leadership</w:t>
      </w:r>
      <w:r>
        <w:rPr>
          <w:rFonts w:ascii="Arial" w:cs="Arial" w:eastAsia="Arial" w:hAnsi="Arial"/>
          <w:sz w:val="16"/>
          <w:szCs w:val="16"/>
          <w:color w:val="auto"/>
        </w:rPr>
        <w:t>. As discussed elsewhere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leadership of Mr. Gonzalez, AbbVie has established an outstanding track record of performance.</w:t>
      </w:r>
    </w:p>
    <w:p>
      <w:pPr>
        <w:spacing w:after="0" w:line="28" w:lineRule="exact"/>
        <w:rPr>
          <w:rFonts w:ascii="Times New Roman" w:cs="Times New Roman" w:eastAsia="Times New Roman" w:hAnsi="Times New Roman"/>
          <w:sz w:val="16"/>
          <w:szCs w:val="16"/>
          <w:color w:val="auto"/>
        </w:rPr>
      </w:pPr>
    </w:p>
    <w:p>
      <w:pPr>
        <w:ind w:left="640" w:right="100" w:hanging="303"/>
        <w:spacing w:after="0" w:line="244" w:lineRule="auto"/>
        <w:tabs>
          <w:tab w:leader="none" w:pos="6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The performance and evaluation of Mr. Gonzalez in his roles as CEO and Chair, including stockholder votes in favor of Mr. Gonzalez’s re-election</w:t>
      </w:r>
      <w:r>
        <w:rPr>
          <w:rFonts w:ascii="Arial" w:cs="Arial" w:eastAsia="Arial" w:hAnsi="Arial"/>
          <w:sz w:val="17"/>
          <w:szCs w:val="17"/>
          <w:color w:val="auto"/>
        </w:rPr>
        <w:t>. When he was most recently up for re-election, Mr. Gonzalez received nearly 94% of</w:t>
      </w:r>
      <w:r>
        <w:rPr>
          <w:rFonts w:ascii="Arial" w:cs="Arial" w:eastAsia="Arial" w:hAnsi="Arial"/>
          <w:sz w:val="17"/>
          <w:szCs w:val="17"/>
          <w:i w:val="1"/>
          <w:iCs w:val="1"/>
          <w:color w:val="auto"/>
        </w:rPr>
        <w:t xml:space="preserve"> </w:t>
      </w:r>
      <w:r>
        <w:rPr>
          <w:rFonts w:ascii="Arial" w:cs="Arial" w:eastAsia="Arial" w:hAnsi="Arial"/>
          <w:sz w:val="17"/>
          <w:szCs w:val="17"/>
          <w:color w:val="auto"/>
        </w:rPr>
        <w:t>votes in favor.</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AbbVie will continue to utilize a lead independent director following the CEO succession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5887085" cy="2423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87085" cy="2423160"/>
                    </a:xfrm>
                    <a:prstGeom prst="rect">
                      <a:avLst/>
                    </a:prstGeom>
                    <a:noFill/>
                  </pic:spPr>
                </pic:pic>
              </a:graphicData>
            </a:graphic>
          </wp:anchor>
        </w:drawing>
      </w:r>
    </w:p>
    <w:p>
      <w:pPr>
        <w:spacing w:after="0" w:line="147" w:lineRule="exact"/>
        <w:rPr>
          <w:sz w:val="20"/>
          <w:szCs w:val="20"/>
          <w:color w:val="auto"/>
        </w:rPr>
      </w:pPr>
    </w:p>
    <w:p>
      <w:pPr>
        <w:ind w:left="100" w:right="700"/>
        <w:spacing w:after="0" w:line="25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Lead Independent Director</w:t>
      </w:r>
      <w:r>
        <w:rPr>
          <w:rFonts w:ascii="Arial" w:cs="Arial" w:eastAsia="Arial" w:hAnsi="Arial"/>
          <w:sz w:val="17"/>
          <w:szCs w:val="17"/>
          <w:color w:val="auto"/>
        </w:rPr>
        <w:t xml:space="preserve"> has robust and well-defined responsibilities that provide our board with significant leadership and oversight:</w:t>
      </w:r>
    </w:p>
    <w:p>
      <w:pPr>
        <w:sectPr>
          <w:pgSz w:w="11900" w:h="16838" w:orient="portrait"/>
          <w:cols w:equalWidth="0" w:num="1">
            <w:col w:w="9280"/>
          </w:cols>
          <w:pgMar w:left="1300" w:top="486" w:right="1319" w:bottom="1440" w:gutter="0" w:footer="0" w:header="0"/>
        </w:sectPr>
      </w:pPr>
    </w:p>
    <w:p>
      <w:pPr>
        <w:spacing w:after="0" w:line="31" w:lineRule="exact"/>
        <w:rPr>
          <w:sz w:val="20"/>
          <w:szCs w:val="20"/>
          <w:color w:val="auto"/>
        </w:rPr>
      </w:pPr>
    </w:p>
    <w:p>
      <w:pPr>
        <w:ind w:left="380" w:hanging="278"/>
        <w:spacing w:after="0"/>
        <w:tabs>
          <w:tab w:leader="none" w:pos="380"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leads the CEO succession planning process</w:t>
      </w:r>
    </w:p>
    <w:p>
      <w:pPr>
        <w:spacing w:after="0" w:line="47" w:lineRule="exact"/>
        <w:rPr>
          <w:rFonts w:ascii="MS PGothic" w:cs="MS PGothic" w:eastAsia="MS PGothic" w:hAnsi="MS PGothic"/>
          <w:sz w:val="17"/>
          <w:szCs w:val="17"/>
          <w:color w:val="071D49"/>
        </w:rPr>
      </w:pPr>
    </w:p>
    <w:p>
      <w:pPr>
        <w:ind w:left="360" w:right="40" w:hanging="258"/>
        <w:spacing w:after="0" w:line="242" w:lineRule="auto"/>
        <w:tabs>
          <w:tab w:leader="none" w:pos="372"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facilitates communication with the board and presides over regularly conducted executive sessions of the independent directors or sessions where the chair of the board is not present</w:t>
      </w:r>
    </w:p>
    <w:p>
      <w:pPr>
        <w:spacing w:after="0" w:line="2" w:lineRule="exact"/>
        <w:rPr>
          <w:rFonts w:ascii="MS PGothic" w:cs="MS PGothic" w:eastAsia="MS PGothic" w:hAnsi="MS PGothic"/>
          <w:sz w:val="17"/>
          <w:szCs w:val="17"/>
          <w:color w:val="071D49"/>
        </w:rPr>
      </w:pPr>
    </w:p>
    <w:p>
      <w:pPr>
        <w:ind w:left="360" w:hanging="258"/>
        <w:spacing w:after="0" w:line="245" w:lineRule="auto"/>
        <w:tabs>
          <w:tab w:leader="none" w:pos="372"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reviews and approves matters, such as schedule sufficiency, and, where appropriate, information provided to other board members</w:t>
      </w:r>
    </w:p>
    <w:p>
      <w:pPr>
        <w:spacing w:after="0" w:line="6" w:lineRule="exact"/>
        <w:rPr>
          <w:rFonts w:ascii="MS PGothic" w:cs="MS PGothic" w:eastAsia="MS PGothic" w:hAnsi="MS PGothic"/>
          <w:sz w:val="17"/>
          <w:szCs w:val="17"/>
          <w:color w:val="071D49"/>
        </w:rPr>
      </w:pPr>
    </w:p>
    <w:p>
      <w:pPr>
        <w:ind w:left="360" w:right="20" w:hanging="258"/>
        <w:spacing w:after="0" w:line="258" w:lineRule="auto"/>
        <w:tabs>
          <w:tab w:leader="none" w:pos="372"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serves as the liaison between the chair of the board and the independent directors</w:t>
      </w:r>
    </w:p>
    <w:p>
      <w:pPr>
        <w:spacing w:after="0" w:line="5" w:lineRule="exact"/>
        <w:rPr>
          <w:rFonts w:ascii="MS PGothic" w:cs="MS PGothic" w:eastAsia="MS PGothic" w:hAnsi="MS PGothic"/>
          <w:sz w:val="17"/>
          <w:szCs w:val="17"/>
          <w:color w:val="071D49"/>
        </w:rPr>
      </w:pPr>
    </w:p>
    <w:p>
      <w:pPr>
        <w:ind w:left="360" w:right="300" w:hanging="258"/>
        <w:spacing w:after="0" w:line="258" w:lineRule="auto"/>
        <w:tabs>
          <w:tab w:leader="none" w:pos="372"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has the authority to call meetings of the independent directors</w:t>
      </w:r>
    </w:p>
    <w:p>
      <w:pPr>
        <w:ind w:left="380" w:hanging="278"/>
        <w:spacing w:after="0"/>
        <w:tabs>
          <w:tab w:leader="none" w:pos="380"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leads the board’s evaluation of the CEO</w:t>
      </w:r>
    </w:p>
    <w:p>
      <w:pPr>
        <w:spacing w:after="0" w:line="39" w:lineRule="exact"/>
        <w:rPr>
          <w:rFonts w:ascii="MS PGothic" w:cs="MS PGothic" w:eastAsia="MS PGothic" w:hAnsi="MS PGothic"/>
          <w:sz w:val="17"/>
          <w:szCs w:val="17"/>
          <w:color w:val="071D49"/>
        </w:rPr>
      </w:pPr>
    </w:p>
    <w:p>
      <w:pPr>
        <w:ind w:left="380" w:hanging="278"/>
        <w:spacing w:after="0"/>
        <w:tabs>
          <w:tab w:leader="none" w:pos="380" w:val="left"/>
        </w:tabs>
        <w:numPr>
          <w:ilvl w:val="0"/>
          <w:numId w:val="46"/>
        </w:numPr>
        <w:rPr>
          <w:rFonts w:ascii="MS PGothic" w:cs="MS PGothic" w:eastAsia="MS PGothic" w:hAnsi="MS PGothic"/>
          <w:sz w:val="17"/>
          <w:szCs w:val="17"/>
          <w:color w:val="071D49"/>
        </w:rPr>
      </w:pPr>
      <w:r>
        <w:rPr>
          <w:rFonts w:ascii="Arial" w:cs="Arial" w:eastAsia="Arial" w:hAnsi="Arial"/>
          <w:sz w:val="17"/>
          <w:szCs w:val="17"/>
          <w:color w:val="auto"/>
        </w:rPr>
        <w:t>leads the annual board and committee evaluation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69" w:hanging="269"/>
        <w:spacing w:after="0"/>
        <w:tabs>
          <w:tab w:leader="none" w:pos="269" w:val="left"/>
        </w:tabs>
        <w:numPr>
          <w:ilvl w:val="0"/>
          <w:numId w:val="47"/>
        </w:numPr>
        <w:rPr>
          <w:rFonts w:ascii="MS PGothic" w:cs="MS PGothic" w:eastAsia="MS PGothic" w:hAnsi="MS PGothic"/>
          <w:sz w:val="17"/>
          <w:szCs w:val="17"/>
          <w:color w:val="071D49"/>
        </w:rPr>
      </w:pPr>
      <w:r>
        <w:rPr>
          <w:rFonts w:ascii="Arial" w:cs="Arial" w:eastAsia="Arial" w:hAnsi="Arial"/>
          <w:sz w:val="17"/>
          <w:szCs w:val="17"/>
          <w:color w:val="auto"/>
        </w:rPr>
        <w:t>reviews and guides agenda items for board meetings</w:t>
      </w:r>
    </w:p>
    <w:p>
      <w:pPr>
        <w:spacing w:after="0" w:line="47" w:lineRule="exact"/>
        <w:rPr>
          <w:rFonts w:ascii="MS PGothic" w:cs="MS PGothic" w:eastAsia="MS PGothic" w:hAnsi="MS PGothic"/>
          <w:sz w:val="17"/>
          <w:szCs w:val="17"/>
          <w:color w:val="071D49"/>
        </w:rPr>
      </w:pPr>
    </w:p>
    <w:p>
      <w:pPr>
        <w:ind w:left="269" w:right="280" w:hanging="269"/>
        <w:spacing w:after="0" w:line="247" w:lineRule="auto"/>
        <w:tabs>
          <w:tab w:leader="none" w:pos="281" w:val="left"/>
        </w:tabs>
        <w:numPr>
          <w:ilvl w:val="0"/>
          <w:numId w:val="47"/>
        </w:numPr>
        <w:rPr>
          <w:rFonts w:ascii="MS PGothic" w:cs="MS PGothic" w:eastAsia="MS PGothic" w:hAnsi="MS PGothic"/>
          <w:sz w:val="17"/>
          <w:szCs w:val="17"/>
          <w:color w:val="071D49"/>
        </w:rPr>
      </w:pPr>
      <w:r>
        <w:rPr>
          <w:rFonts w:ascii="Arial" w:cs="Arial" w:eastAsia="Arial" w:hAnsi="Arial"/>
          <w:sz w:val="17"/>
          <w:szCs w:val="17"/>
          <w:color w:val="auto"/>
        </w:rPr>
        <w:t>encourages effective director participation by fostering an environment of open dialogue and constructive feedback among independent directors</w:t>
      </w:r>
    </w:p>
    <w:p>
      <w:pPr>
        <w:ind w:left="269" w:right="520" w:hanging="269"/>
        <w:spacing w:after="0" w:line="253" w:lineRule="auto"/>
        <w:tabs>
          <w:tab w:leader="none" w:pos="281" w:val="left"/>
        </w:tabs>
        <w:numPr>
          <w:ilvl w:val="0"/>
          <w:numId w:val="47"/>
        </w:numPr>
        <w:rPr>
          <w:rFonts w:ascii="MS PGothic" w:cs="MS PGothic" w:eastAsia="MS PGothic" w:hAnsi="MS PGothic"/>
          <w:sz w:val="17"/>
          <w:szCs w:val="17"/>
          <w:color w:val="071D49"/>
        </w:rPr>
      </w:pPr>
      <w:r>
        <w:rPr>
          <w:rFonts w:ascii="Arial" w:cs="Arial" w:eastAsia="Arial" w:hAnsi="Arial"/>
          <w:sz w:val="17"/>
          <w:szCs w:val="17"/>
          <w:color w:val="auto"/>
        </w:rPr>
        <w:t>involved in selection and interviewing of new board members</w:t>
      </w:r>
    </w:p>
    <w:p>
      <w:pPr>
        <w:spacing w:after="0" w:line="5" w:lineRule="exact"/>
        <w:rPr>
          <w:rFonts w:ascii="MS PGothic" w:cs="MS PGothic" w:eastAsia="MS PGothic" w:hAnsi="MS PGothic"/>
          <w:sz w:val="17"/>
          <w:szCs w:val="17"/>
          <w:color w:val="071D49"/>
        </w:rPr>
      </w:pPr>
    </w:p>
    <w:p>
      <w:pPr>
        <w:ind w:left="269" w:right="220" w:hanging="269"/>
        <w:spacing w:after="0" w:line="249" w:lineRule="auto"/>
        <w:tabs>
          <w:tab w:leader="none" w:pos="281" w:val="left"/>
        </w:tabs>
        <w:numPr>
          <w:ilvl w:val="0"/>
          <w:numId w:val="47"/>
        </w:numPr>
        <w:rPr>
          <w:rFonts w:ascii="MS PGothic" w:cs="MS PGothic" w:eastAsia="MS PGothic" w:hAnsi="MS PGothic"/>
          <w:sz w:val="17"/>
          <w:szCs w:val="17"/>
          <w:color w:val="071D49"/>
        </w:rPr>
      </w:pPr>
      <w:r>
        <w:rPr>
          <w:rFonts w:ascii="Arial" w:cs="Arial" w:eastAsia="Arial" w:hAnsi="Arial"/>
          <w:sz w:val="17"/>
          <w:szCs w:val="17"/>
          <w:color w:val="auto"/>
        </w:rPr>
        <w:t>if requested by major stockholders, ensures that they are available for consultation and direct communication as needed</w:t>
      </w:r>
    </w:p>
    <w:p>
      <w:pPr>
        <w:spacing w:after="0" w:line="4" w:lineRule="exact"/>
        <w:rPr>
          <w:rFonts w:ascii="MS PGothic" w:cs="MS PGothic" w:eastAsia="MS PGothic" w:hAnsi="MS PGothic"/>
          <w:sz w:val="17"/>
          <w:szCs w:val="17"/>
          <w:color w:val="071D49"/>
        </w:rPr>
      </w:pPr>
    </w:p>
    <w:p>
      <w:pPr>
        <w:ind w:left="269" w:right="480" w:hanging="269"/>
        <w:spacing w:after="0" w:line="249" w:lineRule="auto"/>
        <w:tabs>
          <w:tab w:leader="none" w:pos="281"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if required, represents independent board members externally, including in communications with stockholders and other stakeholders</w:t>
      </w:r>
    </w:p>
    <w:p>
      <w:pPr>
        <w:ind w:left="269" w:right="180" w:hanging="269"/>
        <w:spacing w:after="0" w:line="266" w:lineRule="auto"/>
        <w:tabs>
          <w:tab w:leader="none" w:pos="281"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performs such other duties as the board may determine from time to time</w:t>
      </w:r>
    </w:p>
    <w:p>
      <w:pPr>
        <w:spacing w:after="0" w:line="5" w:lineRule="exact"/>
        <w:rPr>
          <w:sz w:val="20"/>
          <w:szCs w:val="20"/>
          <w:color w:val="auto"/>
        </w:rPr>
      </w:pPr>
    </w:p>
    <w:p>
      <w:pPr>
        <w:sectPr>
          <w:pgSz w:w="11900" w:h="16838" w:orient="portrait"/>
          <w:cols w:equalWidth="0" w:num="2">
            <w:col w:w="4540" w:space="191"/>
            <w:col w:w="4549"/>
          </w:cols>
          <w:pgMar w:left="1300" w:top="486" w:right="131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process, including discussing evaluations with each</w:t>
      </w:r>
    </w:p>
    <w:p>
      <w:pPr>
        <w:ind w:left="360"/>
        <w:spacing w:after="0"/>
        <w:rPr>
          <w:sz w:val="20"/>
          <w:szCs w:val="20"/>
          <w:color w:val="auto"/>
        </w:rPr>
      </w:pPr>
      <w:r>
        <w:rPr>
          <w:rFonts w:ascii="Arial" w:cs="Arial" w:eastAsia="Arial" w:hAnsi="Arial"/>
          <w:sz w:val="17"/>
          <w:szCs w:val="17"/>
          <w:color w:val="auto"/>
        </w:rPr>
        <w:t>director individually</w:t>
      </w:r>
    </w:p>
    <w:p>
      <w:pPr>
        <w:spacing w:after="0" w:line="201" w:lineRule="exact"/>
        <w:rPr>
          <w:sz w:val="20"/>
          <w:szCs w:val="20"/>
          <w:color w:val="auto"/>
        </w:rPr>
      </w:pPr>
    </w:p>
    <w:p>
      <w:pPr>
        <w:ind w:left="20" w:right="180"/>
        <w:spacing w:after="0"/>
        <w:rPr>
          <w:sz w:val="20"/>
          <w:szCs w:val="20"/>
          <w:color w:val="auto"/>
        </w:rPr>
      </w:pPr>
      <w:r>
        <w:rPr>
          <w:rFonts w:ascii="Arial" w:cs="Arial" w:eastAsia="Arial" w:hAnsi="Arial"/>
          <w:sz w:val="17"/>
          <w:szCs w:val="17"/>
          <w:color w:val="auto"/>
        </w:rPr>
        <w:t>All directors are encouraged to, and in fact do, consult with the chair on each of the above topics, as well. The lead director, and each of the other directors, communicates regularly with the chair of the board and CEO regarding appropriate agenda topics and other board related matters. All directors, including the lead independent director, are tasked with ensuring the board appropriately exercises its risk management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THE BOARD OF DIRECTORS AND ITS COMMITTEES</w:t>
      </w:r>
    </w:p>
    <w:p>
      <w:pPr>
        <w:spacing w:after="0" w:line="180"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color w:val="auto"/>
        </w:rPr>
        <w:t>responsibilities and facilitate further discussion of risk matters in executive session as they deem necessary. The lead independent director is chosen annually by and from the independent members of the board of directors.</w:t>
      </w:r>
    </w:p>
    <w:p>
      <w:pPr>
        <w:spacing w:after="0" w:line="11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board also regularly reviews its own succession planning, including for committee chairs and the lead independent director. As part of this process, the board has elected Roxanne Austin to serve as AbbVie’s next lead independent director, effective July 1, 2024. Ms. Austin has held leadership positions on AbbVie’s board since 2013 and her substantial executive and publicly traded board experience enhances her ability to exercise effective independent leadership of the board.</w:t>
      </w:r>
    </w:p>
    <w:p>
      <w:pPr>
        <w:spacing w:after="0" w:line="5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Glenn Tilton has served as AbbVie’s lead independent director since 2013. Mr. Tilton’s extensive leadership skills as a non-executive chair, as well as former CEO and chair at large, publicly traded companies, and the depth of his current and past experience as a director at other publicly traded companies ensure that he is able to exercise effective independent leadership over AbbVie’s board, including in relationship to risk oversight. In October 2023, the board approved an extension of Mr. Tilton’s service as a director, until December 2025, as permitted under AbbVie’s Governance Guidelines, which state that “a nonmanagement director shall retire as a director on the day of the annual shareholders’ meeting following his or her 75th birthday; provided, however, that the full board may make exceptions from time to time due to special circumstances.” Mr. Tilton’s continued service on the board will provide valuable leadership and continuity during AbbVie’s CEO transition.</w:t>
      </w:r>
    </w:p>
    <w:p>
      <w:pPr>
        <w:spacing w:after="0" w:line="52" w:lineRule="exact"/>
        <w:rPr>
          <w:sz w:val="20"/>
          <w:szCs w:val="20"/>
          <w:color w:val="auto"/>
        </w:rPr>
      </w:pPr>
    </w:p>
    <w:p>
      <w:pPr>
        <w:spacing w:after="0"/>
        <w:rPr>
          <w:sz w:val="20"/>
          <w:szCs w:val="20"/>
          <w:color w:val="auto"/>
        </w:rPr>
      </w:pPr>
      <w:r>
        <w:rPr>
          <w:rFonts w:ascii="Arial" w:cs="Arial" w:eastAsia="Arial" w:hAnsi="Arial"/>
          <w:sz w:val="30"/>
          <w:szCs w:val="30"/>
          <w:color w:val="auto"/>
        </w:rPr>
        <w:t>Board Oversight Responsibilities</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board has risk oversight responsibility for AbbVie and administers this responsibility both directly and with assistance from its committees. The board reviews enterprise risks and discusses them with our senior management on a regular basis. These risks include those the company faces over various time horizons. Among the risks are those that are specific to AbbVie’s business and circumstances (e.g., pipeline advancement and significant product loss of exclusivity), those that are specific to AbbVie’s industry (e.g., manufacturing and regulatory compliance and health care industry dynamics such as pricing and patient access), and those faced by large, complex, multinational companies generally (e.g., tax policy). Specific relevant risk topics are reviewed and escalated to the board or relevant committee at nearly all board meetings throughout the year. The charters of the committees provide a framework for the types of risks to be reviewed at each committee and reported on to the full board. The focus of the board’s oversight varies based on the type and timing of the risk being discussed. For example, for a long-term risk, the board focuses on advance planning to mitigate the risk over time.</w:t>
      </w:r>
    </w:p>
    <w:p>
      <w:pPr>
        <w:spacing w:after="0" w:line="6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AbbVie has a comprehensive enterprise risk management (ERM) program with risk management embedded within the operations of the company, clear accountability at the senior leadership level, and oversight by the board. The audit committee oversees ERM. Through risk owners and the internal disclosure committee, there is a routine assessment of material risks to the company. Updates, if any, are provided to the board or its committees together with updated public disclosures, when relevant. In light of the regular assessment of risk, the board or risk owner may consult with outside advisors to evaluate the risk landscape and anticipate trends. As the company grows, relevant risk management topics may be added, such as following a large acquisition.</w:t>
      </w:r>
    </w:p>
    <w:p>
      <w:pPr>
        <w:spacing w:after="0" w:line="68"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Acting with integrity is one of the foundational AbbVie Principles, and overseeing the company’s compliance program is a key activity for the board. AbbVie’s Chief Ethics and Compliance Officer, who reports to the Executive Vice President, General Counsel and Secretary, regularly presents to the board and committees on compliance matters.</w:t>
      </w:r>
    </w:p>
    <w:p>
      <w:pPr>
        <w:spacing w:after="0" w:line="6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oversees AbbVie’s culture, employee engagement, and overall management of human capital. This oversight ensures that AbbVie is attracting, developing, and retaining best in class employees dedicated to making a remarkable impact on patients’ lives around the world. Examples of this oversight include (1) reviewing results of the biennial all employee survey, which assesses topics like employee engagement, inclusion, agility in processes, ethical decision making, and other issues critical to the company’s culture, (2) oversight of the company’s equity, equality, diversity, and inclusion strategy, (3) oversight of employee health and safety data and priorities, (4) reviewing the company’s commitment to pay equity and results from the equity analysis to ensure this commitment is met, and (5) oversight of the company’s ESG strategy, including the human capital management components. The board also interacts with employees at various levels of seniority, not solely on the executive leadership team, which facilitates a better understanding of the company’s culture.</w:t>
      </w:r>
    </w:p>
    <w:p>
      <w:pPr>
        <w:spacing w:after="0" w:line="200" w:lineRule="exact"/>
        <w:rPr>
          <w:sz w:val="20"/>
          <w:szCs w:val="20"/>
          <w:color w:val="auto"/>
        </w:rPr>
      </w:pPr>
    </w:p>
    <w:p>
      <w:pPr>
        <w:spacing w:after="0" w:line="258"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24</w:t>
      </w:r>
      <w:r>
        <w:rPr>
          <w:sz w:val="20"/>
          <w:szCs w:val="20"/>
          <w:color w:val="auto"/>
        </w:rPr>
        <w:tab/>
      </w:r>
      <w:r>
        <w:rPr>
          <w:sz w:val="1"/>
          <w:szCs w:val="1"/>
          <w:color w:val="auto"/>
        </w:rPr>
        <w:drawing>
          <wp:inline distT="0" distB="0" distL="0" distR="0">
            <wp:extent cx="810260" cy="15113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0"/>
          </w:cols>
          <w:pgMar w:left="1320" w:top="486" w:right="1359" w:bottom="1440" w:gutter="0" w:footer="0" w:header="0"/>
        </w:sectPr>
      </w:pPr>
    </w:p>
    <w:bookmarkStart w:id="27" w:name="page28"/>
    <w:bookmarkEnd w:id="2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5140"/>
        <w:spacing w:after="0"/>
        <w:rPr>
          <w:sz w:val="20"/>
          <w:szCs w:val="20"/>
          <w:color w:val="auto"/>
        </w:rPr>
      </w:pPr>
      <w:r>
        <w:rPr>
          <w:rFonts w:ascii="Arial" w:cs="Arial" w:eastAsia="Arial" w:hAnsi="Arial"/>
          <w:sz w:val="16"/>
          <w:szCs w:val="16"/>
          <w:color w:val="808080"/>
        </w:rPr>
        <w:t>THE BOARD OF DIRECTORS AND ITS COMMITTEES</w:t>
      </w:r>
    </w:p>
    <w:p>
      <w:pPr>
        <w:spacing w:after="0" w:line="191" w:lineRule="exact"/>
        <w:rPr>
          <w:sz w:val="20"/>
          <w:szCs w:val="20"/>
          <w:color w:val="auto"/>
        </w:rPr>
      </w:pPr>
    </w:p>
    <w:p>
      <w:pPr>
        <w:ind w:left="20" w:right="100"/>
        <w:spacing w:after="0"/>
        <w:rPr>
          <w:sz w:val="20"/>
          <w:szCs w:val="20"/>
          <w:color w:val="auto"/>
        </w:rPr>
      </w:pPr>
      <w:r>
        <w:rPr>
          <w:rFonts w:ascii="Arial" w:cs="Arial" w:eastAsia="Arial" w:hAnsi="Arial"/>
          <w:sz w:val="17"/>
          <w:szCs w:val="17"/>
          <w:color w:val="auto"/>
        </w:rPr>
        <w:t>The board is actively involved in reviewing AbbVie’s privacy, cybersecurity, and other information technology risks and opportunities and discusses these topics on a regular basis. The board and its committees also regularly review other environmental, social, and governance (ESG) topics, including across all of AbbVie’s material ESG drivers. For more details about committee responsibilities and oversight, please see the committee discussion on pages 25-27.</w:t>
      </w:r>
    </w:p>
    <w:p>
      <w:pPr>
        <w:sectPr>
          <w:pgSz w:w="11900" w:h="16838" w:orient="portrait"/>
          <w:cols w:equalWidth="0" w:num="1">
            <w:col w:w="9280"/>
          </w:cols>
          <w:pgMar w:left="1300" w:top="486" w:right="1319" w:bottom="1440" w:gutter="0" w:footer="0" w:header="0"/>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30"/>
          <w:szCs w:val="30"/>
          <w:color w:val="auto"/>
        </w:rPr>
        <w:t>Board Diversity</w:t>
      </w:r>
    </w:p>
    <w:p>
      <w:pPr>
        <w:spacing w:after="0" w:line="153"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AbbVie is committed to diversity in its workforce and on its board of directors. AbbVie serves patients in over 175 countries and across many different diseases. A diverse workforce and a diverse board are critical to bringing innovative new medicines to patients and to meeting their unique needs. In particular, diverse perspectives strengthen the oversight of AbbVie’s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84"/>
        </w:trPr>
        <w:tc>
          <w:tcPr>
            <w:tcW w:w="1480" w:type="dxa"/>
            <w:vAlign w:val="bottom"/>
            <w:tcBorders>
              <w:right w:val="single" w:sz="8" w:color="071D49"/>
            </w:tcBorders>
            <w:shd w:val="clear" w:color="auto" w:fill="F2F2F2"/>
          </w:tcPr>
          <w:p>
            <w:pPr>
              <w:jc w:val="center"/>
              <w:spacing w:after="0"/>
              <w:rPr>
                <w:sz w:val="20"/>
                <w:szCs w:val="20"/>
                <w:color w:val="auto"/>
              </w:rPr>
            </w:pPr>
            <w:r>
              <w:rPr>
                <w:rFonts w:ascii="Arial" w:cs="Arial" w:eastAsia="Arial" w:hAnsi="Arial"/>
                <w:sz w:val="37"/>
                <w:szCs w:val="37"/>
                <w:color w:val="071D49"/>
                <w:w w:val="99"/>
              </w:rPr>
              <w:t>38%</w:t>
            </w:r>
          </w:p>
        </w:tc>
        <w:tc>
          <w:tcPr>
            <w:tcW w:w="1480" w:type="dxa"/>
            <w:vAlign w:val="bottom"/>
            <w:shd w:val="clear" w:color="auto" w:fill="F2F2F2"/>
          </w:tcPr>
          <w:p>
            <w:pPr>
              <w:jc w:val="center"/>
              <w:spacing w:after="0"/>
              <w:rPr>
                <w:sz w:val="20"/>
                <w:szCs w:val="20"/>
                <w:color w:val="auto"/>
              </w:rPr>
            </w:pPr>
            <w:r>
              <w:rPr>
                <w:rFonts w:ascii="Arial" w:cs="Arial" w:eastAsia="Arial" w:hAnsi="Arial"/>
                <w:sz w:val="37"/>
                <w:szCs w:val="37"/>
                <w:color w:val="071D49"/>
                <w:w w:val="99"/>
              </w:rPr>
              <w:t>15%</w:t>
            </w:r>
          </w:p>
        </w:tc>
      </w:tr>
      <w:tr>
        <w:trPr>
          <w:trHeight w:val="188"/>
        </w:trPr>
        <w:tc>
          <w:tcPr>
            <w:tcW w:w="1480" w:type="dxa"/>
            <w:vAlign w:val="bottom"/>
            <w:tcBorders>
              <w:right w:val="single" w:sz="8" w:color="071D49"/>
            </w:tcBorders>
            <w:shd w:val="clear" w:color="auto" w:fill="F2F2F2"/>
          </w:tcPr>
          <w:p>
            <w:pPr>
              <w:jc w:val="center"/>
              <w:spacing w:after="0" w:line="188" w:lineRule="exact"/>
              <w:rPr>
                <w:sz w:val="20"/>
                <w:szCs w:val="20"/>
                <w:color w:val="auto"/>
              </w:rPr>
            </w:pPr>
            <w:r>
              <w:rPr>
                <w:rFonts w:ascii="Arial" w:cs="Arial" w:eastAsia="Arial" w:hAnsi="Arial"/>
                <w:sz w:val="17"/>
                <w:szCs w:val="17"/>
                <w:b w:val="1"/>
                <w:bCs w:val="1"/>
                <w:color w:val="071D49"/>
                <w:w w:val="98"/>
              </w:rPr>
              <w:t>female board</w:t>
            </w:r>
          </w:p>
        </w:tc>
        <w:tc>
          <w:tcPr>
            <w:tcW w:w="1480" w:type="dxa"/>
            <w:vAlign w:val="bottom"/>
            <w:shd w:val="clear" w:color="auto" w:fill="F2F2F2"/>
          </w:tcPr>
          <w:p>
            <w:pPr>
              <w:jc w:val="center"/>
              <w:spacing w:after="0" w:line="188" w:lineRule="exact"/>
              <w:rPr>
                <w:sz w:val="20"/>
                <w:szCs w:val="20"/>
                <w:color w:val="auto"/>
              </w:rPr>
            </w:pPr>
            <w:r>
              <w:rPr>
                <w:rFonts w:ascii="Arial" w:cs="Arial" w:eastAsia="Arial" w:hAnsi="Arial"/>
                <w:sz w:val="17"/>
                <w:szCs w:val="17"/>
                <w:b w:val="1"/>
                <w:bCs w:val="1"/>
                <w:color w:val="071D49"/>
                <w:w w:val="97"/>
              </w:rPr>
              <w:t>ethnically or</w:t>
            </w:r>
          </w:p>
        </w:tc>
      </w:tr>
      <w:tr>
        <w:trPr>
          <w:trHeight w:val="188"/>
        </w:trPr>
        <w:tc>
          <w:tcPr>
            <w:tcW w:w="1480" w:type="dxa"/>
            <w:vAlign w:val="bottom"/>
            <w:tcBorders>
              <w:right w:val="single" w:sz="8" w:color="071D49"/>
            </w:tcBorders>
            <w:shd w:val="clear" w:color="auto" w:fill="F2F2F2"/>
          </w:tcPr>
          <w:p>
            <w:pPr>
              <w:jc w:val="center"/>
              <w:spacing w:after="0" w:line="188" w:lineRule="exact"/>
              <w:rPr>
                <w:sz w:val="20"/>
                <w:szCs w:val="20"/>
                <w:color w:val="auto"/>
              </w:rPr>
            </w:pPr>
            <w:r>
              <w:rPr>
                <w:rFonts w:ascii="Arial" w:cs="Arial" w:eastAsia="Arial" w:hAnsi="Arial"/>
                <w:sz w:val="17"/>
                <w:szCs w:val="17"/>
                <w:b w:val="1"/>
                <w:bCs w:val="1"/>
                <w:color w:val="071D49"/>
                <w:w w:val="97"/>
              </w:rPr>
              <w:t>members</w:t>
            </w:r>
          </w:p>
        </w:tc>
        <w:tc>
          <w:tcPr>
            <w:tcW w:w="1480" w:type="dxa"/>
            <w:vAlign w:val="bottom"/>
            <w:shd w:val="clear" w:color="auto" w:fill="F2F2F2"/>
          </w:tcPr>
          <w:p>
            <w:pPr>
              <w:jc w:val="center"/>
              <w:spacing w:after="0" w:line="188" w:lineRule="exact"/>
              <w:rPr>
                <w:sz w:val="20"/>
                <w:szCs w:val="20"/>
                <w:color w:val="auto"/>
              </w:rPr>
            </w:pPr>
            <w:r>
              <w:rPr>
                <w:rFonts w:ascii="Arial" w:cs="Arial" w:eastAsia="Arial" w:hAnsi="Arial"/>
                <w:sz w:val="17"/>
                <w:szCs w:val="17"/>
                <w:b w:val="1"/>
                <w:bCs w:val="1"/>
                <w:color w:val="071D49"/>
                <w:w w:val="97"/>
              </w:rPr>
              <w:t>racially diverse</w:t>
            </w:r>
          </w:p>
        </w:tc>
      </w:tr>
      <w:tr>
        <w:trPr>
          <w:trHeight w:val="192"/>
        </w:trPr>
        <w:tc>
          <w:tcPr>
            <w:tcW w:w="1480" w:type="dxa"/>
            <w:vAlign w:val="bottom"/>
            <w:tcBorders>
              <w:right w:val="single" w:sz="8" w:color="071D49"/>
            </w:tcBorders>
            <w:shd w:val="clear" w:color="auto" w:fill="F2F2F2"/>
          </w:tcPr>
          <w:p>
            <w:pPr>
              <w:spacing w:after="0"/>
              <w:rPr>
                <w:sz w:val="16"/>
                <w:szCs w:val="16"/>
                <w:color w:val="auto"/>
              </w:rPr>
            </w:pPr>
          </w:p>
        </w:tc>
        <w:tc>
          <w:tcPr>
            <w:tcW w:w="1480" w:type="dxa"/>
            <w:vAlign w:val="bottom"/>
            <w:shd w:val="clear" w:color="auto" w:fill="F2F2F2"/>
          </w:tcPr>
          <w:p>
            <w:pPr>
              <w:jc w:val="center"/>
              <w:spacing w:after="0" w:line="192" w:lineRule="exact"/>
              <w:rPr>
                <w:sz w:val="20"/>
                <w:szCs w:val="20"/>
                <w:color w:val="auto"/>
              </w:rPr>
            </w:pPr>
            <w:r>
              <w:rPr>
                <w:rFonts w:ascii="Arial" w:cs="Arial" w:eastAsia="Arial" w:hAnsi="Arial"/>
                <w:sz w:val="17"/>
                <w:szCs w:val="17"/>
                <w:b w:val="1"/>
                <w:bCs w:val="1"/>
                <w:color w:val="071D49"/>
                <w:w w:val="97"/>
              </w:rPr>
              <w:t>board members</w:t>
            </w:r>
          </w:p>
        </w:tc>
      </w:tr>
    </w:tbl>
    <w:p>
      <w:pPr>
        <w:spacing w:after="0" w:line="33" w:lineRule="exact"/>
        <w:rPr>
          <w:sz w:val="20"/>
          <w:szCs w:val="20"/>
          <w:color w:val="auto"/>
        </w:rPr>
      </w:pPr>
    </w:p>
    <w:p>
      <w:pPr>
        <w:sectPr>
          <w:pgSz w:w="11900" w:h="16838" w:orient="portrait"/>
          <w:cols w:equalWidth="0" w:num="2">
            <w:col w:w="6280" w:space="20"/>
            <w:col w:w="2980"/>
          </w:cols>
          <w:pgMar w:left="1300" w:top="486" w:right="1319" w:bottom="1440" w:gutter="0" w:footer="0" w:header="0"/>
          <w:type w:val="continuous"/>
        </w:sectPr>
      </w:pPr>
    </w:p>
    <w:p>
      <w:pPr>
        <w:ind w:left="20" w:right="160"/>
        <w:spacing w:after="0" w:line="238" w:lineRule="auto"/>
        <w:rPr>
          <w:sz w:val="20"/>
          <w:szCs w:val="20"/>
          <w:color w:val="auto"/>
        </w:rPr>
      </w:pPr>
      <w:r>
        <w:rPr>
          <w:rFonts w:ascii="Arial" w:cs="Arial" w:eastAsia="Arial" w:hAnsi="Arial"/>
          <w:sz w:val="17"/>
          <w:szCs w:val="17"/>
          <w:color w:val="auto"/>
        </w:rPr>
        <w:t>Diversity, including diversity of race, ethnicity, gender, age, and geography is an integral factor in identifying prospective directors. In the process of identifying nominees to serve as a member of the board of directors, the nominations and governance committee considers the existing board’s diversity and assesses the effectiveness of the recruitment process in achieving a diverse board. Periodically, the board engages a third-party search firm to aid in its recruitment and refreshment activities.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More details about our workforce diversity efforts are available in the ‘‘Our ESG Highlights’’ section of this proxy statement.</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Committees of the Board of Directors</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Audit Committee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132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5"/>
                <w:szCs w:val="15"/>
                <w:b w:val="1"/>
                <w:bCs w:val="1"/>
                <w:color w:val="auto"/>
              </w:rPr>
              <w:t>Members</w:t>
            </w:r>
          </w:p>
        </w:tc>
        <w:tc>
          <w:tcPr>
            <w:tcW w:w="6100" w:type="dxa"/>
            <w:vAlign w:val="bottom"/>
          </w:tcPr>
          <w:p>
            <w:pPr>
              <w:ind w:left="220"/>
              <w:spacing w:after="0"/>
              <w:rPr>
                <w:sz w:val="20"/>
                <w:szCs w:val="20"/>
                <w:color w:val="auto"/>
              </w:rPr>
            </w:pPr>
            <w:r>
              <w:rPr>
                <w:rFonts w:ascii="Arial" w:cs="Arial" w:eastAsia="Arial" w:hAnsi="Arial"/>
                <w:sz w:val="15"/>
                <w:szCs w:val="15"/>
                <w:b w:val="1"/>
                <w:bCs w:val="1"/>
                <w:color w:val="auto"/>
              </w:rPr>
              <w:t>Key Characteristics and Responsibilities</w:t>
            </w:r>
          </w:p>
        </w:tc>
        <w:tc>
          <w:tcPr>
            <w:tcW w:w="18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Meetings in 2023: 6</w:t>
            </w:r>
          </w:p>
        </w:tc>
        <w:tc>
          <w:tcPr>
            <w:tcW w:w="0" w:type="dxa"/>
            <w:vAlign w:val="bottom"/>
          </w:tcPr>
          <w:p>
            <w:pPr>
              <w:spacing w:after="0"/>
              <w:rPr>
                <w:sz w:val="1"/>
                <w:szCs w:val="1"/>
                <w:color w:val="auto"/>
              </w:rPr>
            </w:pPr>
          </w:p>
        </w:tc>
      </w:tr>
      <w:tr>
        <w:trPr>
          <w:trHeight w:val="175"/>
        </w:trPr>
        <w:tc>
          <w:tcPr>
            <w:tcW w:w="1320" w:type="dxa"/>
            <w:vAlign w:val="bottom"/>
            <w:tcBorders>
              <w:top w:val="single" w:sz="8" w:color="071D49"/>
            </w:tcBorders>
            <w:shd w:val="clear" w:color="auto" w:fill="F2F2F2"/>
          </w:tcPr>
          <w:p>
            <w:pPr>
              <w:spacing w:after="0"/>
              <w:rPr>
                <w:sz w:val="15"/>
                <w:szCs w:val="15"/>
                <w:color w:val="auto"/>
              </w:rPr>
            </w:pPr>
          </w:p>
        </w:tc>
        <w:tc>
          <w:tcPr>
            <w:tcW w:w="7940" w:type="dxa"/>
            <w:vAlign w:val="bottom"/>
            <w:tcBorders>
              <w:top w:val="single" w:sz="8" w:color="071D49"/>
            </w:tcBorders>
            <w:gridSpan w:val="2"/>
          </w:tcPr>
          <w:p>
            <w:pPr>
              <w:ind w:left="220"/>
              <w:spacing w:after="0" w:line="173" w:lineRule="exact"/>
              <w:rPr>
                <w:sz w:val="20"/>
                <w:szCs w:val="20"/>
                <w:color w:val="auto"/>
              </w:rPr>
            </w:pPr>
            <w:r>
              <w:rPr>
                <w:rFonts w:ascii="MS PGothic" w:cs="MS PGothic" w:eastAsia="MS PGothic" w:hAnsi="MS PGothic"/>
                <w:sz w:val="15"/>
                <w:szCs w:val="15"/>
                <w:color w:val="071D49"/>
                <w:w w:val="99"/>
              </w:rPr>
              <w:t>✓</w:t>
            </w:r>
            <w:r>
              <w:rPr>
                <w:rFonts w:ascii="Arial" w:cs="Arial" w:eastAsia="Arial" w:hAnsi="Arial"/>
                <w:sz w:val="15"/>
                <w:szCs w:val="15"/>
                <w:color w:val="auto"/>
                <w:w w:val="99"/>
              </w:rPr>
              <w:t xml:space="preserve">  The audit committee is governed by a written charter. The charter sets forth the purposes of the audit committee,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F2F2F2"/>
          </w:tcPr>
          <w:p>
            <w:pPr>
              <w:spacing w:after="0"/>
              <w:rPr>
                <w:sz w:val="15"/>
                <w:szCs w:val="15"/>
                <w:color w:val="auto"/>
              </w:rPr>
            </w:pPr>
          </w:p>
        </w:tc>
        <w:tc>
          <w:tcPr>
            <w:tcW w:w="7960" w:type="dxa"/>
            <w:vAlign w:val="bottom"/>
            <w:gridSpan w:val="3"/>
          </w:tcPr>
          <w:p>
            <w:pPr>
              <w:ind w:left="460"/>
              <w:spacing w:after="0"/>
              <w:rPr>
                <w:sz w:val="20"/>
                <w:szCs w:val="20"/>
                <w:color w:val="auto"/>
              </w:rPr>
            </w:pPr>
            <w:r>
              <w:rPr>
                <w:rFonts w:ascii="Arial" w:cs="Arial" w:eastAsia="Arial" w:hAnsi="Arial"/>
                <w:sz w:val="15"/>
                <w:szCs w:val="15"/>
                <w:color w:val="auto"/>
              </w:rPr>
              <w:t>identifies qualifications required for the audit committee members, and describes the committee’s authority and</w:t>
            </w:r>
          </w:p>
        </w:tc>
        <w:tc>
          <w:tcPr>
            <w:tcW w:w="0" w:type="dxa"/>
            <w:vAlign w:val="bottom"/>
          </w:tcPr>
          <w:p>
            <w:pPr>
              <w:spacing w:after="0"/>
              <w:rPr>
                <w:sz w:val="1"/>
                <w:szCs w:val="1"/>
                <w:color w:val="auto"/>
              </w:rPr>
            </w:pPr>
          </w:p>
        </w:tc>
      </w:tr>
      <w:tr>
        <w:trPr>
          <w:trHeight w:val="167"/>
        </w:trPr>
        <w:tc>
          <w:tcPr>
            <w:tcW w:w="132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T. Freyman</w:t>
            </w:r>
          </w:p>
        </w:tc>
        <w:tc>
          <w:tcPr>
            <w:tcW w:w="6100" w:type="dxa"/>
            <w:vAlign w:val="bottom"/>
          </w:tcPr>
          <w:p>
            <w:pPr>
              <w:ind w:left="460"/>
              <w:spacing w:after="0" w:line="167" w:lineRule="exact"/>
              <w:rPr>
                <w:sz w:val="20"/>
                <w:szCs w:val="20"/>
                <w:color w:val="auto"/>
              </w:rPr>
            </w:pPr>
            <w:r>
              <w:rPr>
                <w:rFonts w:ascii="Arial" w:cs="Arial" w:eastAsia="Arial" w:hAnsi="Arial"/>
                <w:sz w:val="15"/>
                <w:szCs w:val="15"/>
                <w:color w:val="auto"/>
              </w:rPr>
              <w:t>responsibilities.</w:t>
            </w: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320" w:type="dxa"/>
            <w:vAlign w:val="bottom"/>
            <w:vMerge w:val="continue"/>
            <w:shd w:val="clear" w:color="auto" w:fill="F2F2F2"/>
          </w:tcPr>
          <w:p>
            <w:pPr>
              <w:spacing w:after="0"/>
              <w:rPr>
                <w:sz w:val="19"/>
                <w:szCs w:val="19"/>
                <w:color w:val="auto"/>
              </w:rPr>
            </w:pPr>
          </w:p>
        </w:tc>
        <w:tc>
          <w:tcPr>
            <w:tcW w:w="7960" w:type="dxa"/>
            <w:vAlign w:val="bottom"/>
            <w:gridSpan w:val="3"/>
          </w:tcPr>
          <w:p>
            <w:pPr>
              <w:ind w:left="22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audit committee assists the board of directors in fulfilling its oversight responsibility with respect to AbbVie’s</w:t>
            </w:r>
          </w:p>
        </w:tc>
        <w:tc>
          <w:tcPr>
            <w:tcW w:w="0" w:type="dxa"/>
            <w:vAlign w:val="bottom"/>
          </w:tcPr>
          <w:p>
            <w:pPr>
              <w:spacing w:after="0"/>
              <w:rPr>
                <w:sz w:val="1"/>
                <w:szCs w:val="1"/>
                <w:color w:val="auto"/>
              </w:rPr>
            </w:pPr>
          </w:p>
        </w:tc>
      </w:tr>
      <w:tr>
        <w:trPr>
          <w:trHeight w:val="189"/>
        </w:trPr>
        <w:tc>
          <w:tcPr>
            <w:tcW w:w="1320" w:type="dxa"/>
            <w:vAlign w:val="bottom"/>
            <w:shd w:val="clear" w:color="auto" w:fill="F2F2F2"/>
          </w:tcPr>
          <w:p>
            <w:pPr>
              <w:ind w:left="140"/>
              <w:spacing w:after="0" w:line="189" w:lineRule="exact"/>
              <w:rPr>
                <w:sz w:val="20"/>
                <w:szCs w:val="20"/>
                <w:color w:val="auto"/>
              </w:rPr>
            </w:pPr>
            <w:r>
              <w:rPr>
                <w:rFonts w:ascii="Arial" w:cs="Arial" w:eastAsia="Arial" w:hAnsi="Arial"/>
                <w:sz w:val="17"/>
                <w:szCs w:val="17"/>
                <w:b w:val="1"/>
                <w:bCs w:val="1"/>
                <w:color w:val="071D49"/>
              </w:rPr>
              <w:t>(Chair)</w:t>
            </w:r>
          </w:p>
        </w:tc>
        <w:tc>
          <w:tcPr>
            <w:tcW w:w="7960" w:type="dxa"/>
            <w:vAlign w:val="bottom"/>
            <w:gridSpan w:val="3"/>
          </w:tcPr>
          <w:p>
            <w:pPr>
              <w:ind w:left="460"/>
              <w:spacing w:after="0"/>
              <w:rPr>
                <w:sz w:val="20"/>
                <w:szCs w:val="20"/>
                <w:color w:val="auto"/>
              </w:rPr>
            </w:pPr>
            <w:r>
              <w:rPr>
                <w:rFonts w:ascii="Arial" w:cs="Arial" w:eastAsia="Arial" w:hAnsi="Arial"/>
                <w:sz w:val="15"/>
                <w:szCs w:val="15"/>
                <w:color w:val="auto"/>
              </w:rPr>
              <w:t>accounting and financial reporting practices and the audit process, the quality and integrity of AbbVie’s financial</w:t>
            </w:r>
          </w:p>
        </w:tc>
        <w:tc>
          <w:tcPr>
            <w:tcW w:w="0" w:type="dxa"/>
            <w:vAlign w:val="bottom"/>
          </w:tcPr>
          <w:p>
            <w:pPr>
              <w:spacing w:after="0"/>
              <w:rPr>
                <w:sz w:val="1"/>
                <w:szCs w:val="1"/>
                <w:color w:val="auto"/>
              </w:rPr>
            </w:pPr>
          </w:p>
        </w:tc>
      </w:tr>
      <w:tr>
        <w:trPr>
          <w:trHeight w:val="161"/>
        </w:trPr>
        <w:tc>
          <w:tcPr>
            <w:tcW w:w="132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W. Burnside</w:t>
            </w:r>
          </w:p>
        </w:tc>
        <w:tc>
          <w:tcPr>
            <w:tcW w:w="7960" w:type="dxa"/>
            <w:vAlign w:val="bottom"/>
            <w:gridSpan w:val="3"/>
          </w:tcPr>
          <w:p>
            <w:pPr>
              <w:ind w:left="460"/>
              <w:spacing w:after="0" w:line="161" w:lineRule="exact"/>
              <w:rPr>
                <w:sz w:val="20"/>
                <w:szCs w:val="20"/>
                <w:color w:val="auto"/>
              </w:rPr>
            </w:pPr>
            <w:r>
              <w:rPr>
                <w:rFonts w:ascii="Arial" w:cs="Arial" w:eastAsia="Arial" w:hAnsi="Arial"/>
                <w:sz w:val="15"/>
                <w:szCs w:val="15"/>
                <w:color w:val="auto"/>
              </w:rPr>
              <w:t>statements, including a review of significant accounting policies, the independent auditors’ qualifications,</w:t>
            </w:r>
          </w:p>
        </w:tc>
        <w:tc>
          <w:tcPr>
            <w:tcW w:w="0" w:type="dxa"/>
            <w:vAlign w:val="bottom"/>
          </w:tcPr>
          <w:p>
            <w:pPr>
              <w:spacing w:after="0"/>
              <w:rPr>
                <w:sz w:val="1"/>
                <w:szCs w:val="1"/>
                <w:color w:val="auto"/>
              </w:rPr>
            </w:pPr>
          </w:p>
        </w:tc>
      </w:tr>
      <w:tr>
        <w:trPr>
          <w:trHeight w:val="175"/>
        </w:trPr>
        <w:tc>
          <w:tcPr>
            <w:tcW w:w="1320" w:type="dxa"/>
            <w:vAlign w:val="bottom"/>
            <w:vMerge w:val="continue"/>
            <w:shd w:val="clear" w:color="auto" w:fill="F2F2F2"/>
          </w:tcPr>
          <w:p>
            <w:pPr>
              <w:spacing w:after="0"/>
              <w:rPr>
                <w:sz w:val="15"/>
                <w:szCs w:val="15"/>
                <w:color w:val="auto"/>
              </w:rPr>
            </w:pPr>
          </w:p>
        </w:tc>
        <w:tc>
          <w:tcPr>
            <w:tcW w:w="7960" w:type="dxa"/>
            <w:vAlign w:val="bottom"/>
            <w:gridSpan w:val="3"/>
          </w:tcPr>
          <w:p>
            <w:pPr>
              <w:ind w:left="460"/>
              <w:spacing w:after="0"/>
              <w:rPr>
                <w:sz w:val="20"/>
                <w:szCs w:val="20"/>
                <w:color w:val="auto"/>
              </w:rPr>
            </w:pPr>
            <w:r>
              <w:rPr>
                <w:rFonts w:ascii="Arial" w:cs="Arial" w:eastAsia="Arial" w:hAnsi="Arial"/>
                <w:sz w:val="15"/>
                <w:szCs w:val="15"/>
                <w:color w:val="auto"/>
              </w:rPr>
              <w:t>independence, and performance, the performance of AbbVie’s internal audit function and internal auditors,</w:t>
            </w:r>
          </w:p>
        </w:tc>
        <w:tc>
          <w:tcPr>
            <w:tcW w:w="0" w:type="dxa"/>
            <w:vAlign w:val="bottom"/>
          </w:tcPr>
          <w:p>
            <w:pPr>
              <w:spacing w:after="0"/>
              <w:rPr>
                <w:sz w:val="1"/>
                <w:szCs w:val="1"/>
                <w:color w:val="auto"/>
              </w:rPr>
            </w:pPr>
          </w:p>
        </w:tc>
      </w:tr>
      <w:tr>
        <w:trPr>
          <w:trHeight w:val="175"/>
        </w:trPr>
        <w:tc>
          <w:tcPr>
            <w:tcW w:w="132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M. Meyer</w:t>
            </w:r>
          </w:p>
        </w:tc>
        <w:tc>
          <w:tcPr>
            <w:tcW w:w="7960" w:type="dxa"/>
            <w:vAlign w:val="bottom"/>
            <w:gridSpan w:val="3"/>
          </w:tcPr>
          <w:p>
            <w:pPr>
              <w:ind w:left="460"/>
              <w:spacing w:after="0"/>
              <w:rPr>
                <w:sz w:val="20"/>
                <w:szCs w:val="20"/>
                <w:color w:val="auto"/>
              </w:rPr>
            </w:pPr>
            <w:r>
              <w:rPr>
                <w:rFonts w:ascii="Arial" w:cs="Arial" w:eastAsia="Arial" w:hAnsi="Arial"/>
                <w:sz w:val="15"/>
                <w:szCs w:val="15"/>
                <w:color w:val="auto"/>
              </w:rPr>
              <w:t>certain areas of legal and regulatory compliance, and enterprise risk management. The audit committee is</w:t>
            </w:r>
          </w:p>
        </w:tc>
        <w:tc>
          <w:tcPr>
            <w:tcW w:w="0" w:type="dxa"/>
            <w:vAlign w:val="bottom"/>
          </w:tcPr>
          <w:p>
            <w:pPr>
              <w:spacing w:after="0"/>
              <w:rPr>
                <w:sz w:val="1"/>
                <w:szCs w:val="1"/>
                <w:color w:val="auto"/>
              </w:rPr>
            </w:pPr>
          </w:p>
        </w:tc>
      </w:tr>
      <w:tr>
        <w:trPr>
          <w:trHeight w:val="137"/>
        </w:trPr>
        <w:tc>
          <w:tcPr>
            <w:tcW w:w="1320" w:type="dxa"/>
            <w:vAlign w:val="bottom"/>
            <w:vMerge w:val="continue"/>
            <w:shd w:val="clear" w:color="auto" w:fill="F2F2F2"/>
          </w:tcPr>
          <w:p>
            <w:pPr>
              <w:spacing w:after="0"/>
              <w:rPr>
                <w:sz w:val="11"/>
                <w:szCs w:val="11"/>
                <w:color w:val="auto"/>
              </w:rPr>
            </w:pPr>
          </w:p>
        </w:tc>
        <w:tc>
          <w:tcPr>
            <w:tcW w:w="7960" w:type="dxa"/>
            <w:vAlign w:val="bottom"/>
            <w:gridSpan w:val="3"/>
            <w:vMerge w:val="restart"/>
          </w:tcPr>
          <w:p>
            <w:pPr>
              <w:ind w:left="460"/>
              <w:spacing w:after="0"/>
              <w:rPr>
                <w:sz w:val="20"/>
                <w:szCs w:val="20"/>
                <w:color w:val="auto"/>
              </w:rPr>
            </w:pPr>
            <w:r>
              <w:rPr>
                <w:rFonts w:ascii="Arial" w:cs="Arial" w:eastAsia="Arial" w:hAnsi="Arial"/>
                <w:sz w:val="15"/>
                <w:szCs w:val="15"/>
                <w:color w:val="auto"/>
              </w:rPr>
              <w:t>directly responsible for the appointment, fees, retention, and oversight of the work of AbbVie’s independent</w:t>
            </w:r>
          </w:p>
        </w:tc>
        <w:tc>
          <w:tcPr>
            <w:tcW w:w="0" w:type="dxa"/>
            <w:vAlign w:val="bottom"/>
          </w:tcPr>
          <w:p>
            <w:pPr>
              <w:spacing w:after="0"/>
              <w:rPr>
                <w:sz w:val="1"/>
                <w:szCs w:val="1"/>
                <w:color w:val="auto"/>
              </w:rPr>
            </w:pPr>
          </w:p>
        </w:tc>
      </w:tr>
      <w:tr>
        <w:trPr>
          <w:trHeight w:val="38"/>
        </w:trPr>
        <w:tc>
          <w:tcPr>
            <w:tcW w:w="1320" w:type="dxa"/>
            <w:vAlign w:val="bottom"/>
            <w:shd w:val="clear" w:color="auto" w:fill="F2F2F2"/>
          </w:tcPr>
          <w:p>
            <w:pPr>
              <w:spacing w:after="0"/>
              <w:rPr>
                <w:sz w:val="3"/>
                <w:szCs w:val="3"/>
                <w:color w:val="auto"/>
              </w:rPr>
            </w:pPr>
          </w:p>
        </w:tc>
        <w:tc>
          <w:tcPr>
            <w:tcW w:w="7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1320" w:type="dxa"/>
            <w:vAlign w:val="bottom"/>
            <w:shd w:val="clear" w:color="auto" w:fill="F2F2F2"/>
          </w:tcPr>
          <w:p>
            <w:pPr>
              <w:ind w:left="20"/>
              <w:spacing w:after="0" w:line="188" w:lineRule="exact"/>
              <w:rPr>
                <w:sz w:val="20"/>
                <w:szCs w:val="20"/>
                <w:color w:val="auto"/>
              </w:rPr>
            </w:pPr>
            <w:r>
              <w:rPr>
                <w:rFonts w:ascii="Arial" w:cs="Arial" w:eastAsia="Arial" w:hAnsi="Arial"/>
                <w:sz w:val="17"/>
                <w:szCs w:val="17"/>
                <w:b w:val="1"/>
                <w:bCs w:val="1"/>
                <w:color w:val="auto"/>
              </w:rPr>
              <w:t>E. Rapp</w:t>
            </w:r>
          </w:p>
        </w:tc>
        <w:tc>
          <w:tcPr>
            <w:tcW w:w="6100" w:type="dxa"/>
            <w:vAlign w:val="bottom"/>
          </w:tcPr>
          <w:p>
            <w:pPr>
              <w:ind w:left="460"/>
              <w:spacing w:after="0"/>
              <w:rPr>
                <w:sz w:val="20"/>
                <w:szCs w:val="20"/>
                <w:color w:val="auto"/>
              </w:rPr>
            </w:pPr>
            <w:r>
              <w:rPr>
                <w:rFonts w:ascii="Arial" w:cs="Arial" w:eastAsia="Arial" w:hAnsi="Arial"/>
                <w:sz w:val="15"/>
                <w:szCs w:val="15"/>
                <w:color w:val="auto"/>
              </w:rPr>
              <w:t>auditors.</w:t>
            </w: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2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G. Tilton</w:t>
            </w:r>
          </w:p>
        </w:tc>
        <w:tc>
          <w:tcPr>
            <w:tcW w:w="7960" w:type="dxa"/>
            <w:vAlign w:val="bottom"/>
            <w:gridSpan w:val="3"/>
          </w:tcPr>
          <w:p>
            <w:pPr>
              <w:ind w:left="2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The audit committee also reviews information security and technology risks, including cybersecurity.</w:t>
            </w:r>
          </w:p>
        </w:tc>
        <w:tc>
          <w:tcPr>
            <w:tcW w:w="0" w:type="dxa"/>
            <w:vAlign w:val="bottom"/>
          </w:tcPr>
          <w:p>
            <w:pPr>
              <w:spacing w:after="0"/>
              <w:rPr>
                <w:sz w:val="1"/>
                <w:szCs w:val="1"/>
                <w:color w:val="auto"/>
              </w:rPr>
            </w:pPr>
          </w:p>
        </w:tc>
      </w:tr>
      <w:tr>
        <w:trPr>
          <w:trHeight w:val="133"/>
        </w:trPr>
        <w:tc>
          <w:tcPr>
            <w:tcW w:w="1320" w:type="dxa"/>
            <w:vAlign w:val="bottom"/>
            <w:vMerge w:val="continue"/>
            <w:shd w:val="clear" w:color="auto" w:fill="F2F2F2"/>
          </w:tcPr>
          <w:p>
            <w:pPr>
              <w:spacing w:after="0"/>
              <w:rPr>
                <w:sz w:val="11"/>
                <w:szCs w:val="11"/>
                <w:color w:val="auto"/>
              </w:rPr>
            </w:pPr>
          </w:p>
        </w:tc>
        <w:tc>
          <w:tcPr>
            <w:tcW w:w="7960" w:type="dxa"/>
            <w:vAlign w:val="bottom"/>
            <w:gridSpan w:val="3"/>
            <w:vMerge w:val="restart"/>
          </w:tcPr>
          <w:p>
            <w:pPr>
              <w:ind w:left="2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Each of the members of the audit committee is financially literate, as required of audit committee members by</w:t>
            </w:r>
          </w:p>
        </w:tc>
        <w:tc>
          <w:tcPr>
            <w:tcW w:w="0" w:type="dxa"/>
            <w:vAlign w:val="bottom"/>
          </w:tcPr>
          <w:p>
            <w:pPr>
              <w:spacing w:after="0"/>
              <w:rPr>
                <w:sz w:val="1"/>
                <w:szCs w:val="1"/>
                <w:color w:val="auto"/>
              </w:rPr>
            </w:pPr>
          </w:p>
        </w:tc>
      </w:tr>
      <w:tr>
        <w:trPr>
          <w:trHeight w:val="88"/>
        </w:trPr>
        <w:tc>
          <w:tcPr>
            <w:tcW w:w="1320" w:type="dxa"/>
            <w:vAlign w:val="bottom"/>
            <w:vMerge w:val="restart"/>
            <w:shd w:val="clear" w:color="auto" w:fill="F2F2F2"/>
          </w:tcPr>
          <w:p>
            <w:pPr>
              <w:ind w:left="20"/>
              <w:spacing w:after="0"/>
              <w:rPr>
                <w:sz w:val="20"/>
                <w:szCs w:val="20"/>
                <w:color w:val="auto"/>
              </w:rPr>
            </w:pPr>
            <w:r>
              <w:rPr>
                <w:rFonts w:ascii="Arial" w:cs="Arial" w:eastAsia="Arial" w:hAnsi="Arial"/>
                <w:sz w:val="17"/>
                <w:szCs w:val="17"/>
                <w:b w:val="1"/>
                <w:bCs w:val="1"/>
                <w:color w:val="auto"/>
              </w:rPr>
              <w:t>F. Waddell</w:t>
            </w:r>
          </w:p>
        </w:tc>
        <w:tc>
          <w:tcPr>
            <w:tcW w:w="7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320" w:type="dxa"/>
            <w:vAlign w:val="bottom"/>
            <w:vMerge w:val="continue"/>
            <w:shd w:val="clear" w:color="auto" w:fill="F2F2F2"/>
          </w:tcPr>
          <w:p>
            <w:pPr>
              <w:spacing w:after="0"/>
              <w:rPr>
                <w:sz w:val="15"/>
                <w:szCs w:val="15"/>
                <w:color w:val="auto"/>
              </w:rPr>
            </w:pPr>
          </w:p>
        </w:tc>
        <w:tc>
          <w:tcPr>
            <w:tcW w:w="7960" w:type="dxa"/>
            <w:vAlign w:val="bottom"/>
            <w:gridSpan w:val="3"/>
          </w:tcPr>
          <w:p>
            <w:pPr>
              <w:ind w:left="460"/>
              <w:spacing w:after="0"/>
              <w:rPr>
                <w:sz w:val="20"/>
                <w:szCs w:val="20"/>
                <w:color w:val="auto"/>
              </w:rPr>
            </w:pPr>
            <w:r>
              <w:rPr>
                <w:rFonts w:ascii="Arial" w:cs="Arial" w:eastAsia="Arial" w:hAnsi="Arial"/>
                <w:sz w:val="15"/>
                <w:szCs w:val="15"/>
                <w:color w:val="auto"/>
              </w:rPr>
              <w:t>the NYSE, and the independence requirements set forth in Section 10A(m)(3) of the Securities Exchange Act of</w:t>
            </w:r>
          </w:p>
        </w:tc>
        <w:tc>
          <w:tcPr>
            <w:tcW w:w="0" w:type="dxa"/>
            <w:vAlign w:val="bottom"/>
          </w:tcPr>
          <w:p>
            <w:pPr>
              <w:spacing w:after="0"/>
              <w:rPr>
                <w:sz w:val="1"/>
                <w:szCs w:val="1"/>
                <w:color w:val="auto"/>
              </w:rPr>
            </w:pPr>
          </w:p>
        </w:tc>
      </w:tr>
      <w:tr>
        <w:trPr>
          <w:trHeight w:val="167"/>
        </w:trPr>
        <w:tc>
          <w:tcPr>
            <w:tcW w:w="1320" w:type="dxa"/>
            <w:vAlign w:val="bottom"/>
            <w:shd w:val="clear" w:color="auto" w:fill="F2F2F2"/>
          </w:tcPr>
          <w:p>
            <w:pPr>
              <w:spacing w:after="0"/>
              <w:rPr>
                <w:sz w:val="14"/>
                <w:szCs w:val="14"/>
                <w:color w:val="auto"/>
              </w:rPr>
            </w:pPr>
          </w:p>
        </w:tc>
        <w:tc>
          <w:tcPr>
            <w:tcW w:w="6100" w:type="dxa"/>
            <w:vAlign w:val="bottom"/>
          </w:tcPr>
          <w:p>
            <w:pPr>
              <w:ind w:left="460"/>
              <w:spacing w:after="0" w:line="167" w:lineRule="exact"/>
              <w:rPr>
                <w:sz w:val="20"/>
                <w:szCs w:val="20"/>
                <w:color w:val="auto"/>
              </w:rPr>
            </w:pPr>
            <w:r>
              <w:rPr>
                <w:rFonts w:ascii="Arial" w:cs="Arial" w:eastAsia="Arial" w:hAnsi="Arial"/>
                <w:sz w:val="15"/>
                <w:szCs w:val="15"/>
                <w:color w:val="auto"/>
              </w:rPr>
              <w:t>1934, as amended (the ‘‘Exchange Act’’).</w:t>
            </w: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320" w:type="dxa"/>
            <w:vAlign w:val="bottom"/>
            <w:shd w:val="clear" w:color="auto" w:fill="F2F2F2"/>
          </w:tcPr>
          <w:p>
            <w:pPr>
              <w:spacing w:after="0"/>
              <w:rPr>
                <w:sz w:val="19"/>
                <w:szCs w:val="19"/>
                <w:color w:val="auto"/>
              </w:rPr>
            </w:pPr>
          </w:p>
        </w:tc>
        <w:tc>
          <w:tcPr>
            <w:tcW w:w="7960" w:type="dxa"/>
            <w:vAlign w:val="bottom"/>
            <w:gridSpan w:val="3"/>
          </w:tcPr>
          <w:p>
            <w:pPr>
              <w:ind w:left="22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board of directors has determined that Mr. Freyman, Mr. Rapp, Mr. Tilton, and Mr. Waddell are each</w:t>
            </w:r>
          </w:p>
        </w:tc>
        <w:tc>
          <w:tcPr>
            <w:tcW w:w="0" w:type="dxa"/>
            <w:vAlign w:val="bottom"/>
          </w:tcPr>
          <w:p>
            <w:pPr>
              <w:spacing w:after="0"/>
              <w:rPr>
                <w:sz w:val="1"/>
                <w:szCs w:val="1"/>
                <w:color w:val="auto"/>
              </w:rPr>
            </w:pPr>
          </w:p>
        </w:tc>
      </w:tr>
      <w:tr>
        <w:trPr>
          <w:trHeight w:val="205"/>
        </w:trPr>
        <w:tc>
          <w:tcPr>
            <w:tcW w:w="1320" w:type="dxa"/>
            <w:vAlign w:val="bottom"/>
            <w:tcBorders>
              <w:bottom w:val="single" w:sz="8" w:color="F2F2F2"/>
            </w:tcBorders>
            <w:shd w:val="clear" w:color="auto" w:fill="F2F2F2"/>
          </w:tcPr>
          <w:p>
            <w:pPr>
              <w:spacing w:after="0"/>
              <w:rPr>
                <w:sz w:val="17"/>
                <w:szCs w:val="17"/>
                <w:color w:val="auto"/>
              </w:rPr>
            </w:pPr>
          </w:p>
        </w:tc>
        <w:tc>
          <w:tcPr>
            <w:tcW w:w="6100" w:type="dxa"/>
            <w:vAlign w:val="bottom"/>
          </w:tcPr>
          <w:p>
            <w:pPr>
              <w:ind w:left="460"/>
              <w:spacing w:after="0"/>
              <w:rPr>
                <w:sz w:val="20"/>
                <w:szCs w:val="20"/>
                <w:color w:val="auto"/>
              </w:rPr>
            </w:pPr>
            <w:r>
              <w:rPr>
                <w:rFonts w:ascii="Arial" w:cs="Arial" w:eastAsia="Arial" w:hAnsi="Arial"/>
                <w:sz w:val="15"/>
                <w:szCs w:val="15"/>
                <w:color w:val="auto"/>
              </w:rPr>
              <w:t>individually, an ‘‘audit committee financial expert.’’</w:t>
            </w: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6"/>
        </w:trPr>
        <w:tc>
          <w:tcPr>
            <w:tcW w:w="1320" w:type="dxa"/>
            <w:vAlign w:val="bottom"/>
          </w:tcPr>
          <w:p>
            <w:pPr>
              <w:spacing w:after="0"/>
              <w:rPr>
                <w:sz w:val="24"/>
                <w:szCs w:val="24"/>
                <w:color w:val="auto"/>
              </w:rPr>
            </w:pPr>
          </w:p>
        </w:tc>
        <w:tc>
          <w:tcPr>
            <w:tcW w:w="6100" w:type="dxa"/>
            <w:vAlign w:val="bottom"/>
          </w:tcPr>
          <w:p>
            <w:pPr>
              <w:ind w:left="412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488"/>
        </w:trPr>
        <w:tc>
          <w:tcPr>
            <w:tcW w:w="13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28" w:name="page29"/>
    <w:bookmarkEnd w:id="2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THE BOARD OF DIRECTORS AND ITS COMMITTEES</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071D49"/>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5878830" cy="28524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78830" cy="2852420"/>
                    </a:xfrm>
                    <a:prstGeom prst="rect">
                      <a:avLst/>
                    </a:prstGeom>
                    <a:noFill/>
                  </pic:spPr>
                </pic:pic>
              </a:graphicData>
            </a:graphic>
          </wp:anchor>
        </w:drawing>
      </w:r>
    </w:p>
    <w:p>
      <w:pPr>
        <w:spacing w:after="0" w:line="152" w:lineRule="exact"/>
        <w:rPr>
          <w:sz w:val="20"/>
          <w:szCs w:val="20"/>
          <w:color w:val="auto"/>
        </w:rPr>
      </w:pPr>
    </w:p>
    <w:p>
      <w:pPr>
        <w:ind w:left="28"/>
        <w:spacing w:after="0"/>
        <w:tabs>
          <w:tab w:leader="none" w:pos="1508" w:val="left"/>
          <w:tab w:leader="none" w:pos="7428" w:val="left"/>
        </w:tabs>
        <w:rPr>
          <w:sz w:val="20"/>
          <w:szCs w:val="20"/>
          <w:color w:val="auto"/>
        </w:rPr>
      </w:pPr>
      <w:r>
        <w:rPr>
          <w:rFonts w:ascii="Arial" w:cs="Arial" w:eastAsia="Arial" w:hAnsi="Arial"/>
          <w:sz w:val="15"/>
          <w:szCs w:val="15"/>
          <w:b w:val="1"/>
          <w:bCs w:val="1"/>
          <w:color w:val="auto"/>
        </w:rPr>
        <w:t>Members</w:t>
      </w:r>
      <w:r>
        <w:rPr>
          <w:sz w:val="20"/>
          <w:szCs w:val="20"/>
          <w:color w:val="auto"/>
        </w:rPr>
        <w:tab/>
      </w:r>
      <w:r>
        <w:rPr>
          <w:rFonts w:ascii="Arial" w:cs="Arial" w:eastAsia="Arial" w:hAnsi="Arial"/>
          <w:sz w:val="15"/>
          <w:szCs w:val="15"/>
          <w:b w:val="1"/>
          <w:bCs w:val="1"/>
          <w:color w:val="auto"/>
        </w:rPr>
        <w:t>Key Characteristics and Responsibilities</w:t>
      </w:r>
      <w:r>
        <w:rPr>
          <w:sz w:val="20"/>
          <w:szCs w:val="20"/>
          <w:color w:val="auto"/>
        </w:rPr>
        <w:tab/>
      </w:r>
      <w:r>
        <w:rPr>
          <w:rFonts w:ascii="Arial" w:cs="Arial" w:eastAsia="Arial" w:hAnsi="Arial"/>
          <w:sz w:val="15"/>
          <w:szCs w:val="15"/>
          <w:b w:val="1"/>
          <w:bCs w:val="1"/>
          <w:color w:val="auto"/>
        </w:rPr>
        <w:t>Meetings in 2023: 3</w:t>
      </w:r>
    </w:p>
    <w:p>
      <w:pPr>
        <w:sectPr>
          <w:pgSz w:w="11900" w:h="16838" w:orient="portrait"/>
          <w:cols w:equalWidth="0" w:num="1">
            <w:col w:w="9248"/>
          </w:cols>
          <w:pgMar w:left="1312" w:top="486"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8" w:right="140" w:hanging="128"/>
        <w:spacing w:after="0" w:line="375" w:lineRule="auto"/>
        <w:tabs>
          <w:tab w:leader="none" w:pos="22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Austin </w:t>
      </w:r>
      <w:r>
        <w:rPr>
          <w:rFonts w:ascii="Arial" w:cs="Arial" w:eastAsia="Arial" w:hAnsi="Arial"/>
          <w:sz w:val="16"/>
          <w:szCs w:val="16"/>
          <w:b w:val="1"/>
          <w:bCs w:val="1"/>
          <w:color w:val="071D49"/>
        </w:rPr>
        <w:t>(Chair)</w:t>
      </w:r>
    </w:p>
    <w:p>
      <w:pPr>
        <w:spacing w:after="0" w:line="1" w:lineRule="exact"/>
        <w:rPr>
          <w:sz w:val="20"/>
          <w:szCs w:val="20"/>
          <w:color w:val="auto"/>
        </w:rPr>
      </w:pPr>
    </w:p>
    <w:p>
      <w:pPr>
        <w:ind w:left="8" w:hanging="8"/>
        <w:spacing w:after="0" w:line="404" w:lineRule="auto"/>
        <w:tabs>
          <w:tab w:leader="none" w:pos="184"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Freyman G. Tilton F. Waddell</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42" w:right="460" w:hanging="242"/>
        <w:spacing w:after="0" w:line="260" w:lineRule="auto"/>
        <w:tabs>
          <w:tab w:leader="none" w:pos="249"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The compensation committee is governed by a written charter. The charter sets forth the purposes of the compensation committee, identifies qualifications required for the compensation committee members, and describes the committee’s authority and responsibilities.</w:t>
      </w:r>
    </w:p>
    <w:p>
      <w:pPr>
        <w:spacing w:after="0" w:line="2" w:lineRule="exact"/>
        <w:rPr>
          <w:rFonts w:ascii="MS PGothic" w:cs="MS PGothic" w:eastAsia="MS PGothic" w:hAnsi="MS PGothic"/>
          <w:sz w:val="15"/>
          <w:szCs w:val="15"/>
          <w:color w:val="071D49"/>
        </w:rPr>
      </w:pPr>
    </w:p>
    <w:p>
      <w:pPr>
        <w:ind w:left="242" w:hanging="242"/>
        <w:spacing w:after="0" w:line="253" w:lineRule="auto"/>
        <w:tabs>
          <w:tab w:leader="none" w:pos="249"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w:t>
      </w:r>
    </w:p>
    <w:p>
      <w:pPr>
        <w:spacing w:after="0" w:line="16" w:lineRule="exact"/>
        <w:rPr>
          <w:rFonts w:ascii="MS PGothic" w:cs="MS PGothic" w:eastAsia="MS PGothic" w:hAnsi="MS PGothic"/>
          <w:sz w:val="15"/>
          <w:szCs w:val="15"/>
          <w:color w:val="071D49"/>
        </w:rPr>
      </w:pPr>
    </w:p>
    <w:p>
      <w:pPr>
        <w:ind w:left="242" w:hanging="242"/>
        <w:spacing w:after="0" w:line="260" w:lineRule="auto"/>
        <w:tabs>
          <w:tab w:leader="none" w:pos="252"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w:t>
      </w:r>
    </w:p>
    <w:p>
      <w:pPr>
        <w:spacing w:after="0" w:line="15" w:lineRule="exact"/>
        <w:rPr>
          <w:rFonts w:ascii="MS PGothic" w:cs="MS PGothic" w:eastAsia="MS PGothic" w:hAnsi="MS PGothic"/>
          <w:sz w:val="15"/>
          <w:szCs w:val="15"/>
          <w:color w:val="071D49"/>
        </w:rPr>
      </w:pPr>
    </w:p>
    <w:p>
      <w:pPr>
        <w:ind w:left="242" w:right="100" w:hanging="242"/>
        <w:spacing w:after="0" w:line="255" w:lineRule="auto"/>
        <w:tabs>
          <w:tab w:leader="none" w:pos="249"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w:t>
      </w:r>
    </w:p>
    <w:p>
      <w:pPr>
        <w:spacing w:after="0" w:line="5" w:lineRule="exact"/>
        <w:rPr>
          <w:rFonts w:ascii="MS PGothic" w:cs="MS PGothic" w:eastAsia="MS PGothic" w:hAnsi="MS PGothic"/>
          <w:sz w:val="15"/>
          <w:szCs w:val="15"/>
          <w:color w:val="071D49"/>
        </w:rPr>
      </w:pPr>
    </w:p>
    <w:p>
      <w:pPr>
        <w:ind w:left="242" w:right="660" w:hanging="242"/>
        <w:spacing w:after="0" w:line="268" w:lineRule="auto"/>
        <w:tabs>
          <w:tab w:leader="none" w:pos="249"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The compensation committee has the sole authority, under its charter, to select, retain and/or terminate independent advisors who may assist the committee in carrying out its responsibilities.</w:t>
      </w:r>
    </w:p>
    <w:p>
      <w:pPr>
        <w:spacing w:after="0" w:line="15" w:lineRule="exact"/>
        <w:rPr>
          <w:rFonts w:ascii="MS PGothic" w:cs="MS PGothic" w:eastAsia="MS PGothic" w:hAnsi="MS PGothic"/>
          <w:sz w:val="15"/>
          <w:szCs w:val="15"/>
          <w:color w:val="071D49"/>
        </w:rPr>
      </w:pPr>
    </w:p>
    <w:p>
      <w:pPr>
        <w:ind w:left="242" w:right="40" w:hanging="242"/>
        <w:spacing w:after="0" w:line="261" w:lineRule="auto"/>
        <w:tabs>
          <w:tab w:leader="none" w:pos="249" w:val="left"/>
        </w:tabs>
        <w:numPr>
          <w:ilvl w:val="0"/>
          <w:numId w:val="50"/>
        </w:numPr>
        <w:rPr>
          <w:rFonts w:ascii="MS PGothic" w:cs="MS PGothic" w:eastAsia="MS PGothic" w:hAnsi="MS PGothic"/>
          <w:sz w:val="15"/>
          <w:szCs w:val="15"/>
          <w:color w:val="071D49"/>
        </w:rPr>
      </w:pPr>
      <w:r>
        <w:rPr>
          <w:rFonts w:ascii="Arial" w:cs="Arial" w:eastAsia="Arial" w:hAnsi="Arial"/>
          <w:sz w:val="15"/>
          <w:szCs w:val="15"/>
          <w:color w:val="auto"/>
        </w:rPr>
        <w:t>The compensation committee reviews and discusses with management and its independent compensation consultant potential risks associated with AbbVie’s compensation policies and practices as discussed in the ‘‘Compensation Risk Assessment’’ section of this proxy statement. Each member of the committee qualifies as a ‘‘non-employee director’’ for purposes of Rule 16b-3 under the Exchange Act.</w:t>
      </w:r>
    </w:p>
    <w:p>
      <w:pPr>
        <w:spacing w:after="0" w:line="96" w:lineRule="exact"/>
        <w:rPr>
          <w:sz w:val="20"/>
          <w:szCs w:val="20"/>
          <w:color w:val="auto"/>
        </w:rPr>
      </w:pPr>
    </w:p>
    <w:p>
      <w:pPr>
        <w:sectPr>
          <w:pgSz w:w="11900" w:h="16838" w:orient="portrait"/>
          <w:cols w:equalWidth="0" w:num="2">
            <w:col w:w="868" w:space="658"/>
            <w:col w:w="7722"/>
          </w:cols>
          <w:pgMar w:left="1312" w:top="486" w:right="1339" w:bottom="1440" w:gutter="0" w:footer="0" w:header="0"/>
          <w:type w:val="continuous"/>
        </w:sectPr>
      </w:pPr>
    </w:p>
    <w:p>
      <w:pPr>
        <w:ind w:left="8" w:right="100"/>
        <w:spacing w:after="0" w:line="234" w:lineRule="auto"/>
        <w:rPr>
          <w:sz w:val="20"/>
          <w:szCs w:val="20"/>
          <w:color w:val="auto"/>
        </w:rPr>
      </w:pPr>
      <w:r>
        <w:rPr>
          <w:rFonts w:ascii="Arial" w:cs="Arial" w:eastAsia="Arial" w:hAnsi="Arial"/>
          <w:sz w:val="17"/>
          <w:szCs w:val="17"/>
          <w:color w:val="auto"/>
        </w:rPr>
        <w:t>The compensation committee has engaged Semler Brossy as its independent compensation consultant. The independent compensation consultant provides counsel and advice to the committee on executive and non-employee director compensation matters. Semler Brossy, and its principal, report directly to the chair of the committee. The principal meets regularly, and as needed, with the committee in executive sessions, and has direct access to the committee chair during and between meetings. In partnership with the consultant, the committee determines what variables it will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Semler Brossy for these services. AbbVie did not engage Semler Brossy to perform any other services during 2023.</w:t>
      </w:r>
    </w:p>
    <w:p>
      <w:pPr>
        <w:spacing w:after="0" w:line="74" w:lineRule="exact"/>
        <w:rPr>
          <w:sz w:val="20"/>
          <w:szCs w:val="20"/>
          <w:color w:val="auto"/>
        </w:rPr>
      </w:pPr>
    </w:p>
    <w:p>
      <w:pPr>
        <w:ind w:left="8" w:right="120"/>
        <w:spacing w:after="0" w:line="246" w:lineRule="auto"/>
        <w:rPr>
          <w:sz w:val="20"/>
          <w:szCs w:val="20"/>
          <w:color w:val="auto"/>
        </w:rPr>
      </w:pPr>
      <w:r>
        <w:rPr>
          <w:rFonts w:ascii="Arial" w:cs="Arial" w:eastAsia="Arial" w:hAnsi="Arial"/>
          <w:sz w:val="17"/>
          <w:szCs w:val="17"/>
          <w:color w:val="auto"/>
        </w:rPr>
        <w:t>Based on an assessment of internally developed information and information provided by Semler Brossy, the committee has determined that its independent compensation consultant does not have a conflict of interest. A copy of the compensation committee report is included in the ‘‘Compensation Committee Report’’ section of this proxy statement.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26</w:t>
      </w:r>
      <w:r>
        <w:rPr>
          <w:sz w:val="20"/>
          <w:szCs w:val="20"/>
          <w:color w:val="auto"/>
        </w:rPr>
        <w:tab/>
      </w:r>
      <w:r>
        <w:rPr>
          <w:sz w:val="1"/>
          <w:szCs w:val="1"/>
          <w:color w:val="auto"/>
        </w:rPr>
        <w:drawing>
          <wp:inline distT="0" distB="0" distL="0" distR="0">
            <wp:extent cx="810260" cy="1511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588708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8"/>
          </w:cols>
          <w:pgMar w:left="1312" w:top="486" w:right="133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THE BOARD OF DIRECTORS AND ITS COMMITTEES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Nominations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878830" cy="18910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8830" cy="1891030"/>
                    </a:xfrm>
                    <a:prstGeom prst="rect">
                      <a:avLst/>
                    </a:prstGeom>
                    <a:noFill/>
                  </pic:spPr>
                </pic:pic>
              </a:graphicData>
            </a:graphic>
          </wp:anchor>
        </w:drawing>
      </w:r>
    </w:p>
    <w:p>
      <w:pPr>
        <w:spacing w:after="0" w:line="152" w:lineRule="exact"/>
        <w:rPr>
          <w:sz w:val="20"/>
          <w:szCs w:val="20"/>
          <w:color w:val="auto"/>
        </w:rPr>
      </w:pPr>
    </w:p>
    <w:p>
      <w:pPr>
        <w:ind w:left="40"/>
        <w:spacing w:after="0"/>
        <w:tabs>
          <w:tab w:leader="none" w:pos="1520" w:val="left"/>
          <w:tab w:leader="none" w:pos="7420" w:val="left"/>
        </w:tabs>
        <w:rPr>
          <w:sz w:val="20"/>
          <w:szCs w:val="20"/>
          <w:color w:val="auto"/>
        </w:rPr>
      </w:pPr>
      <w:r>
        <w:rPr>
          <w:rFonts w:ascii="Arial" w:cs="Arial" w:eastAsia="Arial" w:hAnsi="Arial"/>
          <w:sz w:val="15"/>
          <w:szCs w:val="15"/>
          <w:b w:val="1"/>
          <w:bCs w:val="1"/>
          <w:color w:val="auto"/>
        </w:rPr>
        <w:t>Members</w:t>
      </w:r>
      <w:r>
        <w:rPr>
          <w:sz w:val="20"/>
          <w:szCs w:val="20"/>
          <w:color w:val="auto"/>
        </w:rPr>
        <w:tab/>
      </w:r>
      <w:r>
        <w:rPr>
          <w:rFonts w:ascii="Arial" w:cs="Arial" w:eastAsia="Arial" w:hAnsi="Arial"/>
          <w:sz w:val="15"/>
          <w:szCs w:val="15"/>
          <w:b w:val="1"/>
          <w:bCs w:val="1"/>
          <w:color w:val="auto"/>
        </w:rPr>
        <w:t>Key Characteristics and Responsibilities</w:t>
      </w:r>
      <w:r>
        <w:rPr>
          <w:sz w:val="20"/>
          <w:szCs w:val="20"/>
          <w:color w:val="auto"/>
        </w:rPr>
        <w:tab/>
      </w:r>
      <w:r>
        <w:rPr>
          <w:rFonts w:ascii="Arial" w:cs="Arial" w:eastAsia="Arial" w:hAnsi="Arial"/>
          <w:sz w:val="15"/>
          <w:szCs w:val="15"/>
          <w:b w:val="1"/>
          <w:bCs w:val="1"/>
          <w:color w:val="auto"/>
        </w:rPr>
        <w:t>Meetings in 2023: 4</w:t>
      </w:r>
    </w:p>
    <w:p>
      <w:pPr>
        <w:sectPr>
          <w:pgSz w:w="11900" w:h="16838" w:orient="portrait"/>
          <w:cols w:equalWidth="0" w:num="1">
            <w:col w:w="9280"/>
          </w:cols>
          <w:pgMar w:left="1300" w:top="486" w:right="1319" w:bottom="1440" w:gutter="0" w:footer="0" w:header="0"/>
        </w:sectPr>
      </w:pPr>
    </w:p>
    <w:p>
      <w:pPr>
        <w:spacing w:after="0" w:line="261" w:lineRule="exact"/>
        <w:rPr>
          <w:sz w:val="20"/>
          <w:szCs w:val="20"/>
          <w:color w:val="auto"/>
        </w:rPr>
      </w:pPr>
    </w:p>
    <w:p>
      <w:pPr>
        <w:jc w:val="both"/>
        <w:ind w:left="140" w:right="320" w:hanging="128"/>
        <w:spacing w:after="0" w:line="375" w:lineRule="auto"/>
        <w:tabs>
          <w:tab w:leader="none" w:pos="224"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Rapp </w:t>
      </w:r>
      <w:r>
        <w:rPr>
          <w:rFonts w:ascii="Arial" w:cs="Arial" w:eastAsia="Arial" w:hAnsi="Arial"/>
          <w:sz w:val="16"/>
          <w:szCs w:val="16"/>
          <w:b w:val="1"/>
          <w:bCs w:val="1"/>
          <w:color w:val="071D49"/>
        </w:rPr>
        <w:t>(Chair)</w:t>
      </w:r>
    </w:p>
    <w:p>
      <w:pPr>
        <w:spacing w:after="0" w:line="1" w:lineRule="exact"/>
        <w:rPr>
          <w:sz w:val="20"/>
          <w:szCs w:val="20"/>
          <w:color w:val="auto"/>
        </w:rPr>
      </w:pPr>
    </w:p>
    <w:p>
      <w:pPr>
        <w:ind w:left="220" w:hanging="208"/>
        <w:spacing w:after="0"/>
        <w:tabs>
          <w:tab w:leader="none" w:pos="2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Alpern</w:t>
      </w:r>
    </w:p>
    <w:p>
      <w:pPr>
        <w:spacing w:after="0" w:line="92" w:lineRule="exact"/>
        <w:rPr>
          <w:rFonts w:ascii="Arial" w:cs="Arial" w:eastAsia="Arial" w:hAnsi="Arial"/>
          <w:sz w:val="17"/>
          <w:szCs w:val="17"/>
          <w:b w:val="1"/>
          <w:bCs w:val="1"/>
          <w:color w:val="auto"/>
        </w:rPr>
      </w:pPr>
    </w:p>
    <w:p>
      <w:pPr>
        <w:ind w:left="20"/>
        <w:spacing w:after="0" w:line="375" w:lineRule="auto"/>
        <w:rPr>
          <w:rFonts w:ascii="Arial" w:cs="Arial" w:eastAsia="Arial" w:hAnsi="Arial"/>
          <w:sz w:val="17"/>
          <w:szCs w:val="17"/>
          <w:b w:val="1"/>
          <w:bCs w:val="1"/>
          <w:color w:val="auto"/>
        </w:rPr>
      </w:pPr>
      <w:r>
        <w:rPr>
          <w:rFonts w:ascii="Arial" w:cs="Arial" w:eastAsia="Arial" w:hAnsi="Arial"/>
          <w:sz w:val="16"/>
          <w:szCs w:val="16"/>
          <w:b w:val="1"/>
          <w:bCs w:val="1"/>
          <w:color w:val="auto"/>
        </w:rPr>
        <w:t>W. Burnside J. Davis</w:t>
      </w:r>
    </w:p>
    <w:p>
      <w:pPr>
        <w:ind w:left="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B. Hart</w:t>
      </w:r>
    </w:p>
    <w:p>
      <w:pPr>
        <w:spacing w:after="0" w:line="92" w:lineRule="exact"/>
        <w:rPr>
          <w:rFonts w:ascii="Arial" w:cs="Arial" w:eastAsia="Arial" w:hAnsi="Arial"/>
          <w:sz w:val="17"/>
          <w:szCs w:val="17"/>
          <w:b w:val="1"/>
          <w:bCs w:val="1"/>
          <w:color w:val="auto"/>
        </w:rPr>
      </w:pPr>
    </w:p>
    <w:p>
      <w:pPr>
        <w:ind w:left="20" w:right="120"/>
        <w:spacing w:after="0" w:line="434" w:lineRule="auto"/>
        <w:rPr>
          <w:rFonts w:ascii="Arial" w:cs="Arial" w:eastAsia="Arial" w:hAnsi="Arial"/>
          <w:sz w:val="17"/>
          <w:szCs w:val="17"/>
          <w:b w:val="1"/>
          <w:bCs w:val="1"/>
          <w:color w:val="auto"/>
        </w:rPr>
      </w:pPr>
      <w:r>
        <w:rPr>
          <w:rFonts w:ascii="Arial" w:cs="Arial" w:eastAsia="Arial" w:hAnsi="Arial"/>
          <w:sz w:val="16"/>
          <w:szCs w:val="16"/>
          <w:b w:val="1"/>
          <w:bCs w:val="1"/>
          <w:color w:val="auto"/>
        </w:rPr>
        <w:t>R. Roberts G. Tilton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42" w:right="260" w:hanging="242"/>
        <w:spacing w:after="0" w:line="260" w:lineRule="auto"/>
        <w:tabs>
          <w:tab w:leader="none" w:pos="249" w:val="left"/>
        </w:tabs>
        <w:numPr>
          <w:ilvl w:val="0"/>
          <w:numId w:val="53"/>
        </w:numPr>
        <w:rPr>
          <w:rFonts w:ascii="MS PGothic" w:cs="MS PGothic" w:eastAsia="MS PGothic" w:hAnsi="MS PGothic"/>
          <w:sz w:val="15"/>
          <w:szCs w:val="15"/>
          <w:color w:val="071D49"/>
        </w:rPr>
      </w:pPr>
      <w:r>
        <w:rPr>
          <w:rFonts w:ascii="Arial" w:cs="Arial" w:eastAsia="Arial" w:hAnsi="Arial"/>
          <w:sz w:val="15"/>
          <w:szCs w:val="15"/>
          <w:color w:val="auto"/>
        </w:rPr>
        <w:t>The nominations and governance committee is governed by a written charter. The charter sets forth the purposes of the nominations and governance committee, identifies qualifications required for the nominations and governance committee members, and describes the committee’s authority and responsibilities.</w:t>
      </w:r>
    </w:p>
    <w:p>
      <w:pPr>
        <w:spacing w:after="0" w:line="2" w:lineRule="exact"/>
        <w:rPr>
          <w:rFonts w:ascii="MS PGothic" w:cs="MS PGothic" w:eastAsia="MS PGothic" w:hAnsi="MS PGothic"/>
          <w:sz w:val="15"/>
          <w:szCs w:val="15"/>
          <w:color w:val="071D49"/>
        </w:rPr>
      </w:pPr>
    </w:p>
    <w:p>
      <w:pPr>
        <w:ind w:left="242" w:right="160" w:hanging="242"/>
        <w:spacing w:after="0" w:line="250" w:lineRule="auto"/>
        <w:tabs>
          <w:tab w:leader="none" w:pos="249" w:val="left"/>
        </w:tabs>
        <w:numPr>
          <w:ilvl w:val="0"/>
          <w:numId w:val="53"/>
        </w:numPr>
        <w:rPr>
          <w:rFonts w:ascii="MS PGothic" w:cs="MS PGothic" w:eastAsia="MS PGothic" w:hAnsi="MS PGothic"/>
          <w:sz w:val="15"/>
          <w:szCs w:val="15"/>
          <w:color w:val="071D49"/>
        </w:rPr>
      </w:pPr>
      <w:r>
        <w:rPr>
          <w:rFonts w:ascii="Arial" w:cs="Arial" w:eastAsia="Arial" w:hAnsi="Arial"/>
          <w:sz w:val="15"/>
          <w:szCs w:val="15"/>
          <w:color w:val="auto"/>
        </w:rPr>
        <w:t>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w:t>
      </w:r>
    </w:p>
    <w:p>
      <w:pPr>
        <w:spacing w:after="0" w:line="18" w:lineRule="exact"/>
        <w:rPr>
          <w:rFonts w:ascii="MS PGothic" w:cs="MS PGothic" w:eastAsia="MS PGothic" w:hAnsi="MS PGothic"/>
          <w:sz w:val="15"/>
          <w:szCs w:val="15"/>
          <w:color w:val="071D49"/>
        </w:rPr>
      </w:pPr>
    </w:p>
    <w:p>
      <w:pPr>
        <w:ind w:left="242" w:right="540" w:hanging="242"/>
        <w:spacing w:after="0" w:line="268" w:lineRule="auto"/>
        <w:tabs>
          <w:tab w:leader="none" w:pos="249" w:val="left"/>
        </w:tabs>
        <w:numPr>
          <w:ilvl w:val="0"/>
          <w:numId w:val="53"/>
        </w:numPr>
        <w:rPr>
          <w:rFonts w:ascii="MS PGothic" w:cs="MS PGothic" w:eastAsia="MS PGothic" w:hAnsi="MS PGothic"/>
          <w:sz w:val="15"/>
          <w:szCs w:val="15"/>
          <w:color w:val="071D49"/>
        </w:rPr>
      </w:pPr>
      <w:r>
        <w:rPr>
          <w:rFonts w:ascii="Arial" w:cs="Arial" w:eastAsia="Arial" w:hAnsi="Arial"/>
          <w:sz w:val="15"/>
          <w:szCs w:val="15"/>
          <w:color w:val="auto"/>
        </w:rPr>
        <w:t>The process used by this committee to identify a nominee to serve as a member of the board of directors depends on the qualities being sought, as described on page 21.</w:t>
      </w:r>
    </w:p>
    <w:p>
      <w:pPr>
        <w:spacing w:after="0" w:line="15" w:lineRule="exact"/>
        <w:rPr>
          <w:rFonts w:ascii="MS PGothic" w:cs="MS PGothic" w:eastAsia="MS PGothic" w:hAnsi="MS PGothic"/>
          <w:sz w:val="15"/>
          <w:szCs w:val="15"/>
          <w:color w:val="071D49"/>
        </w:rPr>
      </w:pPr>
    </w:p>
    <w:p>
      <w:pPr>
        <w:ind w:left="242" w:right="280" w:hanging="242"/>
        <w:spacing w:after="0" w:line="296" w:lineRule="auto"/>
        <w:tabs>
          <w:tab w:leader="none" w:pos="252" w:val="left"/>
        </w:tabs>
        <w:numPr>
          <w:ilvl w:val="0"/>
          <w:numId w:val="53"/>
        </w:numPr>
        <w:rPr>
          <w:rFonts w:ascii="MS PGothic" w:cs="MS PGothic" w:eastAsia="MS PGothic" w:hAnsi="MS PGothic"/>
          <w:sz w:val="15"/>
          <w:szCs w:val="15"/>
          <w:color w:val="071D49"/>
        </w:rPr>
      </w:pPr>
      <w:r>
        <w:rPr>
          <w:rFonts w:ascii="Arial" w:cs="Arial" w:eastAsia="Arial" w:hAnsi="Arial"/>
          <w:sz w:val="15"/>
          <w:szCs w:val="15"/>
          <w:color w:val="auto"/>
        </w:rPr>
        <w:t>From time to time, AbbVie engages an executive search firm to assist the committee in identifying individuals qualified to be board members.</w:t>
      </w:r>
    </w:p>
    <w:p>
      <w:pPr>
        <w:spacing w:after="0" w:line="200" w:lineRule="exact"/>
        <w:rPr>
          <w:sz w:val="20"/>
          <w:szCs w:val="20"/>
          <w:color w:val="auto"/>
        </w:rPr>
      </w:pPr>
    </w:p>
    <w:p>
      <w:pPr>
        <w:sectPr>
          <w:pgSz w:w="11900" w:h="16838" w:orient="portrait"/>
          <w:cols w:equalWidth="0" w:num="2">
            <w:col w:w="980" w:space="558"/>
            <w:col w:w="7742"/>
          </w:cols>
          <w:pgMar w:left="1300" w:top="486" w:right="1319" w:bottom="1440" w:gutter="0" w:footer="0" w:header="0"/>
          <w:type w:val="continuous"/>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Public Policy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834390" cy="15017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34390" cy="150177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20" w:type="dxa"/>
            <w:vAlign w:val="bottom"/>
          </w:tcPr>
          <w:p>
            <w:pPr>
              <w:ind w:left="40"/>
              <w:spacing w:after="0"/>
              <w:rPr>
                <w:sz w:val="20"/>
                <w:szCs w:val="20"/>
                <w:color w:val="auto"/>
              </w:rPr>
            </w:pPr>
            <w:r>
              <w:rPr>
                <w:rFonts w:ascii="Arial" w:cs="Arial" w:eastAsia="Arial" w:hAnsi="Arial"/>
                <w:sz w:val="15"/>
                <w:szCs w:val="15"/>
                <w:b w:val="1"/>
                <w:bCs w:val="1"/>
                <w:color w:val="auto"/>
              </w:rPr>
              <w:t>Members</w:t>
            </w:r>
          </w:p>
        </w:tc>
        <w:tc>
          <w:tcPr>
            <w:tcW w:w="4720" w:type="dxa"/>
            <w:vAlign w:val="bottom"/>
          </w:tcPr>
          <w:p>
            <w:pPr>
              <w:ind w:left="320"/>
              <w:spacing w:after="0"/>
              <w:rPr>
                <w:sz w:val="20"/>
                <w:szCs w:val="20"/>
                <w:color w:val="auto"/>
              </w:rPr>
            </w:pPr>
            <w:r>
              <w:rPr>
                <w:rFonts w:ascii="Arial" w:cs="Arial" w:eastAsia="Arial" w:hAnsi="Arial"/>
                <w:sz w:val="15"/>
                <w:szCs w:val="15"/>
                <w:b w:val="1"/>
                <w:bCs w:val="1"/>
                <w:color w:val="auto"/>
              </w:rPr>
              <w:t>Key Characteristics and Responsibilities</w:t>
            </w:r>
          </w:p>
        </w:tc>
        <w:tc>
          <w:tcPr>
            <w:tcW w:w="3320" w:type="dxa"/>
            <w:vAlign w:val="bottom"/>
          </w:tcPr>
          <w:p>
            <w:pPr>
              <w:ind w:left="1520"/>
              <w:spacing w:after="0"/>
              <w:rPr>
                <w:sz w:val="20"/>
                <w:szCs w:val="20"/>
                <w:color w:val="auto"/>
              </w:rPr>
            </w:pPr>
            <w:r>
              <w:rPr>
                <w:rFonts w:ascii="Arial" w:cs="Arial" w:eastAsia="Arial" w:hAnsi="Arial"/>
                <w:sz w:val="15"/>
                <w:szCs w:val="15"/>
                <w:b w:val="1"/>
                <w:bCs w:val="1"/>
                <w:color w:val="auto"/>
              </w:rPr>
              <w:t>Meetings in 2023: 4</w:t>
            </w:r>
          </w:p>
        </w:tc>
        <w:tc>
          <w:tcPr>
            <w:tcW w:w="0" w:type="dxa"/>
            <w:vAlign w:val="bottom"/>
          </w:tcPr>
          <w:p>
            <w:pPr>
              <w:spacing w:after="0"/>
              <w:rPr>
                <w:sz w:val="1"/>
                <w:szCs w:val="1"/>
                <w:color w:val="auto"/>
              </w:rPr>
            </w:pPr>
          </w:p>
        </w:tc>
      </w:tr>
      <w:tr>
        <w:trPr>
          <w:trHeight w:val="62"/>
        </w:trPr>
        <w:tc>
          <w:tcPr>
            <w:tcW w:w="1220" w:type="dxa"/>
            <w:vAlign w:val="bottom"/>
            <w:tcBorders>
              <w:bottom w:val="single" w:sz="8" w:color="071D49"/>
            </w:tcBorders>
          </w:tcPr>
          <w:p>
            <w:pPr>
              <w:spacing w:after="0"/>
              <w:rPr>
                <w:sz w:val="5"/>
                <w:szCs w:val="5"/>
                <w:color w:val="auto"/>
              </w:rPr>
            </w:pPr>
          </w:p>
        </w:tc>
        <w:tc>
          <w:tcPr>
            <w:tcW w:w="8040" w:type="dxa"/>
            <w:vAlign w:val="bottom"/>
            <w:tcBorders>
              <w:bottom w:val="single" w:sz="8" w:color="071D49"/>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7"/>
                <w:szCs w:val="17"/>
                <w:b w:val="1"/>
                <w:bCs w:val="1"/>
                <w:color w:val="auto"/>
              </w:rPr>
              <w:t>B. Hart</w:t>
            </w:r>
          </w:p>
        </w:tc>
        <w:tc>
          <w:tcPr>
            <w:tcW w:w="8040" w:type="dxa"/>
            <w:vAlign w:val="bottom"/>
            <w:gridSpan w:val="2"/>
          </w:tcPr>
          <w:p>
            <w:pPr>
              <w:ind w:left="32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The public policy and sustainability committee is governed by a written charter. The charter sets forth the</w:t>
            </w:r>
          </w:p>
        </w:tc>
        <w:tc>
          <w:tcPr>
            <w:tcW w:w="0" w:type="dxa"/>
            <w:vAlign w:val="bottom"/>
          </w:tcPr>
          <w:p>
            <w:pPr>
              <w:spacing w:after="0"/>
              <w:rPr>
                <w:sz w:val="1"/>
                <w:szCs w:val="1"/>
                <w:color w:val="auto"/>
              </w:rPr>
            </w:pPr>
          </w:p>
        </w:tc>
      </w:tr>
      <w:tr>
        <w:trPr>
          <w:trHeight w:val="175"/>
        </w:trPr>
        <w:tc>
          <w:tcPr>
            <w:tcW w:w="1220" w:type="dxa"/>
            <w:vAlign w:val="bottom"/>
            <w:vMerge w:val="restart"/>
          </w:tcPr>
          <w:p>
            <w:pPr>
              <w:ind w:left="140"/>
              <w:spacing w:after="0"/>
              <w:rPr>
                <w:sz w:val="20"/>
                <w:szCs w:val="20"/>
                <w:color w:val="auto"/>
              </w:rPr>
            </w:pPr>
            <w:r>
              <w:rPr>
                <w:rFonts w:ascii="Arial" w:cs="Arial" w:eastAsia="Arial" w:hAnsi="Arial"/>
                <w:sz w:val="17"/>
                <w:szCs w:val="17"/>
                <w:b w:val="1"/>
                <w:bCs w:val="1"/>
                <w:color w:val="071D49"/>
              </w:rPr>
              <w:t>(Chair)</w:t>
            </w:r>
          </w:p>
        </w:tc>
        <w:tc>
          <w:tcPr>
            <w:tcW w:w="8040" w:type="dxa"/>
            <w:vAlign w:val="bottom"/>
            <w:gridSpan w:val="2"/>
          </w:tcPr>
          <w:p>
            <w:pPr>
              <w:ind w:left="560"/>
              <w:spacing w:after="0"/>
              <w:rPr>
                <w:sz w:val="20"/>
                <w:szCs w:val="20"/>
                <w:color w:val="auto"/>
              </w:rPr>
            </w:pPr>
            <w:r>
              <w:rPr>
                <w:rFonts w:ascii="Arial" w:cs="Arial" w:eastAsia="Arial" w:hAnsi="Arial"/>
                <w:sz w:val="15"/>
                <w:szCs w:val="15"/>
                <w:color w:val="auto"/>
              </w:rPr>
              <w:t>purposes of the public policy and sustainability committee, identifies qualifications required for the public policy</w:t>
            </w:r>
          </w:p>
        </w:tc>
        <w:tc>
          <w:tcPr>
            <w:tcW w:w="0" w:type="dxa"/>
            <w:vAlign w:val="bottom"/>
          </w:tcPr>
          <w:p>
            <w:pPr>
              <w:spacing w:after="0"/>
              <w:rPr>
                <w:sz w:val="1"/>
                <w:szCs w:val="1"/>
                <w:color w:val="auto"/>
              </w:rPr>
            </w:pPr>
          </w:p>
        </w:tc>
      </w:tr>
      <w:tr>
        <w:trPr>
          <w:trHeight w:val="167"/>
        </w:trPr>
        <w:tc>
          <w:tcPr>
            <w:tcW w:w="1220" w:type="dxa"/>
            <w:vAlign w:val="bottom"/>
            <w:vMerge w:val="continue"/>
          </w:tcPr>
          <w:p>
            <w:pPr>
              <w:spacing w:after="0"/>
              <w:rPr>
                <w:sz w:val="14"/>
                <w:szCs w:val="14"/>
                <w:color w:val="auto"/>
              </w:rPr>
            </w:pPr>
          </w:p>
        </w:tc>
        <w:tc>
          <w:tcPr>
            <w:tcW w:w="8040" w:type="dxa"/>
            <w:vAlign w:val="bottom"/>
            <w:gridSpan w:val="2"/>
          </w:tcPr>
          <w:p>
            <w:pPr>
              <w:ind w:left="560"/>
              <w:spacing w:after="0" w:line="167" w:lineRule="exact"/>
              <w:rPr>
                <w:sz w:val="20"/>
                <w:szCs w:val="20"/>
                <w:color w:val="auto"/>
              </w:rPr>
            </w:pPr>
            <w:r>
              <w:rPr>
                <w:rFonts w:ascii="Arial" w:cs="Arial" w:eastAsia="Arial" w:hAnsi="Arial"/>
                <w:sz w:val="15"/>
                <w:szCs w:val="15"/>
                <w:color w:val="auto"/>
              </w:rPr>
              <w:t>and sustainability committee members, and describes the committee’s authority and responsibilities.</w:t>
            </w:r>
          </w:p>
        </w:tc>
        <w:tc>
          <w:tcPr>
            <w:tcW w:w="0" w:type="dxa"/>
            <w:vAlign w:val="bottom"/>
          </w:tcPr>
          <w:p>
            <w:pPr>
              <w:spacing w:after="0"/>
              <w:rPr>
                <w:sz w:val="1"/>
                <w:szCs w:val="1"/>
                <w:color w:val="auto"/>
              </w:rPr>
            </w:pPr>
          </w:p>
        </w:tc>
      </w:tr>
      <w:tr>
        <w:trPr>
          <w:trHeight w:val="221"/>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R. Alpern</w:t>
            </w:r>
          </w:p>
        </w:tc>
        <w:tc>
          <w:tcPr>
            <w:tcW w:w="8040" w:type="dxa"/>
            <w:vAlign w:val="bottom"/>
            <w:gridSpan w:val="2"/>
          </w:tcPr>
          <w:p>
            <w:pPr>
              <w:ind w:left="32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This committee assists the board of directors in fulfilling its oversight responsibility with respect to AbbVie’s</w:t>
            </w:r>
          </w:p>
        </w:tc>
        <w:tc>
          <w:tcPr>
            <w:tcW w:w="0" w:type="dxa"/>
            <w:vAlign w:val="bottom"/>
          </w:tcPr>
          <w:p>
            <w:pPr>
              <w:spacing w:after="0"/>
              <w:rPr>
                <w:sz w:val="1"/>
                <w:szCs w:val="1"/>
                <w:color w:val="auto"/>
              </w:rPr>
            </w:pPr>
          </w:p>
        </w:tc>
      </w:tr>
      <w:tr>
        <w:trPr>
          <w:trHeight w:val="175"/>
        </w:trPr>
        <w:tc>
          <w:tcPr>
            <w:tcW w:w="1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 Meyer</w:t>
            </w:r>
          </w:p>
        </w:tc>
        <w:tc>
          <w:tcPr>
            <w:tcW w:w="8040" w:type="dxa"/>
            <w:vAlign w:val="bottom"/>
            <w:gridSpan w:val="2"/>
          </w:tcPr>
          <w:p>
            <w:pPr>
              <w:ind w:left="560"/>
              <w:spacing w:after="0"/>
              <w:rPr>
                <w:sz w:val="20"/>
                <w:szCs w:val="20"/>
                <w:color w:val="auto"/>
              </w:rPr>
            </w:pPr>
            <w:r>
              <w:rPr>
                <w:rFonts w:ascii="Arial" w:cs="Arial" w:eastAsia="Arial" w:hAnsi="Arial"/>
                <w:sz w:val="15"/>
                <w:szCs w:val="15"/>
                <w:color w:val="auto"/>
              </w:rPr>
              <w:t>public policy, certain areas of legal and regulatory compliance, governmental affairs, health care compliance,</w:t>
            </w:r>
          </w:p>
        </w:tc>
        <w:tc>
          <w:tcPr>
            <w:tcW w:w="0" w:type="dxa"/>
            <w:vAlign w:val="bottom"/>
          </w:tcPr>
          <w:p>
            <w:pPr>
              <w:spacing w:after="0"/>
              <w:rPr>
                <w:sz w:val="1"/>
                <w:szCs w:val="1"/>
                <w:color w:val="auto"/>
              </w:rPr>
            </w:pPr>
          </w:p>
        </w:tc>
      </w:tr>
      <w:tr>
        <w:trPr>
          <w:trHeight w:val="179"/>
        </w:trPr>
        <w:tc>
          <w:tcPr>
            <w:tcW w:w="1220" w:type="dxa"/>
            <w:vAlign w:val="bottom"/>
            <w:vMerge w:val="continue"/>
          </w:tcPr>
          <w:p>
            <w:pPr>
              <w:spacing w:after="0"/>
              <w:rPr>
                <w:sz w:val="15"/>
                <w:szCs w:val="15"/>
                <w:color w:val="auto"/>
              </w:rPr>
            </w:pPr>
          </w:p>
        </w:tc>
        <w:tc>
          <w:tcPr>
            <w:tcW w:w="8040" w:type="dxa"/>
            <w:vAlign w:val="bottom"/>
            <w:gridSpan w:val="2"/>
          </w:tcPr>
          <w:p>
            <w:pPr>
              <w:ind w:left="560"/>
              <w:spacing w:after="0"/>
              <w:rPr>
                <w:sz w:val="20"/>
                <w:szCs w:val="20"/>
                <w:color w:val="auto"/>
              </w:rPr>
            </w:pPr>
            <w:r>
              <w:rPr>
                <w:rFonts w:ascii="Arial" w:cs="Arial" w:eastAsia="Arial" w:hAnsi="Arial"/>
                <w:sz w:val="15"/>
                <w:szCs w:val="15"/>
                <w:color w:val="auto"/>
              </w:rPr>
              <w:t>social responsibility, and sustainability and environmental matters that affect or could affect AbbVie.</w:t>
            </w:r>
          </w:p>
        </w:tc>
        <w:tc>
          <w:tcPr>
            <w:tcW w:w="0" w:type="dxa"/>
            <w:vAlign w:val="bottom"/>
          </w:tcPr>
          <w:p>
            <w:pPr>
              <w:spacing w:after="0"/>
              <w:rPr>
                <w:sz w:val="1"/>
                <w:szCs w:val="1"/>
                <w:color w:val="auto"/>
              </w:rPr>
            </w:pPr>
          </w:p>
        </w:tc>
      </w:tr>
      <w:tr>
        <w:trPr>
          <w:trHeight w:val="221"/>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S. Quaggin</w:t>
            </w:r>
          </w:p>
        </w:tc>
        <w:tc>
          <w:tcPr>
            <w:tcW w:w="8040" w:type="dxa"/>
            <w:vAlign w:val="bottom"/>
            <w:gridSpan w:val="2"/>
          </w:tcPr>
          <w:p>
            <w:pPr>
              <w:ind w:left="320"/>
              <w:spacing w:after="0" w:line="173" w:lineRule="exact"/>
              <w:rPr>
                <w:sz w:val="20"/>
                <w:szCs w:val="20"/>
                <w:color w:val="auto"/>
              </w:rPr>
            </w:pPr>
            <w:r>
              <w:rPr>
                <w:rFonts w:ascii="MS PGothic" w:cs="MS PGothic" w:eastAsia="MS PGothic" w:hAnsi="MS PGothic"/>
                <w:sz w:val="15"/>
                <w:szCs w:val="15"/>
                <w:color w:val="071D49"/>
              </w:rPr>
              <w:t>✓</w:t>
            </w:r>
            <w:r>
              <w:rPr>
                <w:rFonts w:ascii="Arial" w:cs="Arial" w:eastAsia="Arial" w:hAnsi="Arial"/>
                <w:sz w:val="15"/>
                <w:szCs w:val="15"/>
                <w:color w:val="auto"/>
              </w:rPr>
              <w:t xml:space="preserve">  Other topics within the committee’s purview include but are not limited to ethics and compliance matters,</w:t>
            </w:r>
          </w:p>
        </w:tc>
        <w:tc>
          <w:tcPr>
            <w:tcW w:w="0" w:type="dxa"/>
            <w:vAlign w:val="bottom"/>
          </w:tcPr>
          <w:p>
            <w:pPr>
              <w:spacing w:after="0"/>
              <w:rPr>
                <w:sz w:val="1"/>
                <w:szCs w:val="1"/>
                <w:color w:val="auto"/>
              </w:rPr>
            </w:pPr>
          </w:p>
        </w:tc>
      </w:tr>
      <w:tr>
        <w:trPr>
          <w:trHeight w:val="175"/>
        </w:trPr>
        <w:tc>
          <w:tcPr>
            <w:tcW w:w="1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 Roberts</w:t>
            </w:r>
          </w:p>
        </w:tc>
        <w:tc>
          <w:tcPr>
            <w:tcW w:w="8040" w:type="dxa"/>
            <w:vAlign w:val="bottom"/>
            <w:gridSpan w:val="2"/>
          </w:tcPr>
          <w:p>
            <w:pPr>
              <w:ind w:left="560"/>
              <w:spacing w:after="0"/>
              <w:rPr>
                <w:sz w:val="20"/>
                <w:szCs w:val="20"/>
                <w:color w:val="auto"/>
              </w:rPr>
            </w:pPr>
            <w:r>
              <w:rPr>
                <w:rFonts w:ascii="Arial" w:cs="Arial" w:eastAsia="Arial" w:hAnsi="Arial"/>
                <w:sz w:val="15"/>
                <w:szCs w:val="15"/>
                <w:color w:val="auto"/>
              </w:rPr>
              <w:t>government and regulatory trends relevant to AbbVie’s business, political contributions, and corporate</w:t>
            </w:r>
          </w:p>
        </w:tc>
        <w:tc>
          <w:tcPr>
            <w:tcW w:w="0" w:type="dxa"/>
            <w:vAlign w:val="bottom"/>
          </w:tcPr>
          <w:p>
            <w:pPr>
              <w:spacing w:after="0"/>
              <w:rPr>
                <w:sz w:val="1"/>
                <w:szCs w:val="1"/>
                <w:color w:val="auto"/>
              </w:rPr>
            </w:pPr>
          </w:p>
        </w:tc>
      </w:tr>
      <w:tr>
        <w:trPr>
          <w:trHeight w:val="198"/>
        </w:trPr>
        <w:tc>
          <w:tcPr>
            <w:tcW w:w="1220" w:type="dxa"/>
            <w:vAlign w:val="bottom"/>
            <w:vMerge w:val="continue"/>
          </w:tcPr>
          <w:p>
            <w:pPr>
              <w:spacing w:after="0"/>
              <w:rPr>
                <w:sz w:val="17"/>
                <w:szCs w:val="17"/>
                <w:color w:val="auto"/>
              </w:rPr>
            </w:pPr>
          </w:p>
        </w:tc>
        <w:tc>
          <w:tcPr>
            <w:tcW w:w="4720" w:type="dxa"/>
            <w:vAlign w:val="bottom"/>
          </w:tcPr>
          <w:p>
            <w:pPr>
              <w:ind w:left="560"/>
              <w:spacing w:after="0"/>
              <w:rPr>
                <w:sz w:val="20"/>
                <w:szCs w:val="20"/>
                <w:color w:val="auto"/>
              </w:rPr>
            </w:pPr>
            <w:r>
              <w:rPr>
                <w:rFonts w:ascii="Arial" w:cs="Arial" w:eastAsia="Arial" w:hAnsi="Arial"/>
                <w:sz w:val="15"/>
                <w:szCs w:val="15"/>
                <w:color w:val="auto"/>
              </w:rPr>
              <w:t>philanthropy.</w:t>
            </w: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 Tilton</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71D49"/>
        </w:rPr>
        <w:t>Executive Committee</w:t>
      </w:r>
    </w:p>
    <w:p>
      <w:pPr>
        <w:spacing w:after="0" w:line="92" w:lineRule="exact"/>
        <w:rPr>
          <w:sz w:val="20"/>
          <w:szCs w:val="20"/>
          <w:color w:val="auto"/>
        </w:rPr>
      </w:pPr>
    </w:p>
    <w:p>
      <w:pPr>
        <w:jc w:val="both"/>
        <w:ind w:left="20" w:right="60"/>
        <w:spacing w:after="0" w:line="246" w:lineRule="auto"/>
        <w:rPr>
          <w:sz w:val="20"/>
          <w:szCs w:val="20"/>
          <w:color w:val="auto"/>
        </w:rPr>
      </w:pPr>
      <w:r>
        <w:rPr>
          <w:rFonts w:ascii="Arial" w:cs="Arial" w:eastAsia="Arial" w:hAnsi="Arial"/>
          <w:sz w:val="17"/>
          <w:szCs w:val="17"/>
          <w:color w:val="auto"/>
        </w:rPr>
        <w:t>The executive committee members are Mr. Gonzalez, chair, Ms. Austin, Mr. Freyman, Mr. Hart, Mr. Rapp, and Mr. Tilton. This committee may exercise all of the authority of the board in the management of AbbVie, except for matters expressly reserved by law for board action.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30"/>
          <w:szCs w:val="30"/>
          <w:color w:val="auto"/>
        </w:rPr>
        <w:t>COMMUNICATING WITH THE BOARD OF DIRECTORS</w:t>
      </w:r>
    </w:p>
    <w:p>
      <w:pPr>
        <w:spacing w:after="0" w:line="21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Stockholders and other interested parties may communicate with the board of directors by writing a letter to the chairman of the board, to the lead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28</w:t>
      </w:r>
      <w:r>
        <w:rPr>
          <w:sz w:val="20"/>
          <w:szCs w:val="20"/>
          <w:color w:val="auto"/>
        </w:rPr>
        <w:tab/>
      </w:r>
      <w:r>
        <w:rPr>
          <w:sz w:val="1"/>
          <w:szCs w:val="1"/>
          <w:color w:val="auto"/>
        </w:rPr>
        <w:drawing>
          <wp:inline distT="0" distB="0" distL="0" distR="0">
            <wp:extent cx="810260" cy="1511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5887085"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180"/>
          </w:cols>
          <w:pgMar w:left="1320" w:top="486" w:right="1399" w:bottom="1440" w:gutter="0" w:footer="0" w:header="0"/>
        </w:sectPr>
      </w:pPr>
    </w:p>
    <w:bookmarkStart w:id="31" w:name="page32"/>
    <w:bookmarkEnd w:id="3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43" w:lineRule="exact"/>
        <w:rPr>
          <w:sz w:val="20"/>
          <w:szCs w:val="20"/>
          <w:color w:val="auto"/>
        </w:rPr>
      </w:pPr>
    </w:p>
    <w:p>
      <w:pPr>
        <w:ind w:left="20" w:right="60"/>
        <w:spacing w:after="0" w:line="237" w:lineRule="auto"/>
        <w:rPr>
          <w:sz w:val="20"/>
          <w:szCs w:val="20"/>
          <w:color w:val="auto"/>
        </w:rPr>
      </w:pPr>
      <w:r>
        <w:rPr>
          <w:rFonts w:ascii="Arial" w:cs="Arial" w:eastAsia="Arial" w:hAnsi="Arial"/>
          <w:sz w:val="17"/>
          <w:szCs w:val="17"/>
          <w:color w:val="auto"/>
        </w:rPr>
        <w:t>AbbVie employees are not compensated for serving on the board or board committees. AbbVie’s non-employee directors are compensated for their service under the AbbVie Non-Employee Directors’ Fee Plan and the AbbVie Amended and Restated 2013 Incentive Stock Program. As described in “Committees of the Board of Directors—Compensation Committee,” director compensation is reviewed annually by the compensation committee with the independent compensation consultant, including a review of director compensation against AbbVie’s Health Care Peer Group, and a recommendation is then provided to the full board.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sets forth the non-employee directors’ 2023 compensation.</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Change in</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Pension Value</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and</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Nonqualified</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jc w:val="right"/>
              <w:ind w:right="201"/>
              <w:spacing w:after="0"/>
              <w:rPr>
                <w:sz w:val="20"/>
                <w:szCs w:val="20"/>
                <w:color w:val="auto"/>
              </w:rPr>
            </w:pPr>
            <w:r>
              <w:rPr>
                <w:rFonts w:ascii="Arial" w:cs="Arial" w:eastAsia="Arial" w:hAnsi="Arial"/>
                <w:sz w:val="13"/>
                <w:szCs w:val="13"/>
                <w:b w:val="1"/>
                <w:bCs w:val="1"/>
                <w:color w:val="454968"/>
              </w:rPr>
              <w:t>Fees</w:t>
            </w:r>
          </w:p>
        </w:tc>
        <w:tc>
          <w:tcPr>
            <w:tcW w:w="1200" w:type="dxa"/>
            <w:vAlign w:val="bottom"/>
          </w:tcPr>
          <w:p>
            <w:pPr>
              <w:jc w:val="right"/>
              <w:ind w:right="241"/>
              <w:spacing w:after="0"/>
              <w:rPr>
                <w:sz w:val="20"/>
                <w:szCs w:val="20"/>
                <w:color w:val="auto"/>
              </w:rPr>
            </w:pPr>
            <w:r>
              <w:rPr>
                <w:rFonts w:ascii="Arial" w:cs="Arial" w:eastAsia="Arial" w:hAnsi="Arial"/>
                <w:sz w:val="13"/>
                <w:szCs w:val="13"/>
                <w:b w:val="1"/>
                <w:bCs w:val="1"/>
                <w:color w:val="454968"/>
              </w:rPr>
              <w:t>Restricted</w:t>
            </w:r>
          </w:p>
        </w:tc>
        <w:tc>
          <w:tcPr>
            <w:tcW w:w="1020" w:type="dxa"/>
            <w:vAlign w:val="bottom"/>
          </w:tcPr>
          <w:p>
            <w:pPr>
              <w:spacing w:after="0"/>
              <w:rPr>
                <w:sz w:val="13"/>
                <w:szCs w:val="13"/>
                <w:color w:val="auto"/>
              </w:rPr>
            </w:pP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Deferred</w:t>
            </w: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jc w:val="right"/>
              <w:ind w:right="201"/>
              <w:spacing w:after="0"/>
              <w:rPr>
                <w:sz w:val="20"/>
                <w:szCs w:val="20"/>
                <w:color w:val="auto"/>
              </w:rPr>
            </w:pPr>
            <w:r>
              <w:rPr>
                <w:rFonts w:ascii="Arial" w:cs="Arial" w:eastAsia="Arial" w:hAnsi="Arial"/>
                <w:sz w:val="13"/>
                <w:szCs w:val="13"/>
                <w:b w:val="1"/>
                <w:bCs w:val="1"/>
                <w:color w:val="454968"/>
              </w:rPr>
              <w:t>Earned or</w:t>
            </w:r>
          </w:p>
        </w:tc>
        <w:tc>
          <w:tcPr>
            <w:tcW w:w="1200" w:type="dxa"/>
            <w:vAlign w:val="bottom"/>
          </w:tcPr>
          <w:p>
            <w:pPr>
              <w:jc w:val="right"/>
              <w:ind w:right="241"/>
              <w:spacing w:after="0"/>
              <w:rPr>
                <w:sz w:val="20"/>
                <w:szCs w:val="20"/>
                <w:color w:val="auto"/>
              </w:rPr>
            </w:pPr>
            <w:r>
              <w:rPr>
                <w:rFonts w:ascii="Arial" w:cs="Arial" w:eastAsia="Arial" w:hAnsi="Arial"/>
                <w:sz w:val="13"/>
                <w:szCs w:val="13"/>
                <w:b w:val="1"/>
                <w:bCs w:val="1"/>
                <w:color w:val="454968"/>
              </w:rPr>
              <w:t>Stock Unit</w:t>
            </w:r>
          </w:p>
        </w:tc>
        <w:tc>
          <w:tcPr>
            <w:tcW w:w="1020" w:type="dxa"/>
            <w:vAlign w:val="bottom"/>
          </w:tcPr>
          <w:p>
            <w:pPr>
              <w:jc w:val="right"/>
              <w:ind w:right="200"/>
              <w:spacing w:after="0"/>
              <w:rPr>
                <w:sz w:val="20"/>
                <w:szCs w:val="20"/>
                <w:color w:val="auto"/>
              </w:rPr>
            </w:pPr>
            <w:r>
              <w:rPr>
                <w:rFonts w:ascii="Arial" w:cs="Arial" w:eastAsia="Arial" w:hAnsi="Arial"/>
                <w:sz w:val="13"/>
                <w:szCs w:val="13"/>
                <w:b w:val="1"/>
                <w:bCs w:val="1"/>
                <w:color w:val="454968"/>
              </w:rPr>
              <w:t>Option</w:t>
            </w: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Compensation</w:t>
            </w:r>
          </w:p>
        </w:tc>
        <w:tc>
          <w:tcPr>
            <w:tcW w:w="1460" w:type="dxa"/>
            <w:vAlign w:val="bottom"/>
          </w:tcPr>
          <w:p>
            <w:pPr>
              <w:jc w:val="right"/>
              <w:ind w:right="220"/>
              <w:spacing w:after="0"/>
              <w:rPr>
                <w:sz w:val="20"/>
                <w:szCs w:val="20"/>
                <w:color w:val="auto"/>
              </w:rPr>
            </w:pPr>
            <w:r>
              <w:rPr>
                <w:rFonts w:ascii="Arial" w:cs="Arial" w:eastAsia="Arial" w:hAnsi="Arial"/>
                <w:sz w:val="13"/>
                <w:szCs w:val="13"/>
                <w:b w:val="1"/>
                <w:bCs w:val="1"/>
                <w:color w:val="454968"/>
              </w:rPr>
              <w:t>All Other</w:t>
            </w:r>
          </w:p>
        </w:tc>
        <w:tc>
          <w:tcPr>
            <w:tcW w:w="880" w:type="dxa"/>
            <w:vAlign w:val="bottom"/>
          </w:tcPr>
          <w:p>
            <w:pPr>
              <w:spacing w:after="0"/>
              <w:rPr>
                <w:sz w:val="13"/>
                <w:szCs w:val="13"/>
                <w:color w:val="auto"/>
              </w:rPr>
            </w:pPr>
          </w:p>
        </w:tc>
      </w:tr>
      <w:tr>
        <w:trPr>
          <w:trHeight w:val="150"/>
        </w:trPr>
        <w:tc>
          <w:tcPr>
            <w:tcW w:w="1520" w:type="dxa"/>
            <w:vAlign w:val="bottom"/>
          </w:tcPr>
          <w:p>
            <w:pPr>
              <w:spacing w:after="0"/>
              <w:rPr>
                <w:sz w:val="13"/>
                <w:szCs w:val="13"/>
                <w:color w:val="auto"/>
              </w:rPr>
            </w:pPr>
          </w:p>
        </w:tc>
        <w:tc>
          <w:tcPr>
            <w:tcW w:w="1720" w:type="dxa"/>
            <w:vAlign w:val="bottom"/>
          </w:tcPr>
          <w:p>
            <w:pPr>
              <w:jc w:val="right"/>
              <w:ind w:right="201"/>
              <w:spacing w:after="0"/>
              <w:rPr>
                <w:sz w:val="20"/>
                <w:szCs w:val="20"/>
                <w:color w:val="auto"/>
              </w:rPr>
            </w:pPr>
            <w:r>
              <w:rPr>
                <w:rFonts w:ascii="Arial" w:cs="Arial" w:eastAsia="Arial" w:hAnsi="Arial"/>
                <w:sz w:val="13"/>
                <w:szCs w:val="13"/>
                <w:b w:val="1"/>
                <w:bCs w:val="1"/>
                <w:color w:val="454968"/>
              </w:rPr>
              <w:t>Paid in Cash</w:t>
            </w:r>
          </w:p>
        </w:tc>
        <w:tc>
          <w:tcPr>
            <w:tcW w:w="1200" w:type="dxa"/>
            <w:vAlign w:val="bottom"/>
          </w:tcPr>
          <w:p>
            <w:pPr>
              <w:jc w:val="right"/>
              <w:ind w:right="241"/>
              <w:spacing w:after="0"/>
              <w:rPr>
                <w:sz w:val="20"/>
                <w:szCs w:val="20"/>
                <w:color w:val="auto"/>
              </w:rPr>
            </w:pPr>
            <w:r>
              <w:rPr>
                <w:rFonts w:ascii="Arial" w:cs="Arial" w:eastAsia="Arial" w:hAnsi="Arial"/>
                <w:sz w:val="13"/>
                <w:szCs w:val="13"/>
                <w:b w:val="1"/>
                <w:bCs w:val="1"/>
                <w:color w:val="454968"/>
              </w:rPr>
              <w:t>Awards</w:t>
            </w:r>
          </w:p>
        </w:tc>
        <w:tc>
          <w:tcPr>
            <w:tcW w:w="1020" w:type="dxa"/>
            <w:vAlign w:val="bottom"/>
          </w:tcPr>
          <w:p>
            <w:pPr>
              <w:jc w:val="right"/>
              <w:ind w:right="200"/>
              <w:spacing w:after="0"/>
              <w:rPr>
                <w:sz w:val="20"/>
                <w:szCs w:val="20"/>
                <w:color w:val="auto"/>
              </w:rPr>
            </w:pPr>
            <w:r>
              <w:rPr>
                <w:rFonts w:ascii="Arial" w:cs="Arial" w:eastAsia="Arial" w:hAnsi="Arial"/>
                <w:sz w:val="13"/>
                <w:szCs w:val="13"/>
                <w:b w:val="1"/>
                <w:bCs w:val="1"/>
                <w:color w:val="454968"/>
              </w:rPr>
              <w:t>Awards</w:t>
            </w:r>
          </w:p>
        </w:tc>
        <w:tc>
          <w:tcPr>
            <w:tcW w:w="1460" w:type="dxa"/>
            <w:vAlign w:val="bottom"/>
          </w:tcPr>
          <w:p>
            <w:pPr>
              <w:jc w:val="right"/>
              <w:ind w:right="223"/>
              <w:spacing w:after="0"/>
              <w:rPr>
                <w:sz w:val="20"/>
                <w:szCs w:val="20"/>
                <w:color w:val="auto"/>
              </w:rPr>
            </w:pPr>
            <w:r>
              <w:rPr>
                <w:rFonts w:ascii="Arial" w:cs="Arial" w:eastAsia="Arial" w:hAnsi="Arial"/>
                <w:sz w:val="13"/>
                <w:szCs w:val="13"/>
                <w:b w:val="1"/>
                <w:bCs w:val="1"/>
                <w:color w:val="454968"/>
              </w:rPr>
              <w:t>Earnings</w:t>
            </w:r>
          </w:p>
        </w:tc>
        <w:tc>
          <w:tcPr>
            <w:tcW w:w="1460" w:type="dxa"/>
            <w:vAlign w:val="bottom"/>
          </w:tcPr>
          <w:p>
            <w:pPr>
              <w:jc w:val="right"/>
              <w:ind w:right="220"/>
              <w:spacing w:after="0"/>
              <w:rPr>
                <w:sz w:val="20"/>
                <w:szCs w:val="20"/>
                <w:color w:val="auto"/>
              </w:rPr>
            </w:pPr>
            <w:r>
              <w:rPr>
                <w:rFonts w:ascii="Arial" w:cs="Arial" w:eastAsia="Arial" w:hAnsi="Arial"/>
                <w:sz w:val="13"/>
                <w:szCs w:val="13"/>
                <w:b w:val="1"/>
                <w:bCs w:val="1"/>
                <w:color w:val="454968"/>
              </w:rPr>
              <w:t>Compensation</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Total</w:t>
            </w:r>
          </w:p>
        </w:tc>
      </w:tr>
      <w:tr>
        <w:trPr>
          <w:trHeight w:val="160"/>
        </w:trPr>
        <w:tc>
          <w:tcPr>
            <w:tcW w:w="152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1720" w:type="dxa"/>
            <w:vAlign w:val="bottom"/>
            <w:tcBorders>
              <w:bottom w:val="single" w:sz="8" w:color="071D49"/>
            </w:tcBorders>
          </w:tcPr>
          <w:p>
            <w:pPr>
              <w:jc w:val="right"/>
              <w:ind w:right="141"/>
              <w:spacing w:after="0"/>
              <w:rPr>
                <w:sz w:val="20"/>
                <w:szCs w:val="20"/>
                <w:color w:val="auto"/>
              </w:rPr>
            </w:pPr>
            <w:r>
              <w:rPr>
                <w:rFonts w:ascii="Arial" w:cs="Arial" w:eastAsia="Arial" w:hAnsi="Arial"/>
                <w:sz w:val="13"/>
                <w:szCs w:val="13"/>
                <w:b w:val="1"/>
                <w:bCs w:val="1"/>
                <w:color w:val="454968"/>
              </w:rPr>
              <w:t>($)(1)</w:t>
            </w:r>
          </w:p>
        </w:tc>
        <w:tc>
          <w:tcPr>
            <w:tcW w:w="1200" w:type="dxa"/>
            <w:vAlign w:val="bottom"/>
            <w:tcBorders>
              <w:bottom w:val="single" w:sz="8" w:color="071D49"/>
            </w:tcBorders>
          </w:tcPr>
          <w:p>
            <w:pPr>
              <w:jc w:val="right"/>
              <w:ind w:right="201"/>
              <w:spacing w:after="0"/>
              <w:rPr>
                <w:sz w:val="20"/>
                <w:szCs w:val="20"/>
                <w:color w:val="auto"/>
              </w:rPr>
            </w:pPr>
            <w:r>
              <w:rPr>
                <w:rFonts w:ascii="Arial" w:cs="Arial" w:eastAsia="Arial" w:hAnsi="Arial"/>
                <w:sz w:val="13"/>
                <w:szCs w:val="13"/>
                <w:b w:val="1"/>
                <w:bCs w:val="1"/>
                <w:color w:val="454968"/>
              </w:rPr>
              <w:t>($)(2)</w:t>
            </w:r>
          </w:p>
        </w:tc>
        <w:tc>
          <w:tcPr>
            <w:tcW w:w="1020" w:type="dxa"/>
            <w:vAlign w:val="bottom"/>
            <w:tcBorders>
              <w:bottom w:val="single" w:sz="8" w:color="071D49"/>
            </w:tcBorders>
          </w:tcPr>
          <w:p>
            <w:pPr>
              <w:jc w:val="right"/>
              <w:ind w:right="140"/>
              <w:spacing w:after="0"/>
              <w:rPr>
                <w:sz w:val="20"/>
                <w:szCs w:val="20"/>
                <w:color w:val="auto"/>
              </w:rPr>
            </w:pPr>
            <w:r>
              <w:rPr>
                <w:rFonts w:ascii="Arial" w:cs="Arial" w:eastAsia="Arial" w:hAnsi="Arial"/>
                <w:sz w:val="13"/>
                <w:szCs w:val="13"/>
                <w:b w:val="1"/>
                <w:bCs w:val="1"/>
                <w:color w:val="454968"/>
              </w:rPr>
              <w:t>($)(3)</w:t>
            </w:r>
          </w:p>
        </w:tc>
        <w:tc>
          <w:tcPr>
            <w:tcW w:w="1460" w:type="dxa"/>
            <w:vAlign w:val="bottom"/>
            <w:tcBorders>
              <w:bottom w:val="single" w:sz="8" w:color="071D49"/>
            </w:tcBorders>
          </w:tcPr>
          <w:p>
            <w:pPr>
              <w:jc w:val="right"/>
              <w:ind w:right="183"/>
              <w:spacing w:after="0"/>
              <w:rPr>
                <w:sz w:val="20"/>
                <w:szCs w:val="20"/>
                <w:color w:val="auto"/>
              </w:rPr>
            </w:pPr>
            <w:r>
              <w:rPr>
                <w:rFonts w:ascii="Arial" w:cs="Arial" w:eastAsia="Arial" w:hAnsi="Arial"/>
                <w:sz w:val="13"/>
                <w:szCs w:val="13"/>
                <w:b w:val="1"/>
                <w:bCs w:val="1"/>
                <w:color w:val="454968"/>
              </w:rPr>
              <w:t>($)(4)</w:t>
            </w:r>
          </w:p>
        </w:tc>
        <w:tc>
          <w:tcPr>
            <w:tcW w:w="1460" w:type="dxa"/>
            <w:vAlign w:val="bottom"/>
            <w:tcBorders>
              <w:bottom w:val="single" w:sz="8" w:color="071D49"/>
            </w:tcBorders>
          </w:tcPr>
          <w:p>
            <w:pPr>
              <w:jc w:val="right"/>
              <w:ind w:right="160"/>
              <w:spacing w:after="0"/>
              <w:rPr>
                <w:sz w:val="20"/>
                <w:szCs w:val="20"/>
                <w:color w:val="auto"/>
              </w:rPr>
            </w:pPr>
            <w:r>
              <w:rPr>
                <w:rFonts w:ascii="Arial" w:cs="Arial" w:eastAsia="Arial" w:hAnsi="Arial"/>
                <w:sz w:val="13"/>
                <w:szCs w:val="13"/>
                <w:b w:val="1"/>
                <w:bCs w:val="1"/>
                <w:color w:val="454968"/>
              </w:rPr>
              <w:t>($)(5)</w:t>
            </w: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w:t>
            </w:r>
          </w:p>
        </w:tc>
      </w:tr>
      <w:tr>
        <w:trPr>
          <w:trHeight w:val="180"/>
        </w:trPr>
        <w:tc>
          <w:tcPr>
            <w:tcW w:w="1520" w:type="dxa"/>
            <w:vAlign w:val="bottom"/>
            <w:shd w:val="clear" w:color="auto" w:fill="D9D9D9"/>
          </w:tcPr>
          <w:p>
            <w:pPr>
              <w:spacing w:after="0" w:line="180" w:lineRule="exact"/>
              <w:rPr>
                <w:sz w:val="20"/>
                <w:szCs w:val="20"/>
                <w:color w:val="auto"/>
              </w:rPr>
            </w:pPr>
            <w:r>
              <w:rPr>
                <w:rFonts w:ascii="Arial" w:cs="Arial" w:eastAsia="Arial" w:hAnsi="Arial"/>
                <w:sz w:val="17"/>
                <w:szCs w:val="17"/>
                <w:color w:val="auto"/>
              </w:rPr>
              <w:t>R. Alpern</w:t>
            </w:r>
          </w:p>
        </w:tc>
        <w:tc>
          <w:tcPr>
            <w:tcW w:w="1720" w:type="dxa"/>
            <w:vAlign w:val="bottom"/>
            <w:shd w:val="clear" w:color="auto" w:fill="D9D9D9"/>
          </w:tcPr>
          <w:p>
            <w:pPr>
              <w:jc w:val="right"/>
              <w:ind w:right="201"/>
              <w:spacing w:after="0" w:line="180" w:lineRule="exact"/>
              <w:rPr>
                <w:sz w:val="20"/>
                <w:szCs w:val="20"/>
                <w:color w:val="auto"/>
              </w:rPr>
            </w:pPr>
            <w:r>
              <w:rPr>
                <w:rFonts w:ascii="Arial" w:cs="Arial" w:eastAsia="Arial" w:hAnsi="Arial"/>
                <w:sz w:val="17"/>
                <w:szCs w:val="17"/>
                <w:color w:val="auto"/>
              </w:rPr>
              <w:t>120,000</w:t>
            </w:r>
          </w:p>
        </w:tc>
        <w:tc>
          <w:tcPr>
            <w:tcW w:w="1200" w:type="dxa"/>
            <w:vAlign w:val="bottom"/>
            <w:shd w:val="clear" w:color="auto" w:fill="D9D9D9"/>
          </w:tcPr>
          <w:p>
            <w:pPr>
              <w:jc w:val="right"/>
              <w:ind w:right="241"/>
              <w:spacing w:after="0" w:line="180"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0"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0" w:lineRule="exact"/>
              <w:rPr>
                <w:sz w:val="20"/>
                <w:szCs w:val="20"/>
                <w:color w:val="auto"/>
              </w:rPr>
            </w:pPr>
            <w:r>
              <w:rPr>
                <w:rFonts w:ascii="Arial" w:cs="Arial" w:eastAsia="Arial" w:hAnsi="Arial"/>
                <w:sz w:val="17"/>
                <w:szCs w:val="17"/>
                <w:color w:val="auto"/>
              </w:rPr>
              <w:t>101,198</w:t>
            </w:r>
          </w:p>
        </w:tc>
        <w:tc>
          <w:tcPr>
            <w:tcW w:w="1460" w:type="dxa"/>
            <w:vAlign w:val="bottom"/>
            <w:shd w:val="clear" w:color="auto" w:fill="D9D9D9"/>
          </w:tcPr>
          <w:p>
            <w:pPr>
              <w:jc w:val="right"/>
              <w:ind w:right="220"/>
              <w:spacing w:after="0" w:line="180" w:lineRule="exact"/>
              <w:rPr>
                <w:sz w:val="20"/>
                <w:szCs w:val="20"/>
                <w:color w:val="auto"/>
              </w:rPr>
            </w:pPr>
            <w:r>
              <w:rPr>
                <w:rFonts w:ascii="Arial" w:cs="Arial" w:eastAsia="Arial" w:hAnsi="Arial"/>
                <w:sz w:val="17"/>
                <w:szCs w:val="17"/>
                <w:color w:val="auto"/>
              </w:rPr>
              <w:t>25,000</w:t>
            </w:r>
          </w:p>
        </w:tc>
        <w:tc>
          <w:tcPr>
            <w:tcW w:w="88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461,175</w:t>
            </w:r>
          </w:p>
        </w:tc>
      </w:tr>
      <w:tr>
        <w:trPr>
          <w:trHeight w:val="188"/>
        </w:trPr>
        <w:tc>
          <w:tcPr>
            <w:tcW w:w="1520" w:type="dxa"/>
            <w:vAlign w:val="bottom"/>
          </w:tcPr>
          <w:p>
            <w:pPr>
              <w:spacing w:after="0" w:line="188" w:lineRule="exact"/>
              <w:rPr>
                <w:sz w:val="20"/>
                <w:szCs w:val="20"/>
                <w:color w:val="auto"/>
              </w:rPr>
            </w:pPr>
            <w:r>
              <w:rPr>
                <w:rFonts w:ascii="Arial" w:cs="Arial" w:eastAsia="Arial" w:hAnsi="Arial"/>
                <w:sz w:val="17"/>
                <w:szCs w:val="17"/>
                <w:color w:val="auto"/>
              </w:rPr>
              <w:t>R. Austin</w:t>
            </w:r>
          </w:p>
        </w:tc>
        <w:tc>
          <w:tcPr>
            <w:tcW w:w="1720" w:type="dxa"/>
            <w:vAlign w:val="bottom"/>
          </w:tcPr>
          <w:p>
            <w:pPr>
              <w:jc w:val="right"/>
              <w:ind w:right="201"/>
              <w:spacing w:after="0" w:line="188" w:lineRule="exact"/>
              <w:rPr>
                <w:sz w:val="20"/>
                <w:szCs w:val="20"/>
                <w:color w:val="auto"/>
              </w:rPr>
            </w:pPr>
            <w:r>
              <w:rPr>
                <w:rFonts w:ascii="Arial" w:cs="Arial" w:eastAsia="Arial" w:hAnsi="Arial"/>
                <w:sz w:val="17"/>
                <w:szCs w:val="17"/>
                <w:color w:val="auto"/>
              </w:rPr>
              <w:t>145,000</w:t>
            </w:r>
          </w:p>
        </w:tc>
        <w:tc>
          <w:tcPr>
            <w:tcW w:w="1200" w:type="dxa"/>
            <w:vAlign w:val="bottom"/>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line="188" w:lineRule="exact"/>
              <w:rPr>
                <w:sz w:val="20"/>
                <w:szCs w:val="20"/>
                <w:color w:val="auto"/>
              </w:rPr>
            </w:pPr>
            <w:r>
              <w:rPr>
                <w:rFonts w:ascii="Arial" w:cs="Arial" w:eastAsia="Arial" w:hAnsi="Arial"/>
                <w:sz w:val="17"/>
                <w:szCs w:val="17"/>
                <w:color w:val="auto"/>
              </w:rPr>
              <w:t>28,417</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auto"/>
              </w:rPr>
              <w:t>388,394</w:t>
            </w:r>
          </w:p>
        </w:tc>
      </w:tr>
      <w:tr>
        <w:trPr>
          <w:trHeight w:val="188"/>
        </w:trPr>
        <w:tc>
          <w:tcPr>
            <w:tcW w:w="152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W. Burnside</w:t>
            </w:r>
          </w:p>
        </w:tc>
        <w:tc>
          <w:tcPr>
            <w:tcW w:w="1720" w:type="dxa"/>
            <w:vAlign w:val="bottom"/>
            <w:shd w:val="clear" w:color="auto" w:fill="D9D9D9"/>
          </w:tcPr>
          <w:p>
            <w:pPr>
              <w:jc w:val="right"/>
              <w:ind w:right="201"/>
              <w:spacing w:after="0" w:line="188" w:lineRule="exact"/>
              <w:rPr>
                <w:sz w:val="20"/>
                <w:szCs w:val="20"/>
                <w:color w:val="auto"/>
              </w:rPr>
            </w:pPr>
            <w:r>
              <w:rPr>
                <w:rFonts w:ascii="Arial" w:cs="Arial" w:eastAsia="Arial" w:hAnsi="Arial"/>
                <w:sz w:val="17"/>
                <w:szCs w:val="17"/>
                <w:color w:val="auto"/>
              </w:rPr>
              <w:t>130,000</w:t>
            </w:r>
          </w:p>
        </w:tc>
        <w:tc>
          <w:tcPr>
            <w:tcW w:w="1200" w:type="dxa"/>
            <w:vAlign w:val="bottom"/>
            <w:shd w:val="clear" w:color="auto" w:fill="D9D9D9"/>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0"/>
              <w:spacing w:after="0" w:line="188" w:lineRule="exact"/>
              <w:rPr>
                <w:sz w:val="20"/>
                <w:szCs w:val="20"/>
                <w:color w:val="auto"/>
              </w:rPr>
            </w:pPr>
            <w:r>
              <w:rPr>
                <w:rFonts w:ascii="Arial" w:cs="Arial" w:eastAsia="Arial" w:hAnsi="Arial"/>
                <w:sz w:val="17"/>
                <w:szCs w:val="17"/>
                <w:color w:val="auto"/>
              </w:rPr>
              <w:t>32,500</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377,477</w:t>
            </w:r>
          </w:p>
        </w:tc>
      </w:tr>
      <w:tr>
        <w:trPr>
          <w:trHeight w:val="188"/>
        </w:trPr>
        <w:tc>
          <w:tcPr>
            <w:tcW w:w="1520" w:type="dxa"/>
            <w:vAlign w:val="bottom"/>
          </w:tcPr>
          <w:p>
            <w:pPr>
              <w:spacing w:after="0" w:line="188" w:lineRule="exact"/>
              <w:rPr>
                <w:sz w:val="20"/>
                <w:szCs w:val="20"/>
                <w:color w:val="auto"/>
              </w:rPr>
            </w:pPr>
            <w:r>
              <w:rPr>
                <w:rFonts w:ascii="Arial" w:cs="Arial" w:eastAsia="Arial" w:hAnsi="Arial"/>
                <w:sz w:val="17"/>
                <w:szCs w:val="17"/>
                <w:color w:val="auto"/>
              </w:rPr>
              <w:t>J. Davis</w:t>
            </w:r>
          </w:p>
        </w:tc>
        <w:tc>
          <w:tcPr>
            <w:tcW w:w="1720" w:type="dxa"/>
            <w:vAlign w:val="bottom"/>
          </w:tcPr>
          <w:p>
            <w:pPr>
              <w:jc w:val="right"/>
              <w:ind w:right="201"/>
              <w:spacing w:after="0" w:line="188" w:lineRule="exact"/>
              <w:rPr>
                <w:sz w:val="20"/>
                <w:szCs w:val="20"/>
                <w:color w:val="auto"/>
              </w:rPr>
            </w:pPr>
            <w:r>
              <w:rPr>
                <w:rFonts w:ascii="Arial" w:cs="Arial" w:eastAsia="Arial" w:hAnsi="Arial"/>
                <w:sz w:val="17"/>
                <w:szCs w:val="17"/>
                <w:color w:val="auto"/>
              </w:rPr>
              <w:t>20,000</w:t>
            </w:r>
          </w:p>
        </w:tc>
        <w:tc>
          <w:tcPr>
            <w:tcW w:w="1200" w:type="dxa"/>
            <w:vAlign w:val="bottom"/>
          </w:tcPr>
          <w:p>
            <w:pPr>
              <w:jc w:val="right"/>
              <w:ind w:right="241"/>
              <w:spacing w:after="0" w:line="188" w:lineRule="exact"/>
              <w:rPr>
                <w:sz w:val="20"/>
                <w:szCs w:val="20"/>
                <w:color w:val="auto"/>
              </w:rPr>
            </w:pPr>
            <w:r>
              <w:rPr>
                <w:rFonts w:ascii="Arial" w:cs="Arial" w:eastAsia="Arial" w:hAnsi="Arial"/>
                <w:sz w:val="17"/>
                <w:szCs w:val="17"/>
                <w:color w:val="auto"/>
              </w:rPr>
              <w:t>0</w:t>
            </w:r>
          </w:p>
        </w:tc>
        <w:tc>
          <w:tcPr>
            <w:tcW w:w="1020" w:type="dxa"/>
            <w:vAlign w:val="bottom"/>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auto"/>
              </w:rPr>
              <w:t>45,000</w:t>
            </w:r>
          </w:p>
        </w:tc>
      </w:tr>
      <w:tr>
        <w:trPr>
          <w:trHeight w:val="188"/>
        </w:trPr>
        <w:tc>
          <w:tcPr>
            <w:tcW w:w="152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T. Freyman</w:t>
            </w:r>
          </w:p>
        </w:tc>
        <w:tc>
          <w:tcPr>
            <w:tcW w:w="1720" w:type="dxa"/>
            <w:vAlign w:val="bottom"/>
            <w:shd w:val="clear" w:color="auto" w:fill="D9D9D9"/>
          </w:tcPr>
          <w:p>
            <w:pPr>
              <w:jc w:val="right"/>
              <w:ind w:right="201"/>
              <w:spacing w:after="0" w:line="188" w:lineRule="exact"/>
              <w:rPr>
                <w:sz w:val="20"/>
                <w:szCs w:val="20"/>
                <w:color w:val="auto"/>
              </w:rPr>
            </w:pPr>
            <w:r>
              <w:rPr>
                <w:rFonts w:ascii="Arial" w:cs="Arial" w:eastAsia="Arial" w:hAnsi="Arial"/>
                <w:sz w:val="17"/>
                <w:szCs w:val="17"/>
                <w:color w:val="auto"/>
              </w:rPr>
              <w:t>150,000</w:t>
            </w:r>
          </w:p>
        </w:tc>
        <w:tc>
          <w:tcPr>
            <w:tcW w:w="1200" w:type="dxa"/>
            <w:vAlign w:val="bottom"/>
            <w:shd w:val="clear" w:color="auto" w:fill="D9D9D9"/>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389,977</w:t>
            </w:r>
          </w:p>
        </w:tc>
      </w:tr>
      <w:tr>
        <w:trPr>
          <w:trHeight w:val="188"/>
        </w:trPr>
        <w:tc>
          <w:tcPr>
            <w:tcW w:w="1520" w:type="dxa"/>
            <w:vAlign w:val="bottom"/>
          </w:tcPr>
          <w:p>
            <w:pPr>
              <w:spacing w:after="0" w:line="188" w:lineRule="exact"/>
              <w:rPr>
                <w:sz w:val="20"/>
                <w:szCs w:val="20"/>
                <w:color w:val="auto"/>
              </w:rPr>
            </w:pPr>
            <w:r>
              <w:rPr>
                <w:rFonts w:ascii="Arial" w:cs="Arial" w:eastAsia="Arial" w:hAnsi="Arial"/>
                <w:sz w:val="17"/>
                <w:szCs w:val="17"/>
                <w:color w:val="auto"/>
              </w:rPr>
              <w:t>B. Hart</w:t>
            </w:r>
          </w:p>
        </w:tc>
        <w:tc>
          <w:tcPr>
            <w:tcW w:w="1720" w:type="dxa"/>
            <w:vAlign w:val="bottom"/>
          </w:tcPr>
          <w:p>
            <w:pPr>
              <w:jc w:val="right"/>
              <w:ind w:right="201"/>
              <w:spacing w:after="0" w:line="188" w:lineRule="exact"/>
              <w:rPr>
                <w:sz w:val="20"/>
                <w:szCs w:val="20"/>
                <w:color w:val="auto"/>
              </w:rPr>
            </w:pPr>
            <w:r>
              <w:rPr>
                <w:rFonts w:ascii="Arial" w:cs="Arial" w:eastAsia="Arial" w:hAnsi="Arial"/>
                <w:sz w:val="17"/>
                <w:szCs w:val="17"/>
                <w:color w:val="auto"/>
              </w:rPr>
              <w:t>145,000</w:t>
            </w:r>
          </w:p>
        </w:tc>
        <w:tc>
          <w:tcPr>
            <w:tcW w:w="1200" w:type="dxa"/>
            <w:vAlign w:val="bottom"/>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auto"/>
              </w:rPr>
              <w:t>384,977</w:t>
            </w:r>
          </w:p>
        </w:tc>
      </w:tr>
      <w:tr>
        <w:trPr>
          <w:trHeight w:val="188"/>
        </w:trPr>
        <w:tc>
          <w:tcPr>
            <w:tcW w:w="152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M. Meyer</w:t>
            </w:r>
          </w:p>
        </w:tc>
        <w:tc>
          <w:tcPr>
            <w:tcW w:w="1720" w:type="dxa"/>
            <w:vAlign w:val="bottom"/>
            <w:shd w:val="clear" w:color="auto" w:fill="D9D9D9"/>
          </w:tcPr>
          <w:p>
            <w:pPr>
              <w:jc w:val="right"/>
              <w:ind w:right="201"/>
              <w:spacing w:after="0" w:line="188" w:lineRule="exact"/>
              <w:rPr>
                <w:sz w:val="20"/>
                <w:szCs w:val="20"/>
                <w:color w:val="auto"/>
              </w:rPr>
            </w:pPr>
            <w:r>
              <w:rPr>
                <w:rFonts w:ascii="Arial" w:cs="Arial" w:eastAsia="Arial" w:hAnsi="Arial"/>
                <w:sz w:val="17"/>
                <w:szCs w:val="17"/>
                <w:color w:val="auto"/>
              </w:rPr>
              <w:t>130,000</w:t>
            </w:r>
          </w:p>
        </w:tc>
        <w:tc>
          <w:tcPr>
            <w:tcW w:w="1200" w:type="dxa"/>
            <w:vAlign w:val="bottom"/>
            <w:shd w:val="clear" w:color="auto" w:fill="D9D9D9"/>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369,977</w:t>
            </w:r>
          </w:p>
        </w:tc>
      </w:tr>
      <w:tr>
        <w:trPr>
          <w:trHeight w:val="188"/>
        </w:trPr>
        <w:tc>
          <w:tcPr>
            <w:tcW w:w="1520" w:type="dxa"/>
            <w:vAlign w:val="bottom"/>
          </w:tcPr>
          <w:p>
            <w:pPr>
              <w:spacing w:after="0" w:line="188" w:lineRule="exact"/>
              <w:rPr>
                <w:sz w:val="20"/>
                <w:szCs w:val="20"/>
                <w:color w:val="auto"/>
              </w:rPr>
            </w:pPr>
            <w:r>
              <w:rPr>
                <w:rFonts w:ascii="Arial" w:cs="Arial" w:eastAsia="Arial" w:hAnsi="Arial"/>
                <w:sz w:val="17"/>
                <w:szCs w:val="17"/>
                <w:color w:val="auto"/>
              </w:rPr>
              <w:t>S. Quaggin</w:t>
            </w:r>
          </w:p>
        </w:tc>
        <w:tc>
          <w:tcPr>
            <w:tcW w:w="1720" w:type="dxa"/>
            <w:vAlign w:val="bottom"/>
          </w:tcPr>
          <w:p>
            <w:pPr>
              <w:jc w:val="right"/>
              <w:ind w:right="201"/>
              <w:spacing w:after="0" w:line="188" w:lineRule="exact"/>
              <w:rPr>
                <w:sz w:val="20"/>
                <w:szCs w:val="20"/>
                <w:color w:val="auto"/>
              </w:rPr>
            </w:pPr>
            <w:r>
              <w:rPr>
                <w:rFonts w:ascii="Arial" w:cs="Arial" w:eastAsia="Arial" w:hAnsi="Arial"/>
                <w:sz w:val="17"/>
                <w:szCs w:val="17"/>
                <w:color w:val="auto"/>
              </w:rPr>
              <w:t>20,000</w:t>
            </w:r>
          </w:p>
        </w:tc>
        <w:tc>
          <w:tcPr>
            <w:tcW w:w="1200" w:type="dxa"/>
            <w:vAlign w:val="bottom"/>
          </w:tcPr>
          <w:p>
            <w:pPr>
              <w:jc w:val="right"/>
              <w:ind w:right="241"/>
              <w:spacing w:after="0" w:line="188" w:lineRule="exact"/>
              <w:rPr>
                <w:sz w:val="20"/>
                <w:szCs w:val="20"/>
                <w:color w:val="auto"/>
              </w:rPr>
            </w:pPr>
            <w:r>
              <w:rPr>
                <w:rFonts w:ascii="Arial" w:cs="Arial" w:eastAsia="Arial" w:hAnsi="Arial"/>
                <w:sz w:val="17"/>
                <w:szCs w:val="17"/>
                <w:color w:val="auto"/>
              </w:rPr>
              <w:t>0</w:t>
            </w:r>
          </w:p>
        </w:tc>
        <w:tc>
          <w:tcPr>
            <w:tcW w:w="1020" w:type="dxa"/>
            <w:vAlign w:val="bottom"/>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line="188" w:lineRule="exact"/>
              <w:rPr>
                <w:sz w:val="20"/>
                <w:szCs w:val="20"/>
                <w:color w:val="auto"/>
              </w:rPr>
            </w:pPr>
            <w:r>
              <w:rPr>
                <w:rFonts w:ascii="Arial" w:cs="Arial" w:eastAsia="Arial" w:hAnsi="Arial"/>
                <w:sz w:val="17"/>
                <w:szCs w:val="17"/>
                <w:color w:val="auto"/>
              </w:rPr>
              <w:t>4,000</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auto"/>
              </w:rPr>
              <w:t>24,000</w:t>
            </w:r>
          </w:p>
        </w:tc>
      </w:tr>
      <w:tr>
        <w:trPr>
          <w:trHeight w:val="188"/>
        </w:trPr>
        <w:tc>
          <w:tcPr>
            <w:tcW w:w="152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E. Rapp</w:t>
            </w:r>
          </w:p>
        </w:tc>
        <w:tc>
          <w:tcPr>
            <w:tcW w:w="1720" w:type="dxa"/>
            <w:vAlign w:val="bottom"/>
            <w:shd w:val="clear" w:color="auto" w:fill="D9D9D9"/>
          </w:tcPr>
          <w:p>
            <w:pPr>
              <w:jc w:val="right"/>
              <w:ind w:right="201"/>
              <w:spacing w:after="0" w:line="188" w:lineRule="exact"/>
              <w:rPr>
                <w:sz w:val="20"/>
                <w:szCs w:val="20"/>
                <w:color w:val="auto"/>
              </w:rPr>
            </w:pPr>
            <w:r>
              <w:rPr>
                <w:rFonts w:ascii="Arial" w:cs="Arial" w:eastAsia="Arial" w:hAnsi="Arial"/>
                <w:sz w:val="17"/>
                <w:szCs w:val="17"/>
                <w:color w:val="auto"/>
              </w:rPr>
              <w:t>155,000</w:t>
            </w:r>
          </w:p>
        </w:tc>
        <w:tc>
          <w:tcPr>
            <w:tcW w:w="1200" w:type="dxa"/>
            <w:vAlign w:val="bottom"/>
            <w:shd w:val="clear" w:color="auto" w:fill="D9D9D9"/>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394,977</w:t>
            </w:r>
          </w:p>
        </w:tc>
      </w:tr>
      <w:tr>
        <w:trPr>
          <w:trHeight w:val="188"/>
        </w:trPr>
        <w:tc>
          <w:tcPr>
            <w:tcW w:w="1520" w:type="dxa"/>
            <w:vAlign w:val="bottom"/>
          </w:tcPr>
          <w:p>
            <w:pPr>
              <w:spacing w:after="0" w:line="188" w:lineRule="exact"/>
              <w:rPr>
                <w:sz w:val="20"/>
                <w:szCs w:val="20"/>
                <w:color w:val="auto"/>
              </w:rPr>
            </w:pPr>
            <w:r>
              <w:rPr>
                <w:rFonts w:ascii="Arial" w:cs="Arial" w:eastAsia="Arial" w:hAnsi="Arial"/>
                <w:sz w:val="17"/>
                <w:szCs w:val="17"/>
                <w:color w:val="auto"/>
              </w:rPr>
              <w:t>R. Roberts</w:t>
            </w:r>
          </w:p>
        </w:tc>
        <w:tc>
          <w:tcPr>
            <w:tcW w:w="1720" w:type="dxa"/>
            <w:vAlign w:val="bottom"/>
          </w:tcPr>
          <w:p>
            <w:pPr>
              <w:jc w:val="right"/>
              <w:ind w:right="201"/>
              <w:spacing w:after="0" w:line="188" w:lineRule="exact"/>
              <w:rPr>
                <w:sz w:val="20"/>
                <w:szCs w:val="20"/>
                <w:color w:val="auto"/>
              </w:rPr>
            </w:pPr>
            <w:r>
              <w:rPr>
                <w:rFonts w:ascii="Arial" w:cs="Arial" w:eastAsia="Arial" w:hAnsi="Arial"/>
                <w:sz w:val="17"/>
                <w:szCs w:val="17"/>
                <w:color w:val="auto"/>
              </w:rPr>
              <w:t>120,000</w:t>
            </w:r>
          </w:p>
        </w:tc>
        <w:tc>
          <w:tcPr>
            <w:tcW w:w="1200" w:type="dxa"/>
            <w:vAlign w:val="bottom"/>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line="188" w:lineRule="exact"/>
              <w:rPr>
                <w:sz w:val="20"/>
                <w:szCs w:val="20"/>
                <w:color w:val="auto"/>
              </w:rPr>
            </w:pPr>
            <w:r>
              <w:rPr>
                <w:rFonts w:ascii="Arial" w:cs="Arial" w:eastAsia="Arial" w:hAnsi="Arial"/>
                <w:sz w:val="17"/>
                <w:szCs w:val="17"/>
                <w:color w:val="auto"/>
              </w:rPr>
              <w:t>25,000</w:t>
            </w:r>
          </w:p>
        </w:tc>
        <w:tc>
          <w:tcPr>
            <w:tcW w:w="880" w:type="dxa"/>
            <w:vAlign w:val="bottom"/>
          </w:tcPr>
          <w:p>
            <w:pPr>
              <w:jc w:val="right"/>
              <w:spacing w:after="0" w:line="188" w:lineRule="exact"/>
              <w:rPr>
                <w:sz w:val="20"/>
                <w:szCs w:val="20"/>
                <w:color w:val="auto"/>
              </w:rPr>
            </w:pPr>
            <w:r>
              <w:rPr>
                <w:rFonts w:ascii="Arial" w:cs="Arial" w:eastAsia="Arial" w:hAnsi="Arial"/>
                <w:sz w:val="17"/>
                <w:szCs w:val="17"/>
                <w:color w:val="auto"/>
              </w:rPr>
              <w:t>359,977</w:t>
            </w:r>
          </w:p>
        </w:tc>
      </w:tr>
      <w:tr>
        <w:trPr>
          <w:trHeight w:val="188"/>
        </w:trPr>
        <w:tc>
          <w:tcPr>
            <w:tcW w:w="152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G. Tilton</w:t>
            </w:r>
          </w:p>
        </w:tc>
        <w:tc>
          <w:tcPr>
            <w:tcW w:w="1720" w:type="dxa"/>
            <w:vAlign w:val="bottom"/>
            <w:shd w:val="clear" w:color="auto" w:fill="D9D9D9"/>
          </w:tcPr>
          <w:p>
            <w:pPr>
              <w:jc w:val="right"/>
              <w:ind w:right="201"/>
              <w:spacing w:after="0" w:line="188" w:lineRule="exact"/>
              <w:rPr>
                <w:sz w:val="20"/>
                <w:szCs w:val="20"/>
                <w:color w:val="auto"/>
              </w:rPr>
            </w:pPr>
            <w:r>
              <w:rPr>
                <w:rFonts w:ascii="Arial" w:cs="Arial" w:eastAsia="Arial" w:hAnsi="Arial"/>
                <w:sz w:val="17"/>
                <w:szCs w:val="17"/>
                <w:color w:val="auto"/>
              </w:rPr>
              <w:t>180,000</w:t>
            </w:r>
          </w:p>
        </w:tc>
        <w:tc>
          <w:tcPr>
            <w:tcW w:w="1200" w:type="dxa"/>
            <w:vAlign w:val="bottom"/>
            <w:shd w:val="clear" w:color="auto" w:fill="D9D9D9"/>
          </w:tcPr>
          <w:p>
            <w:pPr>
              <w:jc w:val="right"/>
              <w:ind w:right="241"/>
              <w:spacing w:after="0" w:line="188" w:lineRule="exact"/>
              <w:rPr>
                <w:sz w:val="20"/>
                <w:szCs w:val="20"/>
                <w:color w:val="auto"/>
              </w:rPr>
            </w:pPr>
            <w:r>
              <w:rPr>
                <w:rFonts w:ascii="Arial" w:cs="Arial" w:eastAsia="Arial" w:hAnsi="Arial"/>
                <w:sz w:val="17"/>
                <w:szCs w:val="17"/>
                <w:color w:val="auto"/>
              </w:rPr>
              <w:t>214,977</w:t>
            </w:r>
          </w:p>
        </w:tc>
        <w:tc>
          <w:tcPr>
            <w:tcW w:w="1020" w:type="dxa"/>
            <w:vAlign w:val="bottom"/>
            <w:shd w:val="clear" w:color="auto" w:fill="D9D9D9"/>
          </w:tcPr>
          <w:p>
            <w:pPr>
              <w:jc w:val="right"/>
              <w:ind w:right="200"/>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3"/>
              <w:spacing w:after="0" w:line="188" w:lineRule="exact"/>
              <w:rPr>
                <w:sz w:val="20"/>
                <w:szCs w:val="20"/>
                <w:color w:val="auto"/>
              </w:rPr>
            </w:pPr>
            <w:r>
              <w:rPr>
                <w:rFonts w:ascii="Arial" w:cs="Arial" w:eastAsia="Arial" w:hAnsi="Arial"/>
                <w:sz w:val="17"/>
                <w:szCs w:val="17"/>
                <w:color w:val="auto"/>
              </w:rPr>
              <w:t>0</w:t>
            </w:r>
          </w:p>
        </w:tc>
        <w:tc>
          <w:tcPr>
            <w:tcW w:w="1460" w:type="dxa"/>
            <w:vAlign w:val="bottom"/>
            <w:shd w:val="clear" w:color="auto" w:fill="D9D9D9"/>
          </w:tcPr>
          <w:p>
            <w:pPr>
              <w:jc w:val="right"/>
              <w:ind w:right="220"/>
              <w:spacing w:after="0" w:line="188" w:lineRule="exact"/>
              <w:rPr>
                <w:sz w:val="20"/>
                <w:szCs w:val="20"/>
                <w:color w:val="auto"/>
              </w:rPr>
            </w:pPr>
            <w:r>
              <w:rPr>
                <w:rFonts w:ascii="Arial" w:cs="Arial" w:eastAsia="Arial" w:hAnsi="Arial"/>
                <w:sz w:val="17"/>
                <w:szCs w:val="17"/>
                <w:color w:val="auto"/>
              </w:rPr>
              <w:t>26,602</w:t>
            </w:r>
          </w:p>
        </w:tc>
        <w:tc>
          <w:tcPr>
            <w:tcW w:w="8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421,579</w:t>
            </w:r>
          </w:p>
        </w:tc>
      </w:tr>
      <w:tr>
        <w:trPr>
          <w:trHeight w:val="221"/>
        </w:trPr>
        <w:tc>
          <w:tcPr>
            <w:tcW w:w="1520" w:type="dxa"/>
            <w:vAlign w:val="bottom"/>
          </w:tcPr>
          <w:p>
            <w:pPr>
              <w:spacing w:after="0"/>
              <w:rPr>
                <w:sz w:val="20"/>
                <w:szCs w:val="20"/>
                <w:color w:val="auto"/>
              </w:rPr>
            </w:pPr>
            <w:r>
              <w:rPr>
                <w:rFonts w:ascii="Arial" w:cs="Arial" w:eastAsia="Arial" w:hAnsi="Arial"/>
                <w:sz w:val="17"/>
                <w:szCs w:val="17"/>
                <w:color w:val="auto"/>
              </w:rPr>
              <w:t>F. Waddell</w:t>
            </w:r>
          </w:p>
        </w:tc>
        <w:tc>
          <w:tcPr>
            <w:tcW w:w="1720" w:type="dxa"/>
            <w:vAlign w:val="bottom"/>
          </w:tcPr>
          <w:p>
            <w:pPr>
              <w:jc w:val="right"/>
              <w:ind w:right="201"/>
              <w:spacing w:after="0"/>
              <w:rPr>
                <w:sz w:val="20"/>
                <w:szCs w:val="20"/>
                <w:color w:val="auto"/>
              </w:rPr>
            </w:pPr>
            <w:r>
              <w:rPr>
                <w:rFonts w:ascii="Arial" w:cs="Arial" w:eastAsia="Arial" w:hAnsi="Arial"/>
                <w:sz w:val="17"/>
                <w:szCs w:val="17"/>
                <w:color w:val="auto"/>
              </w:rPr>
              <w:t>130,000</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214,977</w:t>
            </w:r>
          </w:p>
        </w:tc>
        <w:tc>
          <w:tcPr>
            <w:tcW w:w="1020" w:type="dxa"/>
            <w:vAlign w:val="bottom"/>
          </w:tcPr>
          <w:p>
            <w:pPr>
              <w:jc w:val="right"/>
              <w:ind w:right="200"/>
              <w:spacing w:after="0"/>
              <w:rPr>
                <w:sz w:val="20"/>
                <w:szCs w:val="20"/>
                <w:color w:val="auto"/>
              </w:rPr>
            </w:pPr>
            <w:r>
              <w:rPr>
                <w:rFonts w:ascii="Arial" w:cs="Arial" w:eastAsia="Arial" w:hAnsi="Arial"/>
                <w:sz w:val="17"/>
                <w:szCs w:val="17"/>
                <w:color w:val="auto"/>
              </w:rPr>
              <w:t>0</w:t>
            </w:r>
          </w:p>
        </w:tc>
        <w:tc>
          <w:tcPr>
            <w:tcW w:w="1460" w:type="dxa"/>
            <w:vAlign w:val="bottom"/>
          </w:tcPr>
          <w:p>
            <w:pPr>
              <w:jc w:val="right"/>
              <w:ind w:right="223"/>
              <w:spacing w:after="0"/>
              <w:rPr>
                <w:sz w:val="20"/>
                <w:szCs w:val="20"/>
                <w:color w:val="auto"/>
              </w:rPr>
            </w:pPr>
            <w:r>
              <w:rPr>
                <w:rFonts w:ascii="Arial" w:cs="Arial" w:eastAsia="Arial" w:hAnsi="Arial"/>
                <w:sz w:val="17"/>
                <w:szCs w:val="17"/>
                <w:color w:val="auto"/>
              </w:rPr>
              <w:t>0</w:t>
            </w:r>
          </w:p>
        </w:tc>
        <w:tc>
          <w:tcPr>
            <w:tcW w:w="1460" w:type="dxa"/>
            <w:vAlign w:val="bottom"/>
          </w:tcPr>
          <w:p>
            <w:pPr>
              <w:jc w:val="right"/>
              <w:ind w:right="220"/>
              <w:spacing w:after="0"/>
              <w:rPr>
                <w:sz w:val="20"/>
                <w:szCs w:val="20"/>
                <w:color w:val="auto"/>
              </w:rPr>
            </w:pPr>
            <w:r>
              <w:rPr>
                <w:rFonts w:ascii="Arial" w:cs="Arial" w:eastAsia="Arial" w:hAnsi="Arial"/>
                <w:sz w:val="17"/>
                <w:szCs w:val="17"/>
                <w:color w:val="auto"/>
              </w:rPr>
              <w:t>25,000</w:t>
            </w:r>
          </w:p>
        </w:tc>
        <w:tc>
          <w:tcPr>
            <w:tcW w:w="880" w:type="dxa"/>
            <w:vAlign w:val="bottom"/>
          </w:tcPr>
          <w:p>
            <w:pPr>
              <w:jc w:val="right"/>
              <w:spacing w:after="0"/>
              <w:rPr>
                <w:sz w:val="20"/>
                <w:szCs w:val="20"/>
                <w:color w:val="auto"/>
              </w:rPr>
            </w:pPr>
            <w:r>
              <w:rPr>
                <w:rFonts w:ascii="Arial" w:cs="Arial" w:eastAsia="Arial" w:hAnsi="Arial"/>
                <w:sz w:val="17"/>
                <w:szCs w:val="17"/>
                <w:color w:val="auto"/>
              </w:rPr>
              <w:t>369,977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4700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18" w:lineRule="exact"/>
        <w:rPr>
          <w:sz w:val="20"/>
          <w:szCs w:val="20"/>
          <w:color w:val="auto"/>
        </w:rPr>
      </w:pPr>
    </w:p>
    <w:p>
      <w:pPr>
        <w:ind w:left="320" w:right="40" w:hanging="308"/>
        <w:spacing w:after="0" w:line="236"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 the Non-Employee Directors’ Fee Plan as in effect during 2023, non-employee directors earned $120,000 per year for service as a director and $25,000 per year for service as a chair of a board committee, other than the chair of the audit committee. The chair of the audit committee received $30,000 per year for service as chair of that committee and the other members of the audit committee received $10,000 per year as a committee member. The lead director received $50,000 in 2023 for service in that role. The non-employee director and committee fees are earned monthly for each calendar month or portion thereof that the director holds the position, excluding the month in which the director is first elected to the position.</w:t>
      </w:r>
    </w:p>
    <w:p>
      <w:pPr>
        <w:spacing w:after="0" w:line="105" w:lineRule="exact"/>
        <w:rPr>
          <w:rFonts w:ascii="Arial" w:cs="Arial" w:eastAsia="Arial" w:hAnsi="Arial"/>
          <w:sz w:val="17"/>
          <w:szCs w:val="17"/>
          <w:color w:val="auto"/>
        </w:rPr>
      </w:pPr>
    </w:p>
    <w:p>
      <w:pPr>
        <w:ind w:left="320" w:right="20"/>
        <w:spacing w:after="0" w:line="234" w:lineRule="auto"/>
        <w:rPr>
          <w:rFonts w:ascii="Arial" w:cs="Arial" w:eastAsia="Arial" w:hAnsi="Arial"/>
          <w:sz w:val="17"/>
          <w:szCs w:val="17"/>
          <w:color w:val="auto"/>
        </w:rPr>
      </w:pPr>
      <w:r>
        <w:rPr>
          <w:rFonts w:ascii="Arial" w:cs="Arial" w:eastAsia="Arial" w:hAnsi="Arial"/>
          <w:sz w:val="17"/>
          <w:szCs w:val="17"/>
          <w:color w:val="auto"/>
        </w:rPr>
        <w:t>Fees earned under the AbbVie Non-Employee Directors’ Fee Plan are, at the director’s election, paid in cash, delivered in the form of vested non-qualified stock options (based on an independent appraisal of their fair value), deferred until retirement (as an unfunded AbbVie obligation), or paid currently into an individual grantor trust established by an eligible director. The distribution of deferred fees and amounts held in a director’s grantor trust generally commences at the later of when the director reaches age 65 or upon retirement from the board of directors.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111" w:lineRule="exact"/>
        <w:rPr>
          <w:rFonts w:ascii="Arial" w:cs="Arial" w:eastAsia="Arial" w:hAnsi="Arial"/>
          <w:sz w:val="17"/>
          <w:szCs w:val="17"/>
          <w:color w:val="auto"/>
        </w:rPr>
      </w:pPr>
    </w:p>
    <w:p>
      <w:pPr>
        <w:ind w:left="320" w:right="60" w:hanging="308"/>
        <w:spacing w:after="0" w:line="238" w:lineRule="auto"/>
        <w:tabs>
          <w:tab w:leader="none" w:pos="3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the restricted stock unit awards granted during 2023, determined in accordance with Financial Accounting Standards Board (FASB) Accounting Standards Codification (ASC) Topic 718. AbbVie determines the grant date fair value of the awards by multiplying the number of units granted by the average of the high and low market prices of one share of AbbVie common stock on the award grant date.</w:t>
      </w:r>
    </w:p>
    <w:p>
      <w:pPr>
        <w:spacing w:after="0" w:line="94" w:lineRule="exact"/>
        <w:rPr>
          <w:rFonts w:ascii="Arial" w:cs="Arial" w:eastAsia="Arial" w:hAnsi="Arial"/>
          <w:sz w:val="17"/>
          <w:szCs w:val="17"/>
          <w:color w:val="auto"/>
        </w:rPr>
      </w:pPr>
    </w:p>
    <w:p>
      <w:pPr>
        <w:ind w:left="320" w:right="660"/>
        <w:spacing w:after="0" w:line="261" w:lineRule="auto"/>
        <w:rPr>
          <w:rFonts w:ascii="Arial" w:cs="Arial" w:eastAsia="Arial" w:hAnsi="Arial"/>
          <w:sz w:val="17"/>
          <w:szCs w:val="17"/>
          <w:color w:val="auto"/>
        </w:rPr>
      </w:pPr>
      <w:r>
        <w:rPr>
          <w:rFonts w:ascii="Arial" w:cs="Arial" w:eastAsia="Arial" w:hAnsi="Arial"/>
          <w:sz w:val="17"/>
          <w:szCs w:val="17"/>
          <w:color w:val="auto"/>
        </w:rPr>
        <w:t>In addition to the fees described in footnote (1), each non-employee director elected to or serving on the board of directors on the day of the 2023 annual stockholder meeting received under the AbbVie Amended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32" w:name="page33"/>
    <w:bookmarkEnd w:id="32"/>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308"/>
        <w:spacing w:after="0"/>
        <w:rPr>
          <w:sz w:val="20"/>
          <w:szCs w:val="20"/>
          <w:color w:val="auto"/>
        </w:rPr>
      </w:pPr>
      <w:r>
        <w:rPr>
          <w:rFonts w:ascii="Arial" w:cs="Arial" w:eastAsia="Arial" w:hAnsi="Arial"/>
          <w:sz w:val="17"/>
          <w:szCs w:val="17"/>
          <w:color w:val="808080"/>
        </w:rPr>
        <w:t>DIRECTOR COMPENSATION</w:t>
      </w:r>
    </w:p>
    <w:p>
      <w:pPr>
        <w:spacing w:after="0" w:line="180" w:lineRule="exact"/>
        <w:rPr>
          <w:sz w:val="20"/>
          <w:szCs w:val="20"/>
          <w:color w:val="auto"/>
        </w:rPr>
      </w:pPr>
    </w:p>
    <w:p>
      <w:pPr>
        <w:ind w:left="308" w:right="80"/>
        <w:spacing w:after="0" w:line="236" w:lineRule="auto"/>
        <w:rPr>
          <w:sz w:val="20"/>
          <w:szCs w:val="20"/>
          <w:color w:val="auto"/>
        </w:rPr>
      </w:pPr>
      <w:r>
        <w:rPr>
          <w:rFonts w:ascii="Arial" w:cs="Arial" w:eastAsia="Arial" w:hAnsi="Arial"/>
          <w:sz w:val="17"/>
          <w:szCs w:val="17"/>
          <w:color w:val="auto"/>
        </w:rPr>
        <w:t>and Restated 2013 Incentive Stock Program vested restricted stock units with a target grant date value of $215,000. In 2023, this equated to 1,450 restricted stock units (after rounding the award down to the nearest whole unit), with a reportable value of $214,977.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 under the Incentive Stock Program.</w:t>
      </w:r>
    </w:p>
    <w:p>
      <w:pPr>
        <w:spacing w:after="0" w:line="93" w:lineRule="exact"/>
        <w:rPr>
          <w:sz w:val="20"/>
          <w:szCs w:val="20"/>
          <w:color w:val="auto"/>
        </w:rPr>
      </w:pPr>
    </w:p>
    <w:p>
      <w:pPr>
        <w:ind w:left="308" w:right="60"/>
        <w:spacing w:after="0" w:line="238" w:lineRule="auto"/>
        <w:rPr>
          <w:sz w:val="20"/>
          <w:szCs w:val="20"/>
          <w:color w:val="auto"/>
        </w:rPr>
      </w:pPr>
      <w:r>
        <w:rPr>
          <w:rFonts w:ascii="Arial" w:cs="Arial" w:eastAsia="Arial" w:hAnsi="Arial"/>
          <w:sz w:val="17"/>
          <w:szCs w:val="17"/>
          <w:color w:val="auto"/>
        </w:rPr>
        <w:t>The following AbbVie restricted stock units were outstanding as of December 31, 2023: R. Alpern, 32,992; R. Austin, 24,433; W. Burnside, 24,433; J. Davis, 0; T. Freyman, 6,885; B. Hart, 16,947; M. Meyer, 13,973; S. Quaggin, 0; E. Rapp, 24,433; R. Roberts, 11,203; G. Tilton, 24,433; and F. Waddell, 24,433. These numbers include, where applicable, AbbVie restricted stock units issued with respect to Abbott Laboratories (Abbott) restricted stock units outstanding when AbbVie separated from Abbott on January 1, 2013.</w:t>
      </w:r>
    </w:p>
    <w:p>
      <w:pPr>
        <w:spacing w:after="0" w:line="107" w:lineRule="exact"/>
        <w:rPr>
          <w:sz w:val="20"/>
          <w:szCs w:val="20"/>
          <w:color w:val="auto"/>
        </w:rPr>
      </w:pPr>
    </w:p>
    <w:p>
      <w:pPr>
        <w:ind w:left="308" w:hanging="308"/>
        <w:spacing w:after="0"/>
        <w:tabs>
          <w:tab w:leader="none" w:pos="308"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AbbVie stock options were outstanding as of December 31, 2023.</w:t>
      </w:r>
    </w:p>
    <w:p>
      <w:pPr>
        <w:spacing w:after="0" w:line="129" w:lineRule="exact"/>
        <w:rPr>
          <w:rFonts w:ascii="Arial" w:cs="Arial" w:eastAsia="Arial" w:hAnsi="Arial"/>
          <w:sz w:val="17"/>
          <w:szCs w:val="17"/>
          <w:color w:val="auto"/>
        </w:rPr>
      </w:pPr>
    </w:p>
    <w:p>
      <w:pPr>
        <w:ind w:left="308" w:right="80" w:hanging="308"/>
        <w:spacing w:after="0" w:line="261"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totals in this column include reportable interest credited under the AbbVie Non-Employee Directors’ Fee Plan during 2023.</w:t>
      </w:r>
    </w:p>
    <w:p>
      <w:pPr>
        <w:spacing w:after="0" w:line="75" w:lineRule="exact"/>
        <w:rPr>
          <w:rFonts w:ascii="Arial" w:cs="Arial" w:eastAsia="Arial" w:hAnsi="Arial"/>
          <w:sz w:val="17"/>
          <w:szCs w:val="17"/>
          <w:color w:val="auto"/>
        </w:rPr>
      </w:pPr>
    </w:p>
    <w:p>
      <w:pPr>
        <w:ind w:left="308" w:right="40" w:hanging="308"/>
        <w:spacing w:after="0" w:line="235" w:lineRule="auto"/>
        <w:tabs>
          <w:tab w:leader="none" w:pos="308" w:val="left"/>
        </w:tabs>
        <w:numPr>
          <w:ilvl w:val="0"/>
          <w:numId w:val="55"/>
        </w:numPr>
        <w:rPr>
          <w:rFonts w:ascii="Arial" w:cs="Arial" w:eastAsia="Arial" w:hAnsi="Arial"/>
          <w:sz w:val="17"/>
          <w:szCs w:val="17"/>
          <w:color w:val="auto"/>
        </w:rPr>
      </w:pPr>
      <w:r>
        <w:rPr>
          <w:rFonts w:ascii="Arial" w:cs="Arial" w:eastAsia="Arial" w:hAnsi="Arial"/>
          <w:sz w:val="17"/>
          <w:szCs w:val="17"/>
          <w:color w:val="auto"/>
        </w:rPr>
        <w:t>Charitable contributions made by AbbVie’s non-employee directors are eligible for a matching contribution (up to $25,000 annually). For 2023 contributions, the AbbVie Foundation made charitable matching contributions on behalf of the following AbbVie directors: R. Alpern, $25,000; R. Austin, $25,000; W. Burnside, $32,500; J. Davis, $25,000; T. Freyman, $25,000; B. Hart, $25,000; M. Meyer, $25,000; S. Quaggin, $4,000; E. Rapp, $25,000; R. Roberts, $25,000;</w:t>
      </w:r>
    </w:p>
    <w:p>
      <w:pPr>
        <w:spacing w:after="0" w:line="1" w:lineRule="exact"/>
        <w:rPr>
          <w:rFonts w:ascii="Arial" w:cs="Arial" w:eastAsia="Arial" w:hAnsi="Arial"/>
          <w:sz w:val="17"/>
          <w:szCs w:val="17"/>
          <w:color w:val="auto"/>
        </w:rPr>
      </w:pPr>
    </w:p>
    <w:p>
      <w:pPr>
        <w:ind w:left="308"/>
        <w:spacing w:after="0" w:line="235" w:lineRule="auto"/>
        <w:rPr>
          <w:rFonts w:ascii="Arial" w:cs="Arial" w:eastAsia="Arial" w:hAnsi="Arial"/>
          <w:sz w:val="17"/>
          <w:szCs w:val="17"/>
          <w:color w:val="auto"/>
        </w:rPr>
      </w:pPr>
      <w:r>
        <w:rPr>
          <w:rFonts w:ascii="Arial" w:cs="Arial" w:eastAsia="Arial" w:hAnsi="Arial"/>
          <w:sz w:val="17"/>
          <w:szCs w:val="17"/>
          <w:color w:val="auto"/>
        </w:rPr>
        <w:t>G. Tilton, $25,000; and F. Waddell, $25,000. AbbVie dispersed $32,500 in charitable matching for Mr. Burnside during 2023, however, $7,500 of this amount represents a match for a charitable contribution made by Mr. Burnside at the end of 2022. The total match for his 2023 charitable contributions was therefore $25,000. This column also includes reimbursement for certain taxes.</w:t>
      </w:r>
    </w:p>
    <w:p>
      <w:pPr>
        <w:spacing w:after="0" w:line="200" w:lineRule="exact"/>
        <w:rPr>
          <w:sz w:val="20"/>
          <w:szCs w:val="20"/>
          <w:color w:val="auto"/>
        </w:rPr>
      </w:pPr>
    </w:p>
    <w:p>
      <w:pPr>
        <w:spacing w:after="0" w:line="351"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30</w:t>
      </w:r>
      <w:r>
        <w:rPr>
          <w:sz w:val="20"/>
          <w:szCs w:val="20"/>
          <w:color w:val="auto"/>
        </w:rPr>
        <w:tab/>
      </w:r>
      <w:r>
        <w:rPr>
          <w:sz w:val="1"/>
          <w:szCs w:val="1"/>
          <w:color w:val="auto"/>
        </w:rPr>
        <w:drawing>
          <wp:inline distT="0" distB="0" distL="0" distR="0">
            <wp:extent cx="810260" cy="1511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588708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8"/>
          </w:cols>
          <w:pgMar w:left="1312" w:top="486" w:right="1339" w:bottom="1440" w:gutter="0" w:footer="0" w:header="0"/>
        </w:sectPr>
      </w:pPr>
    </w:p>
    <w:bookmarkStart w:id="33" w:name="page34"/>
    <w:bookmarkEnd w:id="3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SECURITIES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30"/>
          <w:szCs w:val="30"/>
          <w:color w:val="auto"/>
        </w:rPr>
        <w:t>Securities Ownership of Executive Officers and Directors</w:t>
      </w:r>
    </w:p>
    <w:p>
      <w:pPr>
        <w:spacing w:after="0" w:line="178" w:lineRule="exact"/>
        <w:rPr>
          <w:sz w:val="20"/>
          <w:szCs w:val="20"/>
          <w:color w:val="auto"/>
        </w:rPr>
      </w:pPr>
    </w:p>
    <w:p>
      <w:pPr>
        <w:ind w:left="20" w:right="160"/>
        <w:spacing w:after="0" w:line="238" w:lineRule="auto"/>
        <w:rPr>
          <w:sz w:val="20"/>
          <w:szCs w:val="20"/>
          <w:color w:val="auto"/>
        </w:rPr>
      </w:pPr>
      <w:r>
        <w:rPr>
          <w:rFonts w:ascii="Arial" w:cs="Arial" w:eastAsia="Arial" w:hAnsi="Arial"/>
          <w:sz w:val="17"/>
          <w:szCs w:val="17"/>
          <w:color w:val="auto"/>
        </w:rPr>
        <w:t>The table below reflects the number of shares of AbbVie common stock beneficially owned as of January 31, 2024, by each director and director nominee, the chief executive officer, the chief financial officer, and the three other most highly paid executive officers (NEOs), and by all directors and executive officers of AbbVie as a group. It also reflects the number of stock equivalent units and restricted stock units held by non-employee directors under the AbbVie Non-Employee Directors’ Fee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5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tcPr>
          <w:p>
            <w:pPr>
              <w:jc w:val="right"/>
              <w:ind w:right="80"/>
              <w:spacing w:after="0"/>
              <w:rPr>
                <w:sz w:val="20"/>
                <w:szCs w:val="20"/>
                <w:color w:val="auto"/>
              </w:rPr>
            </w:pPr>
            <w:r>
              <w:rPr>
                <w:rFonts w:ascii="Arial" w:cs="Arial" w:eastAsia="Arial" w:hAnsi="Arial"/>
                <w:sz w:val="13"/>
                <w:szCs w:val="13"/>
                <w:b w:val="1"/>
                <w:bCs w:val="1"/>
                <w:color w:val="071D49"/>
              </w:rPr>
              <w:t>Stock Options</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071D49"/>
              </w:rPr>
              <w:t>Stock</w:t>
            </w:r>
          </w:p>
        </w:tc>
      </w:tr>
      <w:tr>
        <w:trPr>
          <w:trHeight w:val="150"/>
        </w:trPr>
        <w:tc>
          <w:tcPr>
            <w:tcW w:w="4540" w:type="dxa"/>
            <w:vAlign w:val="bottom"/>
          </w:tcPr>
          <w:p>
            <w:pPr>
              <w:spacing w:after="0"/>
              <w:rPr>
                <w:sz w:val="13"/>
                <w:szCs w:val="13"/>
                <w:color w:val="auto"/>
              </w:rPr>
            </w:pPr>
          </w:p>
        </w:tc>
        <w:tc>
          <w:tcPr>
            <w:tcW w:w="2280" w:type="dxa"/>
            <w:vAlign w:val="bottom"/>
          </w:tcPr>
          <w:p>
            <w:pPr>
              <w:jc w:val="right"/>
              <w:ind w:right="100"/>
              <w:spacing w:after="0"/>
              <w:rPr>
                <w:sz w:val="20"/>
                <w:szCs w:val="20"/>
                <w:color w:val="auto"/>
              </w:rPr>
            </w:pPr>
            <w:r>
              <w:rPr>
                <w:rFonts w:ascii="Arial" w:cs="Arial" w:eastAsia="Arial" w:hAnsi="Arial"/>
                <w:sz w:val="13"/>
                <w:szCs w:val="13"/>
                <w:b w:val="1"/>
                <w:bCs w:val="1"/>
                <w:color w:val="071D49"/>
              </w:rPr>
              <w:t>Shares</w:t>
            </w:r>
          </w:p>
        </w:tc>
        <w:tc>
          <w:tcPr>
            <w:tcW w:w="1580" w:type="dxa"/>
            <w:vAlign w:val="bottom"/>
          </w:tcPr>
          <w:p>
            <w:pPr>
              <w:jc w:val="right"/>
              <w:ind w:right="80"/>
              <w:spacing w:after="0"/>
              <w:rPr>
                <w:sz w:val="20"/>
                <w:szCs w:val="20"/>
                <w:color w:val="auto"/>
              </w:rPr>
            </w:pPr>
            <w:r>
              <w:rPr>
                <w:rFonts w:ascii="Arial" w:cs="Arial" w:eastAsia="Arial" w:hAnsi="Arial"/>
                <w:sz w:val="13"/>
                <w:szCs w:val="13"/>
                <w:b w:val="1"/>
                <w:bCs w:val="1"/>
                <w:color w:val="071D49"/>
              </w:rPr>
              <w:t>Exercisable</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071D49"/>
              </w:rPr>
              <w:t>Equivalent</w:t>
            </w:r>
          </w:p>
        </w:tc>
      </w:tr>
      <w:tr>
        <w:trPr>
          <w:trHeight w:val="135"/>
        </w:trPr>
        <w:tc>
          <w:tcPr>
            <w:tcW w:w="4540" w:type="dxa"/>
            <w:vAlign w:val="bottom"/>
          </w:tcPr>
          <w:p>
            <w:pPr>
              <w:spacing w:after="0"/>
              <w:rPr>
                <w:sz w:val="11"/>
                <w:szCs w:val="11"/>
                <w:color w:val="auto"/>
              </w:rPr>
            </w:pPr>
          </w:p>
        </w:tc>
        <w:tc>
          <w:tcPr>
            <w:tcW w:w="2280" w:type="dxa"/>
            <w:vAlign w:val="bottom"/>
          </w:tcPr>
          <w:p>
            <w:pPr>
              <w:jc w:val="right"/>
              <w:ind w:right="100"/>
              <w:spacing w:after="0" w:line="135" w:lineRule="exact"/>
              <w:rPr>
                <w:sz w:val="20"/>
                <w:szCs w:val="20"/>
                <w:color w:val="auto"/>
              </w:rPr>
            </w:pPr>
            <w:r>
              <w:rPr>
                <w:rFonts w:ascii="Arial" w:cs="Arial" w:eastAsia="Arial" w:hAnsi="Arial"/>
                <w:sz w:val="13"/>
                <w:szCs w:val="13"/>
                <w:b w:val="1"/>
                <w:bCs w:val="1"/>
                <w:color w:val="071D49"/>
              </w:rPr>
              <w:t>Beneficially</w:t>
            </w:r>
          </w:p>
        </w:tc>
        <w:tc>
          <w:tcPr>
            <w:tcW w:w="1580" w:type="dxa"/>
            <w:vAlign w:val="bottom"/>
          </w:tcPr>
          <w:p>
            <w:pPr>
              <w:jc w:val="right"/>
              <w:ind w:right="80"/>
              <w:spacing w:after="0" w:line="135" w:lineRule="exact"/>
              <w:rPr>
                <w:sz w:val="20"/>
                <w:szCs w:val="20"/>
                <w:color w:val="auto"/>
              </w:rPr>
            </w:pPr>
            <w:r>
              <w:rPr>
                <w:rFonts w:ascii="Arial" w:cs="Arial" w:eastAsia="Arial" w:hAnsi="Arial"/>
                <w:sz w:val="13"/>
                <w:szCs w:val="13"/>
                <w:b w:val="1"/>
                <w:bCs w:val="1"/>
                <w:color w:val="071D49"/>
              </w:rPr>
              <w:t>within 60 days</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071D49"/>
              </w:rPr>
              <w:t>Units</w:t>
            </w:r>
          </w:p>
        </w:tc>
      </w:tr>
      <w:tr>
        <w:trPr>
          <w:trHeight w:val="17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71D49"/>
              </w:rPr>
              <w:t>Name</w:t>
            </w:r>
          </w:p>
        </w:tc>
        <w:tc>
          <w:tcPr>
            <w:tcW w:w="2280" w:type="dxa"/>
            <w:vAlign w:val="bottom"/>
            <w:tcBorders>
              <w:bottom w:val="single" w:sz="8" w:color="auto"/>
            </w:tcBorders>
          </w:tcPr>
          <w:p>
            <w:pPr>
              <w:jc w:val="right"/>
              <w:ind w:right="100"/>
              <w:spacing w:after="0" w:line="175" w:lineRule="exact"/>
              <w:rPr>
                <w:sz w:val="20"/>
                <w:szCs w:val="20"/>
                <w:color w:val="auto"/>
              </w:rPr>
            </w:pPr>
            <w:r>
              <w:rPr>
                <w:rFonts w:ascii="Arial" w:cs="Arial" w:eastAsia="Arial" w:hAnsi="Arial"/>
                <w:sz w:val="20"/>
                <w:szCs w:val="20"/>
                <w:b w:val="1"/>
                <w:bCs w:val="1"/>
                <w:color w:val="071D49"/>
                <w:vertAlign w:val="subscript"/>
              </w:rPr>
              <w:t>Owned</w:t>
            </w:r>
            <w:r>
              <w:rPr>
                <w:rFonts w:ascii="Arial" w:cs="Arial" w:eastAsia="Arial" w:hAnsi="Arial"/>
                <w:sz w:val="9"/>
                <w:szCs w:val="9"/>
                <w:b w:val="1"/>
                <w:bCs w:val="1"/>
                <w:color w:val="071D49"/>
              </w:rPr>
              <w:t>(1)(2)(3)(4)</w:t>
            </w:r>
          </w:p>
        </w:tc>
        <w:tc>
          <w:tcPr>
            <w:tcW w:w="15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071D49"/>
              </w:rPr>
              <w:t>of January 31, 2024</w:t>
            </w:r>
          </w:p>
        </w:tc>
        <w:tc>
          <w:tcPr>
            <w:tcW w:w="860" w:type="dxa"/>
            <w:vAlign w:val="bottom"/>
            <w:tcBorders>
              <w:bottom w:val="single" w:sz="8" w:color="auto"/>
            </w:tcBorders>
          </w:tcPr>
          <w:p>
            <w:pPr>
              <w:spacing w:after="0"/>
              <w:rPr>
                <w:sz w:val="15"/>
                <w:szCs w:val="15"/>
                <w:color w:val="auto"/>
              </w:rPr>
            </w:pPr>
          </w:p>
        </w:tc>
      </w:tr>
      <w:tr>
        <w:trPr>
          <w:trHeight w:val="180"/>
        </w:trPr>
        <w:tc>
          <w:tcPr>
            <w:tcW w:w="4540" w:type="dxa"/>
            <w:vAlign w:val="bottom"/>
            <w:shd w:val="clear" w:color="auto" w:fill="D9D9D9"/>
          </w:tcPr>
          <w:p>
            <w:pPr>
              <w:ind w:left="20"/>
              <w:spacing w:after="0" w:line="180" w:lineRule="exact"/>
              <w:rPr>
                <w:sz w:val="20"/>
                <w:szCs w:val="20"/>
                <w:color w:val="auto"/>
              </w:rPr>
            </w:pPr>
            <w:r>
              <w:rPr>
                <w:rFonts w:ascii="Arial" w:cs="Arial" w:eastAsia="Arial" w:hAnsi="Arial"/>
                <w:sz w:val="17"/>
                <w:szCs w:val="17"/>
                <w:color w:val="auto"/>
              </w:rPr>
              <w:t>R. Gonzalez</w:t>
            </w:r>
          </w:p>
        </w:tc>
        <w:tc>
          <w:tcPr>
            <w:tcW w:w="2280" w:type="dxa"/>
            <w:vAlign w:val="bottom"/>
            <w:shd w:val="clear" w:color="auto" w:fill="D9D9D9"/>
          </w:tcPr>
          <w:p>
            <w:pPr>
              <w:jc w:val="right"/>
              <w:ind w:right="120"/>
              <w:spacing w:after="0" w:line="180" w:lineRule="exact"/>
              <w:rPr>
                <w:sz w:val="20"/>
                <w:szCs w:val="20"/>
                <w:color w:val="auto"/>
              </w:rPr>
            </w:pPr>
            <w:r>
              <w:rPr>
                <w:rFonts w:ascii="Arial" w:cs="Arial" w:eastAsia="Arial" w:hAnsi="Arial"/>
                <w:sz w:val="17"/>
                <w:szCs w:val="17"/>
                <w:color w:val="auto"/>
              </w:rPr>
              <w:t>523,294</w:t>
            </w:r>
          </w:p>
        </w:tc>
        <w:tc>
          <w:tcPr>
            <w:tcW w:w="1580" w:type="dxa"/>
            <w:vAlign w:val="bottom"/>
            <w:shd w:val="clear" w:color="auto" w:fill="D9D9D9"/>
          </w:tcPr>
          <w:p>
            <w:pPr>
              <w:jc w:val="right"/>
              <w:ind w:right="100"/>
              <w:spacing w:after="0" w:line="180" w:lineRule="exact"/>
              <w:rPr>
                <w:sz w:val="20"/>
                <w:szCs w:val="20"/>
                <w:color w:val="auto"/>
              </w:rPr>
            </w:pPr>
            <w:r>
              <w:rPr>
                <w:rFonts w:ascii="Arial" w:cs="Arial" w:eastAsia="Arial" w:hAnsi="Arial"/>
                <w:sz w:val="17"/>
                <w:szCs w:val="17"/>
                <w:color w:val="auto"/>
              </w:rPr>
              <w:t>958,807</w:t>
            </w:r>
          </w:p>
        </w:tc>
        <w:tc>
          <w:tcPr>
            <w:tcW w:w="86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R. Alpern</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33,121</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9,285</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R. Austin</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35,933</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W. Burnside</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24,433</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J. Davis</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0</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T. Freyman</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132,108</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B. Hart</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16,947</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M. Meyer</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13,973</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S. Quaggin</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0</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64</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E. Rapp</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40,422</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25,266</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R. Roberts</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11,203</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G. Tilton</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49,389</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35,795</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F. Waddell</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26,433</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0</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R. Michael</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98,645</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303,007</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S. Reents</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809</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108,431</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tcPr>
          <w:p>
            <w:pPr>
              <w:ind w:left="20"/>
              <w:spacing w:after="0" w:line="188" w:lineRule="exact"/>
              <w:rPr>
                <w:sz w:val="20"/>
                <w:szCs w:val="20"/>
                <w:color w:val="auto"/>
              </w:rPr>
            </w:pPr>
            <w:r>
              <w:rPr>
                <w:rFonts w:ascii="Arial" w:cs="Arial" w:eastAsia="Arial" w:hAnsi="Arial"/>
                <w:sz w:val="17"/>
                <w:szCs w:val="17"/>
                <w:color w:val="auto"/>
              </w:rPr>
              <w:t>A. Saleki-Gerhardt</w:t>
            </w:r>
          </w:p>
        </w:tc>
        <w:tc>
          <w:tcPr>
            <w:tcW w:w="2280" w:type="dxa"/>
            <w:vAlign w:val="bottom"/>
          </w:tcPr>
          <w:p>
            <w:pPr>
              <w:jc w:val="right"/>
              <w:ind w:right="120"/>
              <w:spacing w:after="0" w:line="188" w:lineRule="exact"/>
              <w:rPr>
                <w:sz w:val="20"/>
                <w:szCs w:val="20"/>
                <w:color w:val="auto"/>
              </w:rPr>
            </w:pPr>
            <w:r>
              <w:rPr>
                <w:rFonts w:ascii="Arial" w:cs="Arial" w:eastAsia="Arial" w:hAnsi="Arial"/>
                <w:sz w:val="17"/>
                <w:szCs w:val="17"/>
                <w:color w:val="auto"/>
              </w:rPr>
              <w:t>196,044</w:t>
            </w:r>
          </w:p>
        </w:tc>
        <w:tc>
          <w:tcPr>
            <w:tcW w:w="1580" w:type="dxa"/>
            <w:vAlign w:val="bottom"/>
          </w:tcPr>
          <w:p>
            <w:pPr>
              <w:jc w:val="right"/>
              <w:ind w:right="100"/>
              <w:spacing w:after="0" w:line="188" w:lineRule="exact"/>
              <w:rPr>
                <w:sz w:val="20"/>
                <w:szCs w:val="20"/>
                <w:color w:val="auto"/>
              </w:rPr>
            </w:pPr>
            <w:r>
              <w:rPr>
                <w:rFonts w:ascii="Arial" w:cs="Arial" w:eastAsia="Arial" w:hAnsi="Arial"/>
                <w:sz w:val="17"/>
                <w:szCs w:val="17"/>
                <w:color w:val="auto"/>
              </w:rPr>
              <w:t>762,398</w:t>
            </w:r>
          </w:p>
        </w:tc>
        <w:tc>
          <w:tcPr>
            <w:tcW w:w="86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r>
      <w:tr>
        <w:trPr>
          <w:trHeight w:val="188"/>
        </w:trPr>
        <w:tc>
          <w:tcPr>
            <w:tcW w:w="454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J. Stewart</w:t>
            </w:r>
          </w:p>
        </w:tc>
        <w:tc>
          <w:tcPr>
            <w:tcW w:w="2280" w:type="dxa"/>
            <w:vAlign w:val="bottom"/>
            <w:shd w:val="clear" w:color="auto" w:fill="D9D9D9"/>
          </w:tcPr>
          <w:p>
            <w:pPr>
              <w:jc w:val="right"/>
              <w:ind w:right="120"/>
              <w:spacing w:after="0" w:line="188" w:lineRule="exact"/>
              <w:rPr>
                <w:sz w:val="20"/>
                <w:szCs w:val="20"/>
                <w:color w:val="auto"/>
              </w:rPr>
            </w:pPr>
            <w:r>
              <w:rPr>
                <w:rFonts w:ascii="Arial" w:cs="Arial" w:eastAsia="Arial" w:hAnsi="Arial"/>
                <w:sz w:val="17"/>
                <w:szCs w:val="17"/>
                <w:color w:val="auto"/>
              </w:rPr>
              <w:t>62,279</w:t>
            </w:r>
          </w:p>
        </w:tc>
        <w:tc>
          <w:tcPr>
            <w:tcW w:w="1580" w:type="dxa"/>
            <w:vAlign w:val="bottom"/>
            <w:shd w:val="clear" w:color="auto" w:fill="D9D9D9"/>
          </w:tcPr>
          <w:p>
            <w:pPr>
              <w:jc w:val="right"/>
              <w:ind w:right="100"/>
              <w:spacing w:after="0" w:line="188" w:lineRule="exact"/>
              <w:rPr>
                <w:sz w:val="20"/>
                <w:szCs w:val="20"/>
                <w:color w:val="auto"/>
              </w:rPr>
            </w:pPr>
            <w:r>
              <w:rPr>
                <w:rFonts w:ascii="Arial" w:cs="Arial" w:eastAsia="Arial" w:hAnsi="Arial"/>
                <w:sz w:val="17"/>
                <w:szCs w:val="17"/>
                <w:color w:val="auto"/>
              </w:rPr>
              <w:t>196,971</w:t>
            </w:r>
          </w:p>
        </w:tc>
        <w:tc>
          <w:tcPr>
            <w:tcW w:w="8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r>
      <w:tr>
        <w:trPr>
          <w:trHeight w:val="292"/>
        </w:trPr>
        <w:tc>
          <w:tcPr>
            <w:tcW w:w="4540" w:type="dxa"/>
            <w:vAlign w:val="bottom"/>
          </w:tcPr>
          <w:p>
            <w:pPr>
              <w:ind w:left="20"/>
              <w:spacing w:after="0"/>
              <w:rPr>
                <w:sz w:val="20"/>
                <w:szCs w:val="20"/>
                <w:color w:val="auto"/>
              </w:rPr>
            </w:pPr>
            <w:r>
              <w:rPr>
                <w:rFonts w:ascii="Arial" w:cs="Arial" w:eastAsia="Arial" w:hAnsi="Arial"/>
                <w:sz w:val="17"/>
                <w:szCs w:val="17"/>
                <w:color w:val="auto"/>
              </w:rPr>
              <w:t>All directors and executive officers as a group</w:t>
            </w:r>
          </w:p>
        </w:tc>
        <w:tc>
          <w:tcPr>
            <w:tcW w:w="2280" w:type="dxa"/>
            <w:vAlign w:val="bottom"/>
          </w:tcPr>
          <w:p>
            <w:pPr>
              <w:jc w:val="right"/>
              <w:ind w:right="120"/>
              <w:spacing w:after="0"/>
              <w:rPr>
                <w:sz w:val="20"/>
                <w:szCs w:val="20"/>
                <w:color w:val="auto"/>
              </w:rPr>
            </w:pPr>
            <w:r>
              <w:rPr>
                <w:rFonts w:ascii="Arial" w:cs="Arial" w:eastAsia="Arial" w:hAnsi="Arial"/>
                <w:sz w:val="17"/>
                <w:szCs w:val="17"/>
                <w:color w:val="auto"/>
              </w:rPr>
              <w:t>1,463,777</w:t>
            </w:r>
          </w:p>
        </w:tc>
        <w:tc>
          <w:tcPr>
            <w:tcW w:w="1580" w:type="dxa"/>
            <w:vAlign w:val="bottom"/>
          </w:tcPr>
          <w:p>
            <w:pPr>
              <w:jc w:val="right"/>
              <w:ind w:right="100"/>
              <w:spacing w:after="0"/>
              <w:rPr>
                <w:sz w:val="20"/>
                <w:szCs w:val="20"/>
                <w:color w:val="auto"/>
              </w:rPr>
            </w:pPr>
            <w:r>
              <w:rPr>
                <w:rFonts w:ascii="Arial" w:cs="Arial" w:eastAsia="Arial" w:hAnsi="Arial"/>
                <w:sz w:val="17"/>
                <w:szCs w:val="17"/>
                <w:color w:val="auto"/>
              </w:rPr>
              <w:t>2,961,269</w:t>
            </w:r>
          </w:p>
        </w:tc>
        <w:tc>
          <w:tcPr>
            <w:tcW w:w="860" w:type="dxa"/>
            <w:vAlign w:val="bottom"/>
          </w:tcPr>
          <w:p>
            <w:pPr>
              <w:jc w:val="right"/>
              <w:spacing w:after="0"/>
              <w:rPr>
                <w:sz w:val="20"/>
                <w:szCs w:val="20"/>
                <w:color w:val="auto"/>
              </w:rPr>
            </w:pPr>
            <w:r>
              <w:rPr>
                <w:rFonts w:ascii="Arial" w:cs="Arial" w:eastAsia="Arial" w:hAnsi="Arial"/>
                <w:sz w:val="17"/>
                <w:szCs w:val="17"/>
                <w:color w:val="auto"/>
              </w:rPr>
              <w:t>70,410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4700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34" w:lineRule="exact"/>
        <w:rPr>
          <w:sz w:val="20"/>
          <w:szCs w:val="20"/>
          <w:color w:val="auto"/>
        </w:rPr>
      </w:pPr>
    </w:p>
    <w:p>
      <w:pPr>
        <w:ind w:left="320" w:right="80" w:hanging="308"/>
        <w:spacing w:after="0" w:line="246"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table includes shares held in the executive officers’ accounts in the AbbVie Savings Plan as follows: all executive officers as a group, 2,322. Each executive officer has shared voting power and sole investment power with respect to the shares held in their account.</w:t>
      </w:r>
    </w:p>
    <w:p>
      <w:pPr>
        <w:spacing w:after="0" w:line="99" w:lineRule="exact"/>
        <w:rPr>
          <w:rFonts w:ascii="Arial" w:cs="Arial" w:eastAsia="Arial" w:hAnsi="Arial"/>
          <w:sz w:val="17"/>
          <w:szCs w:val="17"/>
          <w:color w:val="auto"/>
        </w:rPr>
      </w:pPr>
    </w:p>
    <w:p>
      <w:pPr>
        <w:ind w:left="320" w:right="140" w:hanging="308"/>
        <w:spacing w:after="0" w:line="261"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table includes restricted stock units held by the non-employee directors. The directors’ units are payable in stock as described in footnote (2) to the Director Compensation table.</w:t>
      </w:r>
    </w:p>
    <w:p>
      <w:pPr>
        <w:spacing w:after="0" w:line="87" w:lineRule="exact"/>
        <w:rPr>
          <w:rFonts w:ascii="Arial" w:cs="Arial" w:eastAsia="Arial" w:hAnsi="Arial"/>
          <w:sz w:val="17"/>
          <w:szCs w:val="17"/>
          <w:color w:val="auto"/>
        </w:rPr>
      </w:pPr>
    </w:p>
    <w:p>
      <w:pPr>
        <w:ind w:left="320" w:right="140" w:hanging="308"/>
        <w:spacing w:after="0" w:line="261"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table includes shared voting and/or investment power over shares as follows: J. Stewart, 1,338; A. Saleki-Gerhardt, 6,195; T. Freyman, 7,882; G. Tilton, 350; and all directors and executive officers as a group, 26,153.</w:t>
      </w:r>
    </w:p>
    <w:p>
      <w:pPr>
        <w:spacing w:after="0" w:line="75" w:lineRule="exact"/>
        <w:rPr>
          <w:rFonts w:ascii="Arial" w:cs="Arial" w:eastAsia="Arial" w:hAnsi="Arial"/>
          <w:sz w:val="17"/>
          <w:szCs w:val="17"/>
          <w:color w:val="auto"/>
        </w:rPr>
      </w:pPr>
    </w:p>
    <w:p>
      <w:pPr>
        <w:ind w:left="320" w:right="200" w:hanging="308"/>
        <w:spacing w:after="0" w:line="261" w:lineRule="auto"/>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directors and named executive officers, individually, and the directors and executive officers, as a group, each own less than one percent of the outstanding shares of AbbVie.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30"/>
          <w:szCs w:val="30"/>
          <w:color w:val="auto"/>
        </w:rPr>
        <w:t>Securities Ownership of Principal Stockholders</w:t>
      </w:r>
    </w:p>
    <w:p>
      <w:pPr>
        <w:spacing w:after="0" w:line="178"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The table below reports the number of shares of AbbVie common stock beneficially owned as of December 31, 2023 by The Vanguard Group and BlackRock, Inc. (directly or through subsidiaries), respectively, the only persons known to AbbVie to own beneficially more than 5% of AbbVie’s outstanding common stock. It is based on information contained in Schedules 13G filed with the Securities and Exchange Commission by The Vanguard Group on February 13, 2024 and by BlackRock, Inc. on January 25, 2024. The Vanguard Group reported that it had sole voting power with respect to 0 shares, shared voting power with respect to 2,359,434 shares, sole dispositive power with respect to 152,454,429 shares and shared dispositive power with respect to</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34" w:name="page35"/>
    <w:bookmarkEnd w:id="34"/>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808080"/>
        </w:rPr>
        <w:t>SECURITIES OWNERSHIP</w:t>
      </w:r>
    </w:p>
    <w:p>
      <w:pPr>
        <w:spacing w:after="0" w:line="180" w:lineRule="exact"/>
        <w:rPr>
          <w:sz w:val="20"/>
          <w:szCs w:val="20"/>
          <w:color w:val="auto"/>
        </w:rPr>
      </w:pPr>
    </w:p>
    <w:p>
      <w:pPr>
        <w:ind w:left="20" w:right="80"/>
        <w:spacing w:after="0" w:line="246" w:lineRule="auto"/>
        <w:rPr>
          <w:sz w:val="20"/>
          <w:szCs w:val="20"/>
          <w:color w:val="auto"/>
        </w:rPr>
      </w:pPr>
      <w:r>
        <w:rPr>
          <w:rFonts w:ascii="Arial" w:cs="Arial" w:eastAsia="Arial" w:hAnsi="Arial"/>
          <w:sz w:val="17"/>
          <w:szCs w:val="17"/>
          <w:color w:val="auto"/>
        </w:rPr>
        <w:t>7,925,628 shares. BlackRock, Inc. reported that it had sole voting power with respect to 129,971,632 shares, shared voting power with respect to 0 shares, sole dispositive power with respect to 143,180,060 shares and shared dispositive power with respect to 0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60" w:type="dxa"/>
            <w:vAlign w:val="bottom"/>
            <w:tcBorders>
              <w:bottom w:val="single" w:sz="8" w:color="071D49"/>
            </w:tcBorders>
          </w:tcPr>
          <w:p>
            <w:pPr>
              <w:ind w:left="20"/>
              <w:spacing w:after="0"/>
              <w:rPr>
                <w:sz w:val="20"/>
                <w:szCs w:val="20"/>
                <w:color w:val="auto"/>
              </w:rPr>
            </w:pPr>
            <w:r>
              <w:rPr>
                <w:rFonts w:ascii="Arial" w:cs="Arial" w:eastAsia="Arial" w:hAnsi="Arial"/>
                <w:sz w:val="13"/>
                <w:szCs w:val="13"/>
                <w:b w:val="1"/>
                <w:bCs w:val="1"/>
                <w:color w:val="071D49"/>
              </w:rPr>
              <w:t>Name and Address of Beneficial Owner</w:t>
            </w:r>
          </w:p>
        </w:tc>
        <w:tc>
          <w:tcPr>
            <w:tcW w:w="2200" w:type="dxa"/>
            <w:vAlign w:val="bottom"/>
            <w:tcBorders>
              <w:bottom w:val="single" w:sz="8" w:color="071D49"/>
            </w:tcBorders>
          </w:tcPr>
          <w:p>
            <w:pPr>
              <w:jc w:val="right"/>
              <w:ind w:right="82"/>
              <w:spacing w:after="0"/>
              <w:rPr>
                <w:sz w:val="20"/>
                <w:szCs w:val="20"/>
                <w:color w:val="auto"/>
              </w:rPr>
            </w:pPr>
            <w:r>
              <w:rPr>
                <w:rFonts w:ascii="Arial" w:cs="Arial" w:eastAsia="Arial" w:hAnsi="Arial"/>
                <w:sz w:val="13"/>
                <w:szCs w:val="13"/>
                <w:b w:val="1"/>
                <w:bCs w:val="1"/>
                <w:color w:val="071D49"/>
              </w:rPr>
              <w:t>Shares Beneficially Owned</w:t>
            </w:r>
          </w:p>
        </w:tc>
        <w:tc>
          <w:tcPr>
            <w:tcW w:w="1400" w:type="dxa"/>
            <w:vAlign w:val="bottom"/>
            <w:tcBorders>
              <w:bottom w:val="single" w:sz="8" w:color="071D49"/>
            </w:tcBorders>
          </w:tcPr>
          <w:p>
            <w:pPr>
              <w:jc w:val="right"/>
              <w:ind w:right="122"/>
              <w:spacing w:after="0"/>
              <w:rPr>
                <w:sz w:val="20"/>
                <w:szCs w:val="20"/>
                <w:color w:val="auto"/>
              </w:rPr>
            </w:pPr>
            <w:r>
              <w:rPr>
                <w:rFonts w:ascii="Arial" w:cs="Arial" w:eastAsia="Arial" w:hAnsi="Arial"/>
                <w:sz w:val="13"/>
                <w:szCs w:val="13"/>
                <w:b w:val="1"/>
                <w:bCs w:val="1"/>
                <w:color w:val="071D49"/>
              </w:rPr>
              <w:t>Percent of Class</w:t>
            </w:r>
          </w:p>
        </w:tc>
      </w:tr>
      <w:tr>
        <w:trPr>
          <w:trHeight w:val="163"/>
        </w:trPr>
        <w:tc>
          <w:tcPr>
            <w:tcW w:w="5660" w:type="dxa"/>
            <w:vAlign w:val="bottom"/>
            <w:shd w:val="clear" w:color="auto" w:fill="D9D9D9"/>
          </w:tcPr>
          <w:p>
            <w:pPr>
              <w:jc w:val="right"/>
              <w:ind w:right="4019"/>
              <w:spacing w:after="0" w:line="163" w:lineRule="exact"/>
              <w:rPr>
                <w:sz w:val="20"/>
                <w:szCs w:val="20"/>
                <w:color w:val="auto"/>
              </w:rPr>
            </w:pPr>
            <w:r>
              <w:rPr>
                <w:rFonts w:ascii="Arial" w:cs="Arial" w:eastAsia="Arial" w:hAnsi="Arial"/>
                <w:sz w:val="17"/>
                <w:szCs w:val="17"/>
                <w:color w:val="auto"/>
                <w:w w:val="96"/>
              </w:rPr>
              <w:t>The Vanguard Group</w:t>
            </w:r>
          </w:p>
        </w:tc>
        <w:tc>
          <w:tcPr>
            <w:tcW w:w="2200" w:type="dxa"/>
            <w:vAlign w:val="bottom"/>
            <w:shd w:val="clear" w:color="auto" w:fill="D9D9D9"/>
          </w:tcPr>
          <w:p>
            <w:pPr>
              <w:jc w:val="right"/>
              <w:ind w:right="102"/>
              <w:spacing w:after="0" w:line="163" w:lineRule="exact"/>
              <w:rPr>
                <w:sz w:val="20"/>
                <w:szCs w:val="20"/>
                <w:color w:val="auto"/>
              </w:rPr>
            </w:pPr>
            <w:r>
              <w:rPr>
                <w:rFonts w:ascii="Arial" w:cs="Arial" w:eastAsia="Arial" w:hAnsi="Arial"/>
                <w:sz w:val="17"/>
                <w:szCs w:val="17"/>
                <w:color w:val="auto"/>
              </w:rPr>
              <w:t>160,380,057</w:t>
            </w:r>
          </w:p>
        </w:tc>
        <w:tc>
          <w:tcPr>
            <w:tcW w:w="1400" w:type="dxa"/>
            <w:vAlign w:val="bottom"/>
            <w:shd w:val="clear" w:color="auto" w:fill="D9D9D9"/>
          </w:tcPr>
          <w:p>
            <w:pPr>
              <w:jc w:val="right"/>
              <w:spacing w:after="0" w:line="163" w:lineRule="exact"/>
              <w:rPr>
                <w:sz w:val="20"/>
                <w:szCs w:val="20"/>
                <w:color w:val="auto"/>
              </w:rPr>
            </w:pPr>
            <w:r>
              <w:rPr>
                <w:rFonts w:ascii="Arial" w:cs="Arial" w:eastAsia="Arial" w:hAnsi="Arial"/>
                <w:sz w:val="17"/>
                <w:szCs w:val="17"/>
                <w:color w:val="auto"/>
              </w:rPr>
              <w:t>9.08   %</w:t>
            </w:r>
          </w:p>
        </w:tc>
      </w:tr>
      <w:tr>
        <w:trPr>
          <w:trHeight w:val="188"/>
        </w:trPr>
        <w:tc>
          <w:tcPr>
            <w:tcW w:w="5660" w:type="dxa"/>
            <w:vAlign w:val="bottom"/>
            <w:shd w:val="clear" w:color="auto" w:fill="D9D9D9"/>
          </w:tcPr>
          <w:p>
            <w:pPr>
              <w:jc w:val="right"/>
              <w:ind w:right="4019"/>
              <w:spacing w:after="0" w:line="188" w:lineRule="exact"/>
              <w:rPr>
                <w:sz w:val="20"/>
                <w:szCs w:val="20"/>
                <w:color w:val="auto"/>
              </w:rPr>
            </w:pPr>
            <w:r>
              <w:rPr>
                <w:rFonts w:ascii="Arial" w:cs="Arial" w:eastAsia="Arial" w:hAnsi="Arial"/>
                <w:sz w:val="17"/>
                <w:szCs w:val="17"/>
                <w:color w:val="auto"/>
              </w:rPr>
              <w:t>100 Vanguard Blvd.</w:t>
            </w:r>
          </w:p>
        </w:tc>
        <w:tc>
          <w:tcPr>
            <w:tcW w:w="2200" w:type="dxa"/>
            <w:vAlign w:val="bottom"/>
            <w:shd w:val="clear" w:color="auto" w:fill="D9D9D9"/>
          </w:tcPr>
          <w:p>
            <w:pPr>
              <w:spacing w:after="0"/>
              <w:rPr>
                <w:sz w:val="16"/>
                <w:szCs w:val="16"/>
                <w:color w:val="auto"/>
              </w:rPr>
            </w:pPr>
          </w:p>
        </w:tc>
        <w:tc>
          <w:tcPr>
            <w:tcW w:w="1400" w:type="dxa"/>
            <w:vAlign w:val="bottom"/>
            <w:shd w:val="clear" w:color="auto" w:fill="D9D9D9"/>
          </w:tcPr>
          <w:p>
            <w:pPr>
              <w:spacing w:after="0"/>
              <w:rPr>
                <w:sz w:val="16"/>
                <w:szCs w:val="16"/>
                <w:color w:val="auto"/>
              </w:rPr>
            </w:pPr>
          </w:p>
        </w:tc>
      </w:tr>
      <w:tr>
        <w:trPr>
          <w:trHeight w:val="204"/>
        </w:trPr>
        <w:tc>
          <w:tcPr>
            <w:tcW w:w="5660" w:type="dxa"/>
            <w:vAlign w:val="bottom"/>
            <w:shd w:val="clear" w:color="auto" w:fill="D9D9D9"/>
          </w:tcPr>
          <w:p>
            <w:pPr>
              <w:jc w:val="right"/>
              <w:ind w:right="4019"/>
              <w:spacing w:after="0"/>
              <w:rPr>
                <w:sz w:val="20"/>
                <w:szCs w:val="20"/>
                <w:color w:val="auto"/>
              </w:rPr>
            </w:pPr>
            <w:r>
              <w:rPr>
                <w:rFonts w:ascii="Arial" w:cs="Arial" w:eastAsia="Arial" w:hAnsi="Arial"/>
                <w:sz w:val="17"/>
                <w:szCs w:val="17"/>
                <w:color w:val="auto"/>
              </w:rPr>
              <w:t>Malvern, PA 19355</w:t>
            </w:r>
          </w:p>
        </w:tc>
        <w:tc>
          <w:tcPr>
            <w:tcW w:w="2200" w:type="dxa"/>
            <w:vAlign w:val="bottom"/>
            <w:shd w:val="clear" w:color="auto" w:fill="D9D9D9"/>
          </w:tcPr>
          <w:p>
            <w:pPr>
              <w:spacing w:after="0"/>
              <w:rPr>
                <w:sz w:val="17"/>
                <w:szCs w:val="17"/>
                <w:color w:val="auto"/>
              </w:rPr>
            </w:pPr>
          </w:p>
        </w:tc>
        <w:tc>
          <w:tcPr>
            <w:tcW w:w="1400" w:type="dxa"/>
            <w:vAlign w:val="bottom"/>
            <w:shd w:val="clear" w:color="auto" w:fill="D9D9D9"/>
          </w:tcPr>
          <w:p>
            <w:pPr>
              <w:spacing w:after="0"/>
              <w:rPr>
                <w:sz w:val="17"/>
                <w:szCs w:val="17"/>
                <w:color w:val="auto"/>
              </w:rPr>
            </w:pPr>
          </w:p>
        </w:tc>
      </w:tr>
      <w:tr>
        <w:trPr>
          <w:trHeight w:val="171"/>
        </w:trPr>
        <w:tc>
          <w:tcPr>
            <w:tcW w:w="5660" w:type="dxa"/>
            <w:vAlign w:val="bottom"/>
          </w:tcPr>
          <w:p>
            <w:pPr>
              <w:ind w:left="20"/>
              <w:spacing w:after="0" w:line="171" w:lineRule="exact"/>
              <w:rPr>
                <w:sz w:val="20"/>
                <w:szCs w:val="20"/>
                <w:color w:val="auto"/>
              </w:rPr>
            </w:pPr>
            <w:r>
              <w:rPr>
                <w:rFonts w:ascii="Arial" w:cs="Arial" w:eastAsia="Arial" w:hAnsi="Arial"/>
                <w:sz w:val="17"/>
                <w:szCs w:val="17"/>
                <w:color w:val="auto"/>
              </w:rPr>
              <w:t>BlackRock, Inc.</w:t>
            </w:r>
          </w:p>
        </w:tc>
        <w:tc>
          <w:tcPr>
            <w:tcW w:w="2200" w:type="dxa"/>
            <w:vAlign w:val="bottom"/>
          </w:tcPr>
          <w:p>
            <w:pPr>
              <w:jc w:val="right"/>
              <w:ind w:right="102"/>
              <w:spacing w:after="0" w:line="171" w:lineRule="exact"/>
              <w:rPr>
                <w:sz w:val="20"/>
                <w:szCs w:val="20"/>
                <w:color w:val="auto"/>
              </w:rPr>
            </w:pPr>
            <w:r>
              <w:rPr>
                <w:rFonts w:ascii="Arial" w:cs="Arial" w:eastAsia="Arial" w:hAnsi="Arial"/>
                <w:sz w:val="17"/>
                <w:szCs w:val="17"/>
                <w:color w:val="auto"/>
              </w:rPr>
              <w:t>143,180,060</w:t>
            </w:r>
          </w:p>
        </w:tc>
        <w:tc>
          <w:tcPr>
            <w:tcW w:w="1400" w:type="dxa"/>
            <w:vAlign w:val="bottom"/>
          </w:tcPr>
          <w:p>
            <w:pPr>
              <w:jc w:val="right"/>
              <w:spacing w:after="0" w:line="171" w:lineRule="exact"/>
              <w:rPr>
                <w:sz w:val="20"/>
                <w:szCs w:val="20"/>
                <w:color w:val="auto"/>
              </w:rPr>
            </w:pPr>
            <w:r>
              <w:rPr>
                <w:rFonts w:ascii="Arial" w:cs="Arial" w:eastAsia="Arial" w:hAnsi="Arial"/>
                <w:sz w:val="17"/>
                <w:szCs w:val="17"/>
                <w:color w:val="auto"/>
              </w:rPr>
              <w:t>8.1 %</w:t>
            </w:r>
          </w:p>
        </w:tc>
      </w:tr>
      <w:tr>
        <w:trPr>
          <w:trHeight w:val="188"/>
        </w:trPr>
        <w:tc>
          <w:tcPr>
            <w:tcW w:w="5660" w:type="dxa"/>
            <w:vAlign w:val="bottom"/>
          </w:tcPr>
          <w:p>
            <w:pPr>
              <w:ind w:left="120"/>
              <w:spacing w:after="0" w:line="188" w:lineRule="exact"/>
              <w:rPr>
                <w:sz w:val="20"/>
                <w:szCs w:val="20"/>
                <w:color w:val="auto"/>
              </w:rPr>
            </w:pPr>
            <w:r>
              <w:rPr>
                <w:rFonts w:ascii="Arial" w:cs="Arial" w:eastAsia="Arial" w:hAnsi="Arial"/>
                <w:sz w:val="17"/>
                <w:szCs w:val="17"/>
                <w:color w:val="auto"/>
              </w:rPr>
              <w:t>50 Hudson Yards</w:t>
            </w:r>
          </w:p>
        </w:tc>
        <w:tc>
          <w:tcPr>
            <w:tcW w:w="2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New York, NY 10001</w:t>
            </w:r>
          </w:p>
        </w:tc>
        <w:tc>
          <w:tcPr>
            <w:tcW w:w="2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32</w:t>
      </w:r>
      <w:r>
        <w:rPr>
          <w:sz w:val="20"/>
          <w:szCs w:val="20"/>
          <w:color w:val="auto"/>
        </w:rPr>
        <w:tab/>
      </w:r>
      <w:r>
        <w:rPr>
          <w:sz w:val="1"/>
          <w:szCs w:val="1"/>
          <w:color w:val="auto"/>
        </w:rPr>
        <w:drawing>
          <wp:inline distT="0" distB="0" distL="0" distR="0">
            <wp:extent cx="810260" cy="1511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i w:val="1"/>
          <w:iCs w:val="1"/>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588708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00" w:top="486" w:right="1339" w:bottom="1440" w:gutter="0" w:footer="0" w:header="0"/>
        </w:sectPr>
      </w:pPr>
    </w:p>
    <w:bookmarkStart w:id="35" w:name="page36"/>
    <w:bookmarkEnd w:id="3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08" w:lineRule="exact"/>
        <w:rPr>
          <w:sz w:val="20"/>
          <w:szCs w:val="20"/>
          <w:color w:val="auto"/>
        </w:rPr>
      </w:pPr>
    </w:p>
    <w:p>
      <w:pPr>
        <w:ind w:left="20"/>
        <w:spacing w:after="0"/>
        <w:rPr>
          <w:sz w:val="20"/>
          <w:szCs w:val="20"/>
          <w:color w:val="auto"/>
        </w:rPr>
      </w:pPr>
      <w:r>
        <w:rPr>
          <w:rFonts w:ascii="Arial" w:cs="Arial" w:eastAsia="Arial" w:hAnsi="Arial"/>
          <w:sz w:val="30"/>
          <w:szCs w:val="30"/>
          <w:color w:val="auto"/>
        </w:rPr>
        <w:t>Compensation Discussion and Analysis</w:t>
      </w:r>
    </w:p>
    <w:p>
      <w:pPr>
        <w:spacing w:after="0" w:line="178" w:lineRule="exact"/>
        <w:rPr>
          <w:sz w:val="20"/>
          <w:szCs w:val="20"/>
          <w:color w:val="auto"/>
        </w:rPr>
      </w:pPr>
    </w:p>
    <w:p>
      <w:pPr>
        <w:ind w:left="20" w:right="40"/>
        <w:spacing w:after="0" w:line="246" w:lineRule="auto"/>
        <w:rPr>
          <w:sz w:val="20"/>
          <w:szCs w:val="20"/>
          <w:color w:val="auto"/>
        </w:rPr>
      </w:pPr>
      <w:r>
        <w:rPr>
          <w:rFonts w:ascii="Arial" w:cs="Arial" w:eastAsia="Arial" w:hAnsi="Arial"/>
          <w:sz w:val="17"/>
          <w:szCs w:val="17"/>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57785</wp:posOffset>
            </wp:positionV>
            <wp:extent cx="24130" cy="10966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130" cy="1096645"/>
                    </a:xfrm>
                    <a:prstGeom prst="rect">
                      <a:avLst/>
                    </a:prstGeom>
                    <a:noFill/>
                  </pic:spPr>
                </pic:pic>
              </a:graphicData>
            </a:graphic>
          </wp:anchor>
        </w:drawing>
      </w:r>
    </w:p>
    <w:p>
      <w:pPr>
        <w:spacing w:after="0" w:line="71" w:lineRule="exact"/>
        <w:rPr>
          <w:sz w:val="20"/>
          <w:szCs w:val="20"/>
          <w:color w:val="auto"/>
        </w:rPr>
      </w:pPr>
    </w:p>
    <w:tbl>
      <w:tblPr>
        <w:tblLayout w:type="fixed"/>
        <w:tblInd w:w="320" w:type="dxa"/>
        <w:tblCellMar>
          <w:top w:w="0" w:type="dxa"/>
          <w:left w:w="0" w:type="dxa"/>
          <w:bottom w:w="0" w:type="dxa"/>
          <w:right w:w="0" w:type="dxa"/>
        </w:tblCellMar>
      </w:tblPr>
      <w:tr>
        <w:trPr>
          <w:trHeight w:val="263"/>
        </w:trPr>
        <w:tc>
          <w:tcPr>
            <w:tcW w:w="2100" w:type="dxa"/>
            <w:vAlign w:val="bottom"/>
            <w:tcBorders>
              <w:right w:val="single" w:sz="8" w:color="071D49"/>
            </w:tcBorders>
          </w:tcPr>
          <w:p>
            <w:pPr>
              <w:spacing w:after="0"/>
              <w:rPr>
                <w:sz w:val="20"/>
                <w:szCs w:val="20"/>
                <w:color w:val="auto"/>
              </w:rPr>
            </w:pPr>
            <w:r>
              <w:rPr>
                <w:rFonts w:ascii="Arial" w:cs="Arial" w:eastAsia="Arial" w:hAnsi="Arial"/>
                <w:sz w:val="15"/>
                <w:szCs w:val="15"/>
                <w:b w:val="1"/>
                <w:bCs w:val="1"/>
                <w:color w:val="auto"/>
              </w:rPr>
              <w:t>RICHARD A. GONZALEZ</w:t>
            </w:r>
          </w:p>
        </w:tc>
        <w:tc>
          <w:tcPr>
            <w:tcW w:w="180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ROBERT A. MICHAEL</w:t>
            </w:r>
          </w:p>
        </w:tc>
        <w:tc>
          <w:tcPr>
            <w:tcW w:w="1700" w:type="dxa"/>
            <w:vAlign w:val="bottom"/>
            <w:tcBorders>
              <w:right w:val="single" w:sz="8" w:color="071D49"/>
            </w:tcBorders>
          </w:tcPr>
          <w:p>
            <w:pPr>
              <w:ind w:left="60"/>
              <w:spacing w:after="0"/>
              <w:rPr>
                <w:sz w:val="20"/>
                <w:szCs w:val="20"/>
                <w:color w:val="auto"/>
              </w:rPr>
            </w:pPr>
            <w:r>
              <w:rPr>
                <w:rFonts w:ascii="Arial" w:cs="Arial" w:eastAsia="Arial" w:hAnsi="Arial"/>
                <w:sz w:val="15"/>
                <w:szCs w:val="15"/>
                <w:b w:val="1"/>
                <w:bCs w:val="1"/>
                <w:color w:val="auto"/>
              </w:rPr>
              <w:t>SCOTT T. REENTS</w:t>
            </w: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5"/>
                <w:szCs w:val="15"/>
                <w:b w:val="1"/>
                <w:bCs w:val="1"/>
                <w:color w:val="auto"/>
              </w:rPr>
              <w:t>JEFFREY</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AZITA SALEKI-</w:t>
            </w:r>
          </w:p>
        </w:tc>
        <w:tc>
          <w:tcPr>
            <w:tcW w:w="0" w:type="dxa"/>
            <w:vAlign w:val="bottom"/>
          </w:tcPr>
          <w:p>
            <w:pPr>
              <w:spacing w:after="0"/>
              <w:rPr>
                <w:sz w:val="1"/>
                <w:szCs w:val="1"/>
                <w:color w:val="auto"/>
              </w:rPr>
            </w:pPr>
          </w:p>
        </w:tc>
      </w:tr>
      <w:tr>
        <w:trPr>
          <w:trHeight w:val="175"/>
        </w:trPr>
        <w:tc>
          <w:tcPr>
            <w:tcW w:w="2100" w:type="dxa"/>
            <w:vAlign w:val="bottom"/>
            <w:tcBorders>
              <w:right w:val="single" w:sz="8" w:color="071D49"/>
            </w:tcBorders>
            <w:vMerge w:val="restart"/>
          </w:tcPr>
          <w:p>
            <w:pPr>
              <w:spacing w:after="0"/>
              <w:rPr>
                <w:sz w:val="20"/>
                <w:szCs w:val="20"/>
                <w:color w:val="auto"/>
              </w:rPr>
            </w:pPr>
            <w:r>
              <w:rPr>
                <w:rFonts w:ascii="Arial" w:cs="Arial" w:eastAsia="Arial" w:hAnsi="Arial"/>
                <w:sz w:val="13"/>
                <w:szCs w:val="13"/>
                <w:color w:val="auto"/>
              </w:rPr>
              <w:t>Chairman of the Board of</w:t>
            </w:r>
          </w:p>
        </w:tc>
        <w:tc>
          <w:tcPr>
            <w:tcW w:w="1800" w:type="dxa"/>
            <w:vAlign w:val="bottom"/>
            <w:tcBorders>
              <w:right w:val="single" w:sz="8" w:color="071D49"/>
            </w:tcBorders>
            <w:vMerge w:val="restart"/>
          </w:tcPr>
          <w:p>
            <w:pPr>
              <w:ind w:left="60"/>
              <w:spacing w:after="0"/>
              <w:rPr>
                <w:sz w:val="20"/>
                <w:szCs w:val="20"/>
                <w:color w:val="auto"/>
              </w:rPr>
            </w:pPr>
            <w:r>
              <w:rPr>
                <w:rFonts w:ascii="Arial" w:cs="Arial" w:eastAsia="Arial" w:hAnsi="Arial"/>
                <w:sz w:val="13"/>
                <w:szCs w:val="13"/>
                <w:color w:val="auto"/>
              </w:rPr>
              <w:t>President and Chief</w:t>
            </w:r>
          </w:p>
        </w:tc>
        <w:tc>
          <w:tcPr>
            <w:tcW w:w="1700" w:type="dxa"/>
            <w:vAlign w:val="bottom"/>
            <w:tcBorders>
              <w:right w:val="single" w:sz="8" w:color="071D49"/>
            </w:tcBorders>
          </w:tcPr>
          <w:p>
            <w:pPr>
              <w:spacing w:after="0"/>
              <w:rPr>
                <w:sz w:val="15"/>
                <w:szCs w:val="15"/>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5"/>
                <w:szCs w:val="15"/>
                <w:b w:val="1"/>
                <w:bCs w:val="1"/>
                <w:color w:val="auto"/>
              </w:rPr>
              <w:t>R.</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GERHARDT</w:t>
            </w:r>
          </w:p>
        </w:tc>
        <w:tc>
          <w:tcPr>
            <w:tcW w:w="0" w:type="dxa"/>
            <w:vAlign w:val="bottom"/>
          </w:tcPr>
          <w:p>
            <w:pPr>
              <w:spacing w:after="0"/>
              <w:rPr>
                <w:sz w:val="1"/>
                <w:szCs w:val="1"/>
                <w:color w:val="auto"/>
              </w:rPr>
            </w:pPr>
          </w:p>
        </w:tc>
      </w:tr>
      <w:tr>
        <w:trPr>
          <w:trHeight w:val="80"/>
        </w:trPr>
        <w:tc>
          <w:tcPr>
            <w:tcW w:w="2100" w:type="dxa"/>
            <w:vAlign w:val="bottom"/>
            <w:tcBorders>
              <w:right w:val="single" w:sz="8" w:color="071D49"/>
            </w:tcBorders>
            <w:vMerge w:val="continue"/>
          </w:tcPr>
          <w:p>
            <w:pPr>
              <w:spacing w:after="0"/>
              <w:rPr>
                <w:sz w:val="6"/>
                <w:szCs w:val="6"/>
                <w:color w:val="auto"/>
              </w:rPr>
            </w:pPr>
          </w:p>
        </w:tc>
        <w:tc>
          <w:tcPr>
            <w:tcW w:w="1800" w:type="dxa"/>
            <w:vAlign w:val="bottom"/>
            <w:tcBorders>
              <w:right w:val="single" w:sz="8" w:color="071D49"/>
            </w:tcBorders>
            <w:vMerge w:val="continue"/>
          </w:tcPr>
          <w:p>
            <w:pPr>
              <w:spacing w:after="0"/>
              <w:rPr>
                <w:sz w:val="6"/>
                <w:szCs w:val="6"/>
                <w:color w:val="auto"/>
              </w:rPr>
            </w:pPr>
          </w:p>
        </w:tc>
        <w:tc>
          <w:tcPr>
            <w:tcW w:w="1700" w:type="dxa"/>
            <w:vAlign w:val="bottom"/>
            <w:tcBorders>
              <w:right w:val="single" w:sz="8" w:color="071D49"/>
            </w:tcBorders>
          </w:tcPr>
          <w:p>
            <w:pPr>
              <w:spacing w:after="0"/>
              <w:rPr>
                <w:sz w:val="6"/>
                <w:szCs w:val="6"/>
                <w:color w:val="auto"/>
              </w:rPr>
            </w:pPr>
          </w:p>
        </w:tc>
        <w:tc>
          <w:tcPr>
            <w:tcW w:w="1020" w:type="dxa"/>
            <w:vAlign w:val="bottom"/>
            <w:tcBorders>
              <w:right w:val="single" w:sz="8" w:color="071D49"/>
            </w:tcBorders>
            <w:vMerge w:val="restart"/>
          </w:tcPr>
          <w:p>
            <w:pPr>
              <w:ind w:left="80"/>
              <w:spacing w:after="0"/>
              <w:rPr>
                <w:sz w:val="20"/>
                <w:szCs w:val="20"/>
                <w:color w:val="auto"/>
              </w:rPr>
            </w:pPr>
            <w:r>
              <w:rPr>
                <w:rFonts w:ascii="Arial" w:cs="Arial" w:eastAsia="Arial" w:hAnsi="Arial"/>
                <w:sz w:val="15"/>
                <w:szCs w:val="15"/>
                <w:b w:val="1"/>
                <w:bCs w:val="1"/>
                <w:color w:val="auto"/>
              </w:rPr>
              <w:t>STEWART</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100" w:type="dxa"/>
            <w:vAlign w:val="bottom"/>
            <w:tcBorders>
              <w:right w:val="single" w:sz="8" w:color="071D49"/>
            </w:tcBorders>
            <w:vMerge w:val="restart"/>
          </w:tcPr>
          <w:p>
            <w:pPr>
              <w:spacing w:after="0"/>
              <w:rPr>
                <w:sz w:val="20"/>
                <w:szCs w:val="20"/>
                <w:color w:val="auto"/>
              </w:rPr>
            </w:pPr>
            <w:r>
              <w:rPr>
                <w:rFonts w:ascii="Arial" w:cs="Arial" w:eastAsia="Arial" w:hAnsi="Arial"/>
                <w:sz w:val="13"/>
                <w:szCs w:val="13"/>
                <w:color w:val="auto"/>
              </w:rPr>
              <w:t>Directors and Chief Executive</w:t>
            </w:r>
          </w:p>
        </w:tc>
        <w:tc>
          <w:tcPr>
            <w:tcW w:w="1800" w:type="dxa"/>
            <w:vAlign w:val="bottom"/>
            <w:tcBorders>
              <w:right w:val="single" w:sz="8" w:color="071D49"/>
            </w:tcBorders>
            <w:vMerge w:val="restart"/>
          </w:tcPr>
          <w:p>
            <w:pPr>
              <w:ind w:left="60"/>
              <w:spacing w:after="0"/>
              <w:rPr>
                <w:sz w:val="20"/>
                <w:szCs w:val="20"/>
                <w:color w:val="auto"/>
              </w:rPr>
            </w:pPr>
            <w:r>
              <w:rPr>
                <w:rFonts w:ascii="Arial" w:cs="Arial" w:eastAsia="Arial" w:hAnsi="Arial"/>
                <w:sz w:val="13"/>
                <w:szCs w:val="13"/>
                <w:color w:val="auto"/>
              </w:rPr>
              <w:t>Operating Officer</w:t>
            </w:r>
          </w:p>
        </w:tc>
        <w:tc>
          <w:tcPr>
            <w:tcW w:w="1700" w:type="dxa"/>
            <w:vAlign w:val="bottom"/>
            <w:tcBorders>
              <w:right w:val="single" w:sz="8" w:color="071D49"/>
            </w:tcBorders>
            <w:vMerge w:val="restart"/>
          </w:tcPr>
          <w:p>
            <w:pPr>
              <w:ind w:left="60"/>
              <w:spacing w:after="0"/>
              <w:rPr>
                <w:sz w:val="20"/>
                <w:szCs w:val="20"/>
                <w:color w:val="auto"/>
              </w:rPr>
            </w:pPr>
            <w:r>
              <w:rPr>
                <w:rFonts w:ascii="Arial" w:cs="Arial" w:eastAsia="Arial" w:hAnsi="Arial"/>
                <w:sz w:val="13"/>
                <w:szCs w:val="13"/>
                <w:color w:val="auto"/>
              </w:rPr>
              <w:t>Executive Vice President,</w:t>
            </w:r>
          </w:p>
        </w:tc>
        <w:tc>
          <w:tcPr>
            <w:tcW w:w="1020" w:type="dxa"/>
            <w:vAlign w:val="bottom"/>
            <w:tcBorders>
              <w:right w:val="single" w:sz="8" w:color="071D49"/>
            </w:tcBorders>
            <w:vMerge w:val="continue"/>
          </w:tcPr>
          <w:p>
            <w:pPr>
              <w:spacing w:after="0"/>
              <w:rPr>
                <w:sz w:val="10"/>
                <w:szCs w:val="10"/>
                <w:color w:val="auto"/>
              </w:rPr>
            </w:pPr>
          </w:p>
        </w:tc>
        <w:tc>
          <w:tcPr>
            <w:tcW w:w="1580" w:type="dxa"/>
            <w:vAlign w:val="bottom"/>
            <w:vMerge w:val="restart"/>
          </w:tcPr>
          <w:p>
            <w:pPr>
              <w:ind w:left="60"/>
              <w:spacing w:after="0"/>
              <w:rPr>
                <w:sz w:val="20"/>
                <w:szCs w:val="20"/>
                <w:color w:val="auto"/>
              </w:rPr>
            </w:pPr>
            <w:r>
              <w:rPr>
                <w:rFonts w:ascii="Arial" w:cs="Arial" w:eastAsia="Arial" w:hAnsi="Arial"/>
                <w:sz w:val="13"/>
                <w:szCs w:val="13"/>
                <w:color w:val="auto"/>
              </w:rPr>
              <w:t>Executive Vice President,</w:t>
            </w:r>
          </w:p>
        </w:tc>
        <w:tc>
          <w:tcPr>
            <w:tcW w:w="0" w:type="dxa"/>
            <w:vAlign w:val="bottom"/>
          </w:tcPr>
          <w:p>
            <w:pPr>
              <w:spacing w:after="0"/>
              <w:rPr>
                <w:sz w:val="1"/>
                <w:szCs w:val="1"/>
                <w:color w:val="auto"/>
              </w:rPr>
            </w:pPr>
          </w:p>
        </w:tc>
      </w:tr>
      <w:tr>
        <w:trPr>
          <w:trHeight w:val="32"/>
        </w:trPr>
        <w:tc>
          <w:tcPr>
            <w:tcW w:w="2100" w:type="dxa"/>
            <w:vAlign w:val="bottom"/>
            <w:tcBorders>
              <w:right w:val="single" w:sz="8" w:color="071D49"/>
            </w:tcBorders>
            <w:vMerge w:val="continue"/>
          </w:tcPr>
          <w:p>
            <w:pPr>
              <w:spacing w:after="0"/>
              <w:rPr>
                <w:sz w:val="2"/>
                <w:szCs w:val="2"/>
                <w:color w:val="auto"/>
              </w:rPr>
            </w:pPr>
          </w:p>
        </w:tc>
        <w:tc>
          <w:tcPr>
            <w:tcW w:w="1800" w:type="dxa"/>
            <w:vAlign w:val="bottom"/>
            <w:tcBorders>
              <w:right w:val="single" w:sz="8" w:color="071D49"/>
            </w:tcBorders>
            <w:vMerge w:val="continue"/>
          </w:tcPr>
          <w:p>
            <w:pPr>
              <w:spacing w:after="0"/>
              <w:rPr>
                <w:sz w:val="2"/>
                <w:szCs w:val="2"/>
                <w:color w:val="auto"/>
              </w:rPr>
            </w:pPr>
          </w:p>
        </w:tc>
        <w:tc>
          <w:tcPr>
            <w:tcW w:w="1700" w:type="dxa"/>
            <w:vAlign w:val="bottom"/>
            <w:tcBorders>
              <w:right w:val="single" w:sz="8" w:color="071D49"/>
            </w:tcBorders>
            <w:vMerge w:val="continue"/>
          </w:tcPr>
          <w:p>
            <w:pPr>
              <w:spacing w:after="0"/>
              <w:rPr>
                <w:sz w:val="2"/>
                <w:szCs w:val="2"/>
                <w:color w:val="auto"/>
              </w:rPr>
            </w:pPr>
          </w:p>
        </w:tc>
        <w:tc>
          <w:tcPr>
            <w:tcW w:w="1020" w:type="dxa"/>
            <w:vAlign w:val="bottom"/>
            <w:tcBorders>
              <w:right w:val="single" w:sz="8" w:color="071D49"/>
            </w:tcBorders>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100" w:type="dxa"/>
            <w:vAlign w:val="bottom"/>
            <w:tcBorders>
              <w:right w:val="single" w:sz="8" w:color="071D49"/>
            </w:tcBorders>
          </w:tcPr>
          <w:p>
            <w:pPr>
              <w:spacing w:after="0"/>
              <w:rPr>
                <w:sz w:val="20"/>
                <w:szCs w:val="20"/>
                <w:color w:val="auto"/>
              </w:rPr>
            </w:pPr>
            <w:r>
              <w:rPr>
                <w:rFonts w:ascii="Arial" w:cs="Arial" w:eastAsia="Arial" w:hAnsi="Arial"/>
                <w:sz w:val="13"/>
                <w:szCs w:val="13"/>
                <w:color w:val="auto"/>
              </w:rPr>
              <w:t>Officer</w:t>
            </w:r>
          </w:p>
        </w:tc>
        <w:tc>
          <w:tcPr>
            <w:tcW w:w="1800" w:type="dxa"/>
            <w:vAlign w:val="bottom"/>
            <w:tcBorders>
              <w:right w:val="single" w:sz="8" w:color="071D49"/>
            </w:tcBorders>
          </w:tcPr>
          <w:p>
            <w:pPr>
              <w:spacing w:after="0"/>
              <w:rPr>
                <w:sz w:val="16"/>
                <w:szCs w:val="16"/>
                <w:color w:val="auto"/>
              </w:rPr>
            </w:pPr>
          </w:p>
        </w:tc>
        <w:tc>
          <w:tcPr>
            <w:tcW w:w="1700" w:type="dxa"/>
            <w:vAlign w:val="bottom"/>
            <w:tcBorders>
              <w:right w:val="single" w:sz="8" w:color="071D49"/>
            </w:tcBorders>
          </w:tcPr>
          <w:p>
            <w:pPr>
              <w:ind w:left="60"/>
              <w:spacing w:after="0"/>
              <w:rPr>
                <w:sz w:val="20"/>
                <w:szCs w:val="20"/>
                <w:color w:val="auto"/>
              </w:rPr>
            </w:pPr>
            <w:r>
              <w:rPr>
                <w:rFonts w:ascii="Arial" w:cs="Arial" w:eastAsia="Arial" w:hAnsi="Arial"/>
                <w:sz w:val="13"/>
                <w:szCs w:val="13"/>
                <w:color w:val="auto"/>
              </w:rPr>
              <w:t>Chief Financial Officer</w:t>
            </w: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Executive</w:t>
            </w:r>
          </w:p>
        </w:tc>
        <w:tc>
          <w:tcPr>
            <w:tcW w:w="1580" w:type="dxa"/>
            <w:vAlign w:val="bottom"/>
          </w:tcPr>
          <w:p>
            <w:pPr>
              <w:ind w:left="60"/>
              <w:spacing w:after="0"/>
              <w:rPr>
                <w:sz w:val="20"/>
                <w:szCs w:val="20"/>
                <w:color w:val="auto"/>
              </w:rPr>
            </w:pPr>
            <w:r>
              <w:rPr>
                <w:rFonts w:ascii="Arial" w:cs="Arial" w:eastAsia="Arial" w:hAnsi="Arial"/>
                <w:sz w:val="13"/>
                <w:szCs w:val="13"/>
                <w:color w:val="auto"/>
              </w:rPr>
              <w:t>Chief Operations Officer</w:t>
            </w:r>
          </w:p>
        </w:tc>
        <w:tc>
          <w:tcPr>
            <w:tcW w:w="0" w:type="dxa"/>
            <w:vAlign w:val="bottom"/>
          </w:tcPr>
          <w:p>
            <w:pPr>
              <w:spacing w:after="0"/>
              <w:rPr>
                <w:sz w:val="1"/>
                <w:szCs w:val="1"/>
                <w:color w:val="auto"/>
              </w:rPr>
            </w:pPr>
          </w:p>
        </w:tc>
      </w:tr>
      <w:tr>
        <w:trPr>
          <w:trHeight w:val="150"/>
        </w:trPr>
        <w:tc>
          <w:tcPr>
            <w:tcW w:w="2100" w:type="dxa"/>
            <w:vAlign w:val="bottom"/>
            <w:tcBorders>
              <w:right w:val="single" w:sz="8" w:color="071D49"/>
            </w:tcBorders>
          </w:tcPr>
          <w:p>
            <w:pPr>
              <w:spacing w:after="0"/>
              <w:rPr>
                <w:sz w:val="13"/>
                <w:szCs w:val="13"/>
                <w:color w:val="auto"/>
              </w:rPr>
            </w:pPr>
          </w:p>
        </w:tc>
        <w:tc>
          <w:tcPr>
            <w:tcW w:w="1800" w:type="dxa"/>
            <w:vAlign w:val="bottom"/>
            <w:tcBorders>
              <w:right w:val="single" w:sz="8" w:color="071D49"/>
            </w:tcBorders>
          </w:tcPr>
          <w:p>
            <w:pPr>
              <w:spacing w:after="0"/>
              <w:rPr>
                <w:sz w:val="13"/>
                <w:szCs w:val="13"/>
                <w:color w:val="auto"/>
              </w:rPr>
            </w:pPr>
          </w:p>
        </w:tc>
        <w:tc>
          <w:tcPr>
            <w:tcW w:w="1700" w:type="dxa"/>
            <w:vAlign w:val="bottom"/>
            <w:tcBorders>
              <w:right w:val="single" w:sz="8" w:color="071D49"/>
            </w:tcBorders>
          </w:tcPr>
          <w:p>
            <w:pPr>
              <w:spacing w:after="0"/>
              <w:rPr>
                <w:sz w:val="13"/>
                <w:szCs w:val="13"/>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Vice</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00" w:type="dxa"/>
            <w:vAlign w:val="bottom"/>
            <w:tcBorders>
              <w:right w:val="single" w:sz="8" w:color="071D49"/>
            </w:tcBorders>
          </w:tcPr>
          <w:p>
            <w:pPr>
              <w:spacing w:after="0"/>
              <w:rPr>
                <w:sz w:val="13"/>
                <w:szCs w:val="13"/>
                <w:color w:val="auto"/>
              </w:rPr>
            </w:pPr>
          </w:p>
        </w:tc>
        <w:tc>
          <w:tcPr>
            <w:tcW w:w="1800" w:type="dxa"/>
            <w:vAlign w:val="bottom"/>
            <w:tcBorders>
              <w:right w:val="single" w:sz="8" w:color="071D49"/>
            </w:tcBorders>
          </w:tcPr>
          <w:p>
            <w:pPr>
              <w:spacing w:after="0"/>
              <w:rPr>
                <w:sz w:val="13"/>
                <w:szCs w:val="13"/>
                <w:color w:val="auto"/>
              </w:rPr>
            </w:pPr>
          </w:p>
        </w:tc>
        <w:tc>
          <w:tcPr>
            <w:tcW w:w="1700" w:type="dxa"/>
            <w:vAlign w:val="bottom"/>
            <w:tcBorders>
              <w:right w:val="single" w:sz="8" w:color="071D49"/>
            </w:tcBorders>
          </w:tcPr>
          <w:p>
            <w:pPr>
              <w:spacing w:after="0"/>
              <w:rPr>
                <w:sz w:val="13"/>
                <w:szCs w:val="13"/>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President,</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00" w:type="dxa"/>
            <w:vAlign w:val="bottom"/>
            <w:tcBorders>
              <w:right w:val="single" w:sz="8" w:color="071D49"/>
            </w:tcBorders>
          </w:tcPr>
          <w:p>
            <w:pPr>
              <w:spacing w:after="0"/>
              <w:rPr>
                <w:sz w:val="13"/>
                <w:szCs w:val="13"/>
                <w:color w:val="auto"/>
              </w:rPr>
            </w:pPr>
          </w:p>
        </w:tc>
        <w:tc>
          <w:tcPr>
            <w:tcW w:w="1800" w:type="dxa"/>
            <w:vAlign w:val="bottom"/>
            <w:tcBorders>
              <w:right w:val="single" w:sz="8" w:color="071D49"/>
            </w:tcBorders>
          </w:tcPr>
          <w:p>
            <w:pPr>
              <w:spacing w:after="0"/>
              <w:rPr>
                <w:sz w:val="13"/>
                <w:szCs w:val="13"/>
                <w:color w:val="auto"/>
              </w:rPr>
            </w:pPr>
          </w:p>
        </w:tc>
        <w:tc>
          <w:tcPr>
            <w:tcW w:w="1700" w:type="dxa"/>
            <w:vAlign w:val="bottom"/>
            <w:tcBorders>
              <w:right w:val="single" w:sz="8" w:color="071D49"/>
            </w:tcBorders>
          </w:tcPr>
          <w:p>
            <w:pPr>
              <w:spacing w:after="0"/>
              <w:rPr>
                <w:sz w:val="13"/>
                <w:szCs w:val="13"/>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Chief</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00" w:type="dxa"/>
            <w:vAlign w:val="bottom"/>
            <w:tcBorders>
              <w:right w:val="single" w:sz="8" w:color="071D49"/>
            </w:tcBorders>
          </w:tcPr>
          <w:p>
            <w:pPr>
              <w:spacing w:after="0"/>
              <w:rPr>
                <w:sz w:val="13"/>
                <w:szCs w:val="13"/>
                <w:color w:val="auto"/>
              </w:rPr>
            </w:pPr>
          </w:p>
        </w:tc>
        <w:tc>
          <w:tcPr>
            <w:tcW w:w="1800" w:type="dxa"/>
            <w:vAlign w:val="bottom"/>
            <w:tcBorders>
              <w:right w:val="single" w:sz="8" w:color="071D49"/>
            </w:tcBorders>
          </w:tcPr>
          <w:p>
            <w:pPr>
              <w:spacing w:after="0"/>
              <w:rPr>
                <w:sz w:val="13"/>
                <w:szCs w:val="13"/>
                <w:color w:val="auto"/>
              </w:rPr>
            </w:pPr>
          </w:p>
        </w:tc>
        <w:tc>
          <w:tcPr>
            <w:tcW w:w="1700" w:type="dxa"/>
            <w:vAlign w:val="bottom"/>
            <w:tcBorders>
              <w:right w:val="single" w:sz="8" w:color="071D49"/>
            </w:tcBorders>
          </w:tcPr>
          <w:p>
            <w:pPr>
              <w:spacing w:after="0"/>
              <w:rPr>
                <w:sz w:val="13"/>
                <w:szCs w:val="13"/>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Commercial</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00" w:type="dxa"/>
            <w:vAlign w:val="bottom"/>
            <w:tcBorders>
              <w:right w:val="single" w:sz="8" w:color="071D49"/>
            </w:tcBorders>
          </w:tcPr>
          <w:p>
            <w:pPr>
              <w:spacing w:after="0"/>
              <w:rPr>
                <w:sz w:val="15"/>
                <w:szCs w:val="15"/>
                <w:color w:val="auto"/>
              </w:rPr>
            </w:pPr>
          </w:p>
        </w:tc>
        <w:tc>
          <w:tcPr>
            <w:tcW w:w="1800" w:type="dxa"/>
            <w:vAlign w:val="bottom"/>
            <w:tcBorders>
              <w:right w:val="single" w:sz="8" w:color="071D49"/>
            </w:tcBorders>
          </w:tcPr>
          <w:p>
            <w:pPr>
              <w:spacing w:after="0"/>
              <w:rPr>
                <w:sz w:val="15"/>
                <w:szCs w:val="15"/>
                <w:color w:val="auto"/>
              </w:rPr>
            </w:pPr>
          </w:p>
        </w:tc>
        <w:tc>
          <w:tcPr>
            <w:tcW w:w="1700" w:type="dxa"/>
            <w:vAlign w:val="bottom"/>
            <w:tcBorders>
              <w:right w:val="single" w:sz="8" w:color="071D49"/>
            </w:tcBorders>
          </w:tcPr>
          <w:p>
            <w:pPr>
              <w:spacing w:after="0"/>
              <w:rPr>
                <w:sz w:val="15"/>
                <w:szCs w:val="15"/>
                <w:color w:val="auto"/>
              </w:rPr>
            </w:pPr>
          </w:p>
        </w:tc>
        <w:tc>
          <w:tcPr>
            <w:tcW w:w="1020" w:type="dxa"/>
            <w:vAlign w:val="bottom"/>
            <w:tcBorders>
              <w:right w:val="single" w:sz="8" w:color="071D49"/>
            </w:tcBorders>
          </w:tcPr>
          <w:p>
            <w:pPr>
              <w:ind w:left="80"/>
              <w:spacing w:after="0"/>
              <w:rPr>
                <w:sz w:val="20"/>
                <w:szCs w:val="20"/>
                <w:color w:val="auto"/>
              </w:rPr>
            </w:pPr>
            <w:r>
              <w:rPr>
                <w:rFonts w:ascii="Arial" w:cs="Arial" w:eastAsia="Arial" w:hAnsi="Arial"/>
                <w:sz w:val="13"/>
                <w:szCs w:val="13"/>
                <w:color w:val="auto"/>
              </w:rPr>
              <w:t>Officer</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100" w:type="dxa"/>
            <w:vAlign w:val="bottom"/>
            <w:tcBorders>
              <w:right w:val="single" w:sz="8" w:color="071D49"/>
            </w:tcBorders>
          </w:tcPr>
          <w:p>
            <w:pPr>
              <w:spacing w:after="0"/>
              <w:rPr>
                <w:sz w:val="7"/>
                <w:szCs w:val="7"/>
                <w:color w:val="auto"/>
              </w:rPr>
            </w:pPr>
          </w:p>
        </w:tc>
        <w:tc>
          <w:tcPr>
            <w:tcW w:w="1800" w:type="dxa"/>
            <w:vAlign w:val="bottom"/>
            <w:tcBorders>
              <w:right w:val="single" w:sz="8" w:color="071D49"/>
            </w:tcBorders>
          </w:tcPr>
          <w:p>
            <w:pPr>
              <w:spacing w:after="0"/>
              <w:rPr>
                <w:sz w:val="7"/>
                <w:szCs w:val="7"/>
                <w:color w:val="auto"/>
              </w:rPr>
            </w:pPr>
          </w:p>
        </w:tc>
        <w:tc>
          <w:tcPr>
            <w:tcW w:w="1700" w:type="dxa"/>
            <w:vAlign w:val="bottom"/>
            <w:tcBorders>
              <w:right w:val="single" w:sz="8" w:color="071D49"/>
            </w:tcBorders>
          </w:tcPr>
          <w:p>
            <w:pPr>
              <w:spacing w:after="0"/>
              <w:rPr>
                <w:sz w:val="7"/>
                <w:szCs w:val="7"/>
                <w:color w:val="auto"/>
              </w:rPr>
            </w:pPr>
          </w:p>
        </w:tc>
        <w:tc>
          <w:tcPr>
            <w:tcW w:w="1020" w:type="dxa"/>
            <w:vAlign w:val="bottom"/>
            <w:tcBorders>
              <w:right w:val="single" w:sz="8" w:color="071D49"/>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0" w:right="40"/>
        <w:spacing w:after="0" w:line="261" w:lineRule="auto"/>
        <w:rPr>
          <w:sz w:val="20"/>
          <w:szCs w:val="20"/>
          <w:color w:val="auto"/>
        </w:rPr>
      </w:pPr>
      <w:r>
        <w:rPr>
          <w:rFonts w:ascii="Arial" w:cs="Arial" w:eastAsia="Arial" w:hAnsi="Arial"/>
          <w:sz w:val="17"/>
          <w:szCs w:val="17"/>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content of this section is organized according to the following.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00" w:type="dxa"/>
            <w:vAlign w:val="bottom"/>
            <w:gridSpan w:val="6"/>
          </w:tcPr>
          <w:p>
            <w:pPr>
              <w:spacing w:after="0"/>
              <w:rPr>
                <w:sz w:val="20"/>
                <w:szCs w:val="20"/>
                <w:color w:val="auto"/>
              </w:rPr>
            </w:pPr>
            <w:r>
              <w:rPr>
                <w:rFonts w:ascii="Arial" w:cs="Arial" w:eastAsia="Arial" w:hAnsi="Arial"/>
                <w:sz w:val="18"/>
                <w:szCs w:val="18"/>
                <w:b w:val="1"/>
                <w:bCs w:val="1"/>
                <w:color w:val="0000EE"/>
              </w:rPr>
              <w:t>EXECUTIVE SUMMARY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071D49"/>
              </w:rPr>
              <w:t>34</w:t>
            </w:r>
          </w:p>
        </w:tc>
        <w:tc>
          <w:tcPr>
            <w:tcW w:w="3700" w:type="dxa"/>
            <w:vAlign w:val="bottom"/>
            <w:gridSpan w:val="9"/>
          </w:tcPr>
          <w:p>
            <w:pPr>
              <w:spacing w:after="0"/>
              <w:rPr>
                <w:sz w:val="20"/>
                <w:szCs w:val="20"/>
                <w:color w:val="auto"/>
              </w:rPr>
            </w:pPr>
            <w:r>
              <w:rPr>
                <w:rFonts w:ascii="Arial" w:cs="Arial" w:eastAsia="Arial" w:hAnsi="Arial"/>
                <w:sz w:val="18"/>
                <w:szCs w:val="18"/>
                <w:b w:val="1"/>
                <w:bCs w:val="1"/>
                <w:color w:val="0000EE"/>
              </w:rPr>
              <w:t>COMPENSATION PLAN ELEMENTS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071D49"/>
              </w:rPr>
              <w:t>42</w:t>
            </w:r>
          </w:p>
        </w:tc>
        <w:tc>
          <w:tcPr>
            <w:tcW w:w="0" w:type="dxa"/>
            <w:vAlign w:val="bottom"/>
          </w:tcPr>
          <w:p>
            <w:pPr>
              <w:spacing w:after="0"/>
              <w:rPr>
                <w:sz w:val="1"/>
                <w:szCs w:val="1"/>
                <w:color w:val="auto"/>
              </w:rPr>
            </w:pPr>
          </w:p>
        </w:tc>
      </w:tr>
      <w:tr>
        <w:trPr>
          <w:trHeight w:val="20"/>
        </w:trPr>
        <w:tc>
          <w:tcPr>
            <w:tcW w:w="20" w:type="dxa"/>
            <w:vAlign w:val="bottom"/>
            <w:tcBorders>
              <w:bottom w:val="single" w:sz="8" w:color="071D49"/>
            </w:tcBorders>
          </w:tcPr>
          <w:p>
            <w:pPr>
              <w:spacing w:after="0" w:line="20" w:lineRule="exact"/>
              <w:rPr>
                <w:sz w:val="1"/>
                <w:szCs w:val="1"/>
                <w:color w:val="auto"/>
              </w:rPr>
            </w:pPr>
          </w:p>
        </w:tc>
        <w:tc>
          <w:tcPr>
            <w:tcW w:w="1920" w:type="dxa"/>
            <w:vAlign w:val="bottom"/>
            <w:tcBorders>
              <w:top w:val="single" w:sz="8" w:color="0000EE"/>
              <w:bottom w:val="single" w:sz="8" w:color="071D49"/>
            </w:tcBorders>
          </w:tcPr>
          <w:p>
            <w:pPr>
              <w:spacing w:after="0" w:line="20" w:lineRule="exact"/>
              <w:rPr>
                <w:sz w:val="1"/>
                <w:szCs w:val="1"/>
                <w:color w:val="auto"/>
              </w:rPr>
            </w:pPr>
          </w:p>
        </w:tc>
        <w:tc>
          <w:tcPr>
            <w:tcW w:w="100" w:type="dxa"/>
            <w:vAlign w:val="bottom"/>
            <w:tcBorders>
              <w:top w:val="single" w:sz="8" w:color="0000EE"/>
              <w:bottom w:val="single" w:sz="8" w:color="071D49"/>
            </w:tcBorders>
          </w:tcPr>
          <w:p>
            <w:pPr>
              <w:spacing w:after="0" w:line="20" w:lineRule="exact"/>
              <w:rPr>
                <w:sz w:val="1"/>
                <w:szCs w:val="1"/>
                <w:color w:val="auto"/>
              </w:rPr>
            </w:pPr>
          </w:p>
        </w:tc>
        <w:tc>
          <w:tcPr>
            <w:tcW w:w="420" w:type="dxa"/>
            <w:vAlign w:val="bottom"/>
            <w:tcBorders>
              <w:bottom w:val="single" w:sz="8" w:color="071D49"/>
            </w:tcBorders>
          </w:tcPr>
          <w:p>
            <w:pPr>
              <w:spacing w:after="0" w:line="20" w:lineRule="exact"/>
              <w:rPr>
                <w:sz w:val="1"/>
                <w:szCs w:val="1"/>
                <w:color w:val="auto"/>
              </w:rPr>
            </w:pPr>
          </w:p>
        </w:tc>
        <w:tc>
          <w:tcPr>
            <w:tcW w:w="780" w:type="dxa"/>
            <w:vAlign w:val="bottom"/>
            <w:tcBorders>
              <w:bottom w:val="single" w:sz="8" w:color="071D49"/>
            </w:tcBorders>
          </w:tcPr>
          <w:p>
            <w:pPr>
              <w:spacing w:after="0" w:line="20" w:lineRule="exact"/>
              <w:rPr>
                <w:sz w:val="1"/>
                <w:szCs w:val="1"/>
                <w:color w:val="auto"/>
              </w:rPr>
            </w:pPr>
          </w:p>
        </w:tc>
        <w:tc>
          <w:tcPr>
            <w:tcW w:w="240" w:type="dxa"/>
            <w:vAlign w:val="bottom"/>
            <w:tcBorders>
              <w:bottom w:val="single" w:sz="8" w:color="071D49"/>
            </w:tcBorders>
          </w:tcPr>
          <w:p>
            <w:pPr>
              <w:spacing w:after="0" w:line="20" w:lineRule="exact"/>
              <w:rPr>
                <w:sz w:val="1"/>
                <w:szCs w:val="1"/>
                <w:color w:val="auto"/>
              </w:rPr>
            </w:pPr>
          </w:p>
        </w:tc>
        <w:tc>
          <w:tcPr>
            <w:tcW w:w="440" w:type="dxa"/>
            <w:vAlign w:val="bottom"/>
            <w:tcBorders>
              <w:bottom w:val="single" w:sz="8" w:color="071D49"/>
            </w:tcBorders>
          </w:tcPr>
          <w:p>
            <w:pPr>
              <w:spacing w:after="0" w:line="20" w:lineRule="exact"/>
              <w:rPr>
                <w:sz w:val="1"/>
                <w:szCs w:val="1"/>
                <w:color w:val="auto"/>
              </w:rPr>
            </w:pPr>
          </w:p>
        </w:tc>
        <w:tc>
          <w:tcPr>
            <w:tcW w:w="620" w:type="dxa"/>
            <w:vAlign w:val="bottom"/>
            <w:tcBorders>
              <w:bottom w:val="single" w:sz="8" w:color="071D49"/>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bottom w:val="single" w:sz="8" w:color="071D49"/>
            </w:tcBorders>
          </w:tcPr>
          <w:p>
            <w:pPr>
              <w:spacing w:after="0" w:line="20" w:lineRule="exact"/>
              <w:rPr>
                <w:sz w:val="1"/>
                <w:szCs w:val="1"/>
                <w:color w:val="auto"/>
              </w:rPr>
            </w:pPr>
          </w:p>
        </w:tc>
        <w:tc>
          <w:tcPr>
            <w:tcW w:w="300" w:type="dxa"/>
            <w:vAlign w:val="bottom"/>
            <w:tcBorders>
              <w:top w:val="single" w:sz="8" w:color="0000EE"/>
              <w:bottom w:val="single" w:sz="8" w:color="071D49"/>
            </w:tcBorders>
          </w:tcPr>
          <w:p>
            <w:pPr>
              <w:spacing w:after="0" w:line="20" w:lineRule="exact"/>
              <w:rPr>
                <w:sz w:val="1"/>
                <w:szCs w:val="1"/>
                <w:color w:val="auto"/>
              </w:rPr>
            </w:pPr>
          </w:p>
        </w:tc>
        <w:tc>
          <w:tcPr>
            <w:tcW w:w="740" w:type="dxa"/>
            <w:vAlign w:val="bottom"/>
            <w:tcBorders>
              <w:top w:val="single" w:sz="8" w:color="0000EE"/>
              <w:bottom w:val="single" w:sz="8" w:color="071D49"/>
            </w:tcBorders>
          </w:tcPr>
          <w:p>
            <w:pPr>
              <w:spacing w:after="0" w:line="20" w:lineRule="exact"/>
              <w:rPr>
                <w:sz w:val="1"/>
                <w:szCs w:val="1"/>
                <w:color w:val="auto"/>
              </w:rPr>
            </w:pPr>
          </w:p>
        </w:tc>
        <w:tc>
          <w:tcPr>
            <w:tcW w:w="240" w:type="dxa"/>
            <w:vAlign w:val="bottom"/>
            <w:tcBorders>
              <w:top w:val="single" w:sz="8" w:color="0000EE"/>
              <w:bottom w:val="single" w:sz="8" w:color="071D49"/>
            </w:tcBorders>
          </w:tcPr>
          <w:p>
            <w:pPr>
              <w:spacing w:after="0" w:line="20" w:lineRule="exact"/>
              <w:rPr>
                <w:sz w:val="1"/>
                <w:szCs w:val="1"/>
                <w:color w:val="auto"/>
              </w:rPr>
            </w:pPr>
          </w:p>
        </w:tc>
        <w:tc>
          <w:tcPr>
            <w:tcW w:w="420" w:type="dxa"/>
            <w:vAlign w:val="bottom"/>
            <w:tcBorders>
              <w:top w:val="single" w:sz="8" w:color="0000EE"/>
              <w:bottom w:val="single" w:sz="8" w:color="071D49"/>
            </w:tcBorders>
          </w:tcPr>
          <w:p>
            <w:pPr>
              <w:spacing w:after="0" w:line="20" w:lineRule="exact"/>
              <w:rPr>
                <w:sz w:val="1"/>
                <w:szCs w:val="1"/>
                <w:color w:val="auto"/>
              </w:rPr>
            </w:pPr>
          </w:p>
        </w:tc>
        <w:tc>
          <w:tcPr>
            <w:tcW w:w="640" w:type="dxa"/>
            <w:vAlign w:val="bottom"/>
            <w:tcBorders>
              <w:top w:val="single" w:sz="8" w:color="0000EE"/>
              <w:bottom w:val="single" w:sz="8" w:color="071D49"/>
            </w:tcBorders>
          </w:tcPr>
          <w:p>
            <w:pPr>
              <w:spacing w:after="0" w:line="20" w:lineRule="exact"/>
              <w:rPr>
                <w:sz w:val="1"/>
                <w:szCs w:val="1"/>
                <w:color w:val="auto"/>
              </w:rPr>
            </w:pPr>
          </w:p>
        </w:tc>
        <w:tc>
          <w:tcPr>
            <w:tcW w:w="40" w:type="dxa"/>
            <w:vAlign w:val="bottom"/>
            <w:tcBorders>
              <w:top w:val="single" w:sz="8" w:color="0000EE"/>
              <w:bottom w:val="single" w:sz="8" w:color="071D49"/>
            </w:tcBorders>
          </w:tcPr>
          <w:p>
            <w:pPr>
              <w:spacing w:after="0" w:line="20" w:lineRule="exact"/>
              <w:rPr>
                <w:sz w:val="1"/>
                <w:szCs w:val="1"/>
                <w:color w:val="auto"/>
              </w:rPr>
            </w:pPr>
          </w:p>
        </w:tc>
        <w:tc>
          <w:tcPr>
            <w:tcW w:w="100" w:type="dxa"/>
            <w:vAlign w:val="bottom"/>
            <w:tcBorders>
              <w:top w:val="single" w:sz="8" w:color="0000EE"/>
              <w:bottom w:val="single" w:sz="8" w:color="071D49"/>
            </w:tcBorders>
          </w:tcPr>
          <w:p>
            <w:pPr>
              <w:spacing w:after="0" w:line="20" w:lineRule="exact"/>
              <w:rPr>
                <w:sz w:val="1"/>
                <w:szCs w:val="1"/>
                <w:color w:val="auto"/>
              </w:rPr>
            </w:pPr>
          </w:p>
        </w:tc>
        <w:tc>
          <w:tcPr>
            <w:tcW w:w="620" w:type="dxa"/>
            <w:vAlign w:val="bottom"/>
            <w:tcBorders>
              <w:bottom w:val="single" w:sz="8" w:color="071D49"/>
            </w:tcBorders>
          </w:tcPr>
          <w:p>
            <w:pPr>
              <w:spacing w:after="0" w:line="20" w:lineRule="exact"/>
              <w:rPr>
                <w:sz w:val="1"/>
                <w:szCs w:val="1"/>
                <w:color w:val="auto"/>
              </w:rPr>
            </w:pPr>
          </w:p>
        </w:tc>
        <w:tc>
          <w:tcPr>
            <w:tcW w:w="82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900" w:type="dxa"/>
            <w:vAlign w:val="bottom"/>
            <w:gridSpan w:val="6"/>
          </w:tcPr>
          <w:p>
            <w:pPr>
              <w:spacing w:after="0" w:line="153" w:lineRule="exact"/>
              <w:rPr>
                <w:sz w:val="20"/>
                <w:szCs w:val="20"/>
                <w:color w:val="auto"/>
              </w:rPr>
            </w:pPr>
            <w:r>
              <w:rPr>
                <w:rFonts w:ascii="Arial" w:cs="Arial" w:eastAsia="Arial" w:hAnsi="Arial"/>
                <w:sz w:val="17"/>
                <w:szCs w:val="17"/>
                <w:color w:val="0000EE"/>
              </w:rPr>
              <w:t>Compensation Philosophy</w:t>
            </w:r>
          </w:p>
        </w:tc>
        <w:tc>
          <w:tcPr>
            <w:tcW w:w="620" w:type="dxa"/>
            <w:vAlign w:val="bottom"/>
          </w:tcPr>
          <w:p>
            <w:pPr>
              <w:jc w:val="right"/>
              <w:spacing w:after="0" w:line="153" w:lineRule="exact"/>
              <w:rPr>
                <w:sz w:val="20"/>
                <w:szCs w:val="20"/>
                <w:color w:val="auto"/>
              </w:rPr>
            </w:pPr>
            <w:r>
              <w:rPr>
                <w:rFonts w:ascii="Arial" w:cs="Arial" w:eastAsia="Arial" w:hAnsi="Arial"/>
                <w:sz w:val="17"/>
                <w:szCs w:val="17"/>
                <w:color w:val="auto"/>
              </w:rPr>
              <w:t>34</w:t>
            </w:r>
          </w:p>
        </w:tc>
        <w:tc>
          <w:tcPr>
            <w:tcW w:w="220" w:type="dxa"/>
            <w:vAlign w:val="bottom"/>
          </w:tcPr>
          <w:p>
            <w:pPr>
              <w:spacing w:after="0"/>
              <w:rPr>
                <w:sz w:val="13"/>
                <w:szCs w:val="13"/>
                <w:color w:val="auto"/>
              </w:rPr>
            </w:pPr>
          </w:p>
        </w:tc>
        <w:tc>
          <w:tcPr>
            <w:tcW w:w="3700" w:type="dxa"/>
            <w:vAlign w:val="bottom"/>
            <w:gridSpan w:val="9"/>
          </w:tcPr>
          <w:p>
            <w:pPr>
              <w:spacing w:after="0" w:line="153" w:lineRule="exact"/>
              <w:rPr>
                <w:sz w:val="20"/>
                <w:szCs w:val="20"/>
                <w:color w:val="auto"/>
              </w:rPr>
            </w:pPr>
            <w:r>
              <w:rPr>
                <w:rFonts w:ascii="Arial" w:cs="Arial" w:eastAsia="Arial" w:hAnsi="Arial"/>
                <w:sz w:val="17"/>
                <w:szCs w:val="17"/>
                <w:color w:val="0000EE"/>
              </w:rPr>
              <w:t>Base Salary</w:t>
            </w:r>
          </w:p>
        </w:tc>
        <w:tc>
          <w:tcPr>
            <w:tcW w:w="820" w:type="dxa"/>
            <w:vAlign w:val="bottom"/>
          </w:tcPr>
          <w:p>
            <w:pPr>
              <w:jc w:val="right"/>
              <w:spacing w:after="0" w:line="153"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vMerge w:val="restart"/>
          </w:tcPr>
          <w:p>
            <w:pPr>
              <w:jc w:val="right"/>
              <w:ind w:right="220"/>
              <w:spacing w:after="0" w:line="188" w:lineRule="exact"/>
              <w:rPr>
                <w:sz w:val="20"/>
                <w:szCs w:val="20"/>
                <w:color w:val="auto"/>
              </w:rPr>
            </w:pPr>
            <w:r>
              <w:rPr>
                <w:rFonts w:ascii="Arial" w:cs="Arial" w:eastAsia="Arial" w:hAnsi="Arial"/>
                <w:sz w:val="17"/>
                <w:szCs w:val="17"/>
                <w:color w:val="auto"/>
              </w:rPr>
              <w:t>36</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0" w:type="dxa"/>
            <w:vAlign w:val="bottom"/>
            <w:gridSpan w:val="7"/>
            <w:vMerge w:val="restart"/>
          </w:tcPr>
          <w:p>
            <w:pPr>
              <w:spacing w:after="0" w:line="188" w:lineRule="exact"/>
              <w:rPr>
                <w:sz w:val="20"/>
                <w:szCs w:val="20"/>
                <w:color w:val="auto"/>
              </w:rPr>
            </w:pPr>
            <w:r>
              <w:rPr>
                <w:rFonts w:ascii="Arial" w:cs="Arial" w:eastAsia="Arial" w:hAnsi="Arial"/>
                <w:sz w:val="17"/>
                <w:szCs w:val="17"/>
                <w:color w:val="0000EE"/>
              </w:rPr>
              <w:t>Incentives and 2023 Results</w:t>
            </w:r>
          </w:p>
        </w:tc>
        <w:tc>
          <w:tcPr>
            <w:tcW w:w="820" w:type="dxa"/>
            <w:vAlign w:val="bottom"/>
            <w:vMerge w:val="restart"/>
          </w:tcPr>
          <w:p>
            <w:pPr>
              <w:jc w:val="right"/>
              <w:spacing w:after="0" w:line="188" w:lineRule="exact"/>
              <w:rPr>
                <w:sz w:val="20"/>
                <w:szCs w:val="20"/>
                <w:color w:val="auto"/>
              </w:rPr>
            </w:pPr>
            <w:r>
              <w:rPr>
                <w:rFonts w:ascii="Arial" w:cs="Arial" w:eastAsia="Arial" w:hAnsi="Arial"/>
                <w:sz w:val="17"/>
                <w:szCs w:val="17"/>
                <w:color w:val="auto"/>
              </w:rPr>
              <w:t>42</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900" w:type="dxa"/>
            <w:vAlign w:val="bottom"/>
            <w:gridSpan w:val="6"/>
          </w:tcPr>
          <w:p>
            <w:pPr>
              <w:spacing w:after="0" w:line="167" w:lineRule="exact"/>
              <w:rPr>
                <w:sz w:val="20"/>
                <w:szCs w:val="20"/>
                <w:color w:val="auto"/>
              </w:rPr>
            </w:pPr>
            <w:r>
              <w:rPr>
                <w:rFonts w:ascii="Arial" w:cs="Arial" w:eastAsia="Arial" w:hAnsi="Arial"/>
                <w:sz w:val="17"/>
                <w:szCs w:val="17"/>
                <w:color w:val="0000EE"/>
              </w:rPr>
              <w:t>Business Performance Highlights</w:t>
            </w:r>
          </w:p>
        </w:tc>
        <w:tc>
          <w:tcPr>
            <w:tcW w:w="840" w:type="dxa"/>
            <w:vAlign w:val="bottom"/>
            <w:gridSpan w:val="2"/>
            <w:vMerge w:val="continue"/>
          </w:tcPr>
          <w:p>
            <w:pPr>
              <w:spacing w:after="0"/>
              <w:rPr>
                <w:sz w:val="14"/>
                <w:szCs w:val="14"/>
                <w:color w:val="auto"/>
              </w:rPr>
            </w:pPr>
          </w:p>
        </w:tc>
        <w:tc>
          <w:tcPr>
            <w:tcW w:w="900" w:type="dxa"/>
            <w:vAlign w:val="bottom"/>
            <w:gridSpan w:val="2"/>
          </w:tcPr>
          <w:p>
            <w:pPr>
              <w:spacing w:after="0" w:line="167" w:lineRule="exact"/>
              <w:rPr>
                <w:sz w:val="20"/>
                <w:szCs w:val="20"/>
                <w:color w:val="auto"/>
              </w:rPr>
            </w:pPr>
            <w:r>
              <w:rPr>
                <w:rFonts w:ascii="Arial" w:cs="Arial" w:eastAsia="Arial" w:hAnsi="Arial"/>
                <w:sz w:val="17"/>
                <w:szCs w:val="17"/>
                <w:color w:val="0000EE"/>
              </w:rPr>
              <w:t>Short-Term</w:t>
            </w:r>
          </w:p>
        </w:tc>
        <w:tc>
          <w:tcPr>
            <w:tcW w:w="2800" w:type="dxa"/>
            <w:vAlign w:val="bottom"/>
            <w:gridSpan w:val="7"/>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Borders>
              <w:top w:val="single" w:sz="8" w:color="0000EE"/>
            </w:tcBorders>
            <w:gridSpan w:val="3"/>
          </w:tcPr>
          <w:p>
            <w:pPr>
              <w:spacing w:after="0" w:line="167" w:lineRule="exact"/>
              <w:rPr>
                <w:sz w:val="20"/>
                <w:szCs w:val="20"/>
                <w:color w:val="auto"/>
              </w:rPr>
            </w:pPr>
            <w:r>
              <w:rPr>
                <w:rFonts w:ascii="Arial" w:cs="Arial" w:eastAsia="Arial" w:hAnsi="Arial"/>
                <w:sz w:val="17"/>
                <w:szCs w:val="17"/>
                <w:color w:val="0000EE"/>
              </w:rPr>
              <w:t>Stockholder Engagement</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38</w:t>
            </w:r>
          </w:p>
        </w:tc>
        <w:tc>
          <w:tcPr>
            <w:tcW w:w="2980" w:type="dxa"/>
            <w:vAlign w:val="bottom"/>
            <w:tcBorders>
              <w:top w:val="single" w:sz="8" w:color="0000EE"/>
            </w:tcBorders>
            <w:gridSpan w:val="7"/>
          </w:tcPr>
          <w:p>
            <w:pPr>
              <w:spacing w:after="0" w:line="167" w:lineRule="exact"/>
              <w:rPr>
                <w:sz w:val="20"/>
                <w:szCs w:val="20"/>
                <w:color w:val="auto"/>
              </w:rPr>
            </w:pPr>
            <w:r>
              <w:rPr>
                <w:rFonts w:ascii="Arial" w:cs="Arial" w:eastAsia="Arial" w:hAnsi="Arial"/>
                <w:sz w:val="17"/>
                <w:szCs w:val="17"/>
                <w:color w:val="0000EE"/>
                <w:w w:val="98"/>
              </w:rPr>
              <w:t>Long-Term Incentives and 2023 Results</w:t>
            </w:r>
          </w:p>
        </w:tc>
        <w:tc>
          <w:tcPr>
            <w:tcW w:w="720" w:type="dxa"/>
            <w:vAlign w:val="bottom"/>
            <w:gridSpan w:val="2"/>
          </w:tcPr>
          <w:p>
            <w:pPr>
              <w:spacing w:after="0"/>
              <w:rPr>
                <w:sz w:val="14"/>
                <w:szCs w:val="14"/>
                <w:color w:val="auto"/>
              </w:rPr>
            </w:pP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Borders>
              <w:top w:val="single" w:sz="8" w:color="0000EE"/>
            </w:tcBorders>
          </w:tcPr>
          <w:p>
            <w:pPr>
              <w:spacing w:after="0" w:line="167" w:lineRule="exact"/>
              <w:rPr>
                <w:sz w:val="20"/>
                <w:szCs w:val="20"/>
                <w:color w:val="auto"/>
              </w:rPr>
            </w:pPr>
            <w:r>
              <w:rPr>
                <w:rFonts w:ascii="Arial" w:cs="Arial" w:eastAsia="Arial" w:hAnsi="Arial"/>
                <w:sz w:val="17"/>
                <w:szCs w:val="17"/>
                <w:color w:val="0000EE"/>
              </w:rPr>
              <w:t>Compensation Program</w:t>
            </w:r>
          </w:p>
        </w:tc>
        <w:tc>
          <w:tcPr>
            <w:tcW w:w="1980" w:type="dxa"/>
            <w:vAlign w:val="bottom"/>
            <w:gridSpan w:val="5"/>
          </w:tcPr>
          <w:p>
            <w:pPr>
              <w:spacing w:after="0" w:line="167" w:lineRule="exact"/>
              <w:rPr>
                <w:sz w:val="20"/>
                <w:szCs w:val="20"/>
                <w:color w:val="auto"/>
              </w:rPr>
            </w:pPr>
            <w:r>
              <w:rPr>
                <w:rFonts w:ascii="Arial" w:cs="Arial" w:eastAsia="Arial" w:hAnsi="Arial"/>
                <w:sz w:val="17"/>
                <w:szCs w:val="17"/>
                <w:color w:val="0000EE"/>
              </w:rPr>
              <w:t>Governance Summary</w:t>
            </w:r>
          </w:p>
        </w:tc>
        <w:tc>
          <w:tcPr>
            <w:tcW w:w="84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39</w:t>
            </w:r>
          </w:p>
        </w:tc>
        <w:tc>
          <w:tcPr>
            <w:tcW w:w="2940" w:type="dxa"/>
            <w:vAlign w:val="bottom"/>
            <w:tcBorders>
              <w:top w:val="single" w:sz="8" w:color="0000EE"/>
            </w:tcBorders>
            <w:gridSpan w:val="6"/>
          </w:tcPr>
          <w:p>
            <w:pPr>
              <w:spacing w:after="0" w:line="167" w:lineRule="exact"/>
              <w:rPr>
                <w:sz w:val="20"/>
                <w:szCs w:val="20"/>
                <w:color w:val="auto"/>
              </w:rPr>
            </w:pPr>
            <w:r>
              <w:rPr>
                <w:rFonts w:ascii="Arial" w:cs="Arial" w:eastAsia="Arial" w:hAnsi="Arial"/>
                <w:sz w:val="17"/>
                <w:szCs w:val="17"/>
                <w:color w:val="0000EE"/>
              </w:rPr>
              <w:t>Benefits</w:t>
            </w:r>
          </w:p>
        </w:tc>
        <w:tc>
          <w:tcPr>
            <w:tcW w:w="760" w:type="dxa"/>
            <w:vAlign w:val="bottom"/>
            <w:gridSpan w:val="3"/>
          </w:tcPr>
          <w:p>
            <w:pPr>
              <w:spacing w:after="0"/>
              <w:rPr>
                <w:sz w:val="14"/>
                <w:szCs w:val="14"/>
                <w:color w:val="auto"/>
              </w:rPr>
            </w:pP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40" w:type="dxa"/>
            <w:vAlign w:val="bottom"/>
            <w:gridSpan w:val="2"/>
            <w:vMerge w:val="restart"/>
          </w:tcPr>
          <w:p>
            <w:pPr>
              <w:jc w:val="right"/>
              <w:ind w:right="220"/>
              <w:spacing w:after="0" w:line="188" w:lineRule="exact"/>
              <w:rPr>
                <w:sz w:val="20"/>
                <w:szCs w:val="20"/>
                <w:color w:val="auto"/>
              </w:rPr>
            </w:pPr>
            <w:r>
              <w:rPr>
                <w:rFonts w:ascii="Arial" w:cs="Arial" w:eastAsia="Arial" w:hAnsi="Arial"/>
                <w:sz w:val="17"/>
                <w:szCs w:val="17"/>
                <w:color w:val="auto"/>
              </w:rPr>
              <w:t>40</w:t>
            </w:r>
          </w:p>
        </w:tc>
        <w:tc>
          <w:tcPr>
            <w:tcW w:w="6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820" w:type="dxa"/>
            <w:vAlign w:val="bottom"/>
            <w:vMerge w:val="restart"/>
          </w:tcPr>
          <w:p>
            <w:pPr>
              <w:jc w:val="right"/>
              <w:spacing w:after="0" w:line="188" w:lineRule="exact"/>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220" w:type="dxa"/>
            <w:vAlign w:val="bottom"/>
            <w:tcBorders>
              <w:bottom w:val="single" w:sz="8" w:color="0000EE"/>
            </w:tcBorders>
            <w:gridSpan w:val="4"/>
          </w:tcPr>
          <w:p>
            <w:pPr>
              <w:spacing w:after="0" w:line="167" w:lineRule="exact"/>
              <w:rPr>
                <w:sz w:val="20"/>
                <w:szCs w:val="20"/>
                <w:color w:val="auto"/>
              </w:rPr>
            </w:pPr>
            <w:r>
              <w:rPr>
                <w:rFonts w:ascii="Arial" w:cs="Arial" w:eastAsia="Arial" w:hAnsi="Arial"/>
                <w:sz w:val="17"/>
                <w:szCs w:val="17"/>
                <w:color w:val="0000EE"/>
                <w:w w:val="97"/>
              </w:rPr>
              <w:t>Components of our Compensation Program</w:t>
            </w:r>
          </w:p>
        </w:tc>
        <w:tc>
          <w:tcPr>
            <w:tcW w:w="2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80" w:type="dxa"/>
            <w:vAlign w:val="bottom"/>
            <w:tcBorders>
              <w:bottom w:val="single" w:sz="8" w:color="0000EE"/>
            </w:tcBorders>
            <w:gridSpan w:val="4"/>
          </w:tcPr>
          <w:p>
            <w:pPr>
              <w:spacing w:after="0" w:line="167" w:lineRule="exact"/>
              <w:rPr>
                <w:sz w:val="20"/>
                <w:szCs w:val="20"/>
                <w:color w:val="auto"/>
              </w:rPr>
            </w:pPr>
            <w:r>
              <w:rPr>
                <w:rFonts w:ascii="Arial" w:cs="Arial" w:eastAsia="Arial" w:hAnsi="Arial"/>
                <w:sz w:val="17"/>
                <w:szCs w:val="17"/>
                <w:color w:val="0000EE"/>
                <w:w w:val="97"/>
              </w:rPr>
              <w:t>Employment Agreements</w:t>
            </w:r>
          </w:p>
        </w:tc>
        <w:tc>
          <w:tcPr>
            <w:tcW w:w="1820" w:type="dxa"/>
            <w:vAlign w:val="bottom"/>
            <w:gridSpan w:val="5"/>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9"/>
          </w:tcPr>
          <w:p>
            <w:pPr>
              <w:spacing w:after="0" w:line="167" w:lineRule="exact"/>
              <w:rPr>
                <w:sz w:val="20"/>
                <w:szCs w:val="20"/>
                <w:color w:val="auto"/>
              </w:rPr>
            </w:pPr>
            <w:r>
              <w:rPr>
                <w:rFonts w:ascii="Arial" w:cs="Arial" w:eastAsia="Arial" w:hAnsi="Arial"/>
                <w:sz w:val="17"/>
                <w:szCs w:val="17"/>
                <w:color w:val="0000EE"/>
              </w:rPr>
              <w:t>Change in Control Agreements</w:t>
            </w: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Borders>
              <w:top w:val="single" w:sz="8" w:color="0000EE"/>
            </w:tcBorders>
            <w:gridSpan w:val="5"/>
          </w:tcPr>
          <w:p>
            <w:pPr>
              <w:spacing w:after="0" w:line="167" w:lineRule="exact"/>
              <w:rPr>
                <w:sz w:val="20"/>
                <w:szCs w:val="20"/>
                <w:color w:val="auto"/>
              </w:rPr>
            </w:pPr>
            <w:r>
              <w:rPr>
                <w:rFonts w:ascii="Arial" w:cs="Arial" w:eastAsia="Arial" w:hAnsi="Arial"/>
                <w:sz w:val="17"/>
                <w:szCs w:val="17"/>
                <w:color w:val="0000EE"/>
              </w:rPr>
              <w:t>Excise Tax Gross-Ups</w:t>
            </w:r>
          </w:p>
        </w:tc>
        <w:tc>
          <w:tcPr>
            <w:tcW w:w="1400" w:type="dxa"/>
            <w:vAlign w:val="bottom"/>
            <w:gridSpan w:val="4"/>
          </w:tcPr>
          <w:p>
            <w:pPr>
              <w:spacing w:after="0"/>
              <w:rPr>
                <w:sz w:val="14"/>
                <w:szCs w:val="14"/>
                <w:color w:val="auto"/>
              </w:rPr>
            </w:pP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80" w:type="dxa"/>
            <w:vAlign w:val="bottom"/>
            <w:gridSpan w:val="6"/>
          </w:tcPr>
          <w:p>
            <w:pPr>
              <w:spacing w:after="0"/>
              <w:rPr>
                <w:sz w:val="20"/>
                <w:szCs w:val="20"/>
                <w:color w:val="auto"/>
              </w:rPr>
            </w:pPr>
            <w:r>
              <w:rPr>
                <w:rFonts w:ascii="Arial" w:cs="Arial" w:eastAsia="Arial" w:hAnsi="Arial"/>
                <w:sz w:val="18"/>
                <w:szCs w:val="18"/>
                <w:b w:val="1"/>
                <w:bCs w:val="1"/>
                <w:color w:val="0000EE"/>
              </w:rPr>
              <w:t>EXECUTIVE COMPENSATION PROCESS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071D49"/>
              </w:rPr>
              <w:t>41</w:t>
            </w:r>
          </w:p>
        </w:tc>
        <w:tc>
          <w:tcPr>
            <w:tcW w:w="3640" w:type="dxa"/>
            <w:vAlign w:val="bottom"/>
            <w:gridSpan w:val="5"/>
          </w:tcPr>
          <w:p>
            <w:pPr>
              <w:spacing w:after="0"/>
              <w:rPr>
                <w:sz w:val="20"/>
                <w:szCs w:val="20"/>
                <w:color w:val="auto"/>
              </w:rPr>
            </w:pPr>
            <w:r>
              <w:rPr>
                <w:rFonts w:ascii="Arial" w:cs="Arial" w:eastAsia="Arial" w:hAnsi="Arial"/>
                <w:sz w:val="18"/>
                <w:szCs w:val="18"/>
                <w:b w:val="1"/>
                <w:bCs w:val="1"/>
                <w:color w:val="0000EE"/>
              </w:rPr>
              <w:t>OTHER MATTERS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071D49"/>
              </w:rPr>
              <w:t>50</w:t>
            </w:r>
          </w:p>
        </w:tc>
        <w:tc>
          <w:tcPr>
            <w:tcW w:w="0" w:type="dxa"/>
            <w:vAlign w:val="bottom"/>
          </w:tcPr>
          <w:p>
            <w:pPr>
              <w:spacing w:after="0"/>
              <w:rPr>
                <w:sz w:val="1"/>
                <w:szCs w:val="1"/>
                <w:color w:val="auto"/>
              </w:rPr>
            </w:pPr>
          </w:p>
        </w:tc>
      </w:tr>
      <w:tr>
        <w:trPr>
          <w:trHeight w:val="20"/>
        </w:trPr>
        <w:tc>
          <w:tcPr>
            <w:tcW w:w="20" w:type="dxa"/>
            <w:vAlign w:val="bottom"/>
            <w:tcBorders>
              <w:bottom w:val="single" w:sz="8" w:color="071D49"/>
            </w:tcBorders>
          </w:tcPr>
          <w:p>
            <w:pPr>
              <w:spacing w:after="0" w:line="20" w:lineRule="exact"/>
              <w:rPr>
                <w:sz w:val="1"/>
                <w:szCs w:val="1"/>
                <w:color w:val="auto"/>
              </w:rPr>
            </w:pPr>
          </w:p>
        </w:tc>
        <w:tc>
          <w:tcPr>
            <w:tcW w:w="2180" w:type="dxa"/>
            <w:vAlign w:val="bottom"/>
            <w:tcBorders>
              <w:top w:val="single" w:sz="8" w:color="0000EE"/>
              <w:bottom w:val="single" w:sz="8" w:color="071D49"/>
            </w:tcBorders>
          </w:tcPr>
          <w:p>
            <w:pPr>
              <w:spacing w:after="0" w:line="20" w:lineRule="exact"/>
              <w:rPr>
                <w:sz w:val="1"/>
                <w:szCs w:val="1"/>
                <w:color w:val="auto"/>
              </w:rPr>
            </w:pPr>
          </w:p>
        </w:tc>
        <w:tc>
          <w:tcPr>
            <w:tcW w:w="20" w:type="dxa"/>
            <w:vAlign w:val="bottom"/>
            <w:tcBorders>
              <w:top w:val="single" w:sz="8" w:color="0000EE"/>
              <w:bottom w:val="single" w:sz="8" w:color="071D49"/>
            </w:tcBorders>
          </w:tcPr>
          <w:p>
            <w:pPr>
              <w:spacing w:after="0" w:line="20" w:lineRule="exact"/>
              <w:rPr>
                <w:sz w:val="1"/>
                <w:szCs w:val="1"/>
                <w:color w:val="auto"/>
              </w:rPr>
            </w:pPr>
          </w:p>
        </w:tc>
        <w:tc>
          <w:tcPr>
            <w:tcW w:w="560" w:type="dxa"/>
            <w:vAlign w:val="bottom"/>
            <w:tcBorders>
              <w:top w:val="single" w:sz="8" w:color="0000EE"/>
              <w:bottom w:val="single" w:sz="8" w:color="071D49"/>
            </w:tcBorders>
          </w:tcPr>
          <w:p>
            <w:pPr>
              <w:spacing w:after="0" w:line="20" w:lineRule="exact"/>
              <w:rPr>
                <w:sz w:val="1"/>
                <w:szCs w:val="1"/>
                <w:color w:val="auto"/>
              </w:rPr>
            </w:pPr>
          </w:p>
        </w:tc>
        <w:tc>
          <w:tcPr>
            <w:tcW w:w="500" w:type="dxa"/>
            <w:vAlign w:val="bottom"/>
            <w:tcBorders>
              <w:top w:val="single" w:sz="8" w:color="0000EE"/>
              <w:bottom w:val="single" w:sz="8" w:color="071D49"/>
            </w:tcBorders>
          </w:tcPr>
          <w:p>
            <w:pPr>
              <w:spacing w:after="0" w:line="20" w:lineRule="exact"/>
              <w:rPr>
                <w:sz w:val="1"/>
                <w:szCs w:val="1"/>
                <w:color w:val="auto"/>
              </w:rPr>
            </w:pPr>
          </w:p>
        </w:tc>
        <w:tc>
          <w:tcPr>
            <w:tcW w:w="260" w:type="dxa"/>
            <w:vAlign w:val="bottom"/>
            <w:tcBorders>
              <w:top w:val="single" w:sz="8" w:color="0000EE"/>
              <w:bottom w:val="single" w:sz="8" w:color="071D49"/>
            </w:tcBorders>
          </w:tcPr>
          <w:p>
            <w:pPr>
              <w:spacing w:after="0" w:line="20" w:lineRule="exact"/>
              <w:rPr>
                <w:sz w:val="1"/>
                <w:szCs w:val="1"/>
                <w:color w:val="auto"/>
              </w:rPr>
            </w:pPr>
          </w:p>
        </w:tc>
        <w:tc>
          <w:tcPr>
            <w:tcW w:w="260" w:type="dxa"/>
            <w:vAlign w:val="bottom"/>
            <w:tcBorders>
              <w:bottom w:val="single" w:sz="8" w:color="071D49"/>
            </w:tcBorders>
          </w:tcPr>
          <w:p>
            <w:pPr>
              <w:spacing w:after="0" w:line="20" w:lineRule="exact"/>
              <w:rPr>
                <w:sz w:val="1"/>
                <w:szCs w:val="1"/>
                <w:color w:val="auto"/>
              </w:rPr>
            </w:pPr>
          </w:p>
        </w:tc>
        <w:tc>
          <w:tcPr>
            <w:tcW w:w="740" w:type="dxa"/>
            <w:vAlign w:val="bottom"/>
            <w:tcBorders>
              <w:bottom w:val="single" w:sz="8" w:color="071D49"/>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0000EE"/>
              <w:bottom w:val="single" w:sz="8" w:color="071D49"/>
            </w:tcBorders>
          </w:tcPr>
          <w:p>
            <w:pPr>
              <w:spacing w:after="0" w:line="20" w:lineRule="exact"/>
              <w:rPr>
                <w:sz w:val="1"/>
                <w:szCs w:val="1"/>
                <w:color w:val="auto"/>
              </w:rPr>
            </w:pPr>
          </w:p>
        </w:tc>
        <w:tc>
          <w:tcPr>
            <w:tcW w:w="360" w:type="dxa"/>
            <w:vAlign w:val="bottom"/>
            <w:tcBorders>
              <w:top w:val="single" w:sz="8" w:color="0000EE"/>
              <w:bottom w:val="single" w:sz="8" w:color="071D49"/>
            </w:tcBorders>
          </w:tcPr>
          <w:p>
            <w:pPr>
              <w:spacing w:after="0" w:line="20" w:lineRule="exact"/>
              <w:rPr>
                <w:sz w:val="1"/>
                <w:szCs w:val="1"/>
                <w:color w:val="auto"/>
              </w:rPr>
            </w:pPr>
          </w:p>
        </w:tc>
        <w:tc>
          <w:tcPr>
            <w:tcW w:w="520" w:type="dxa"/>
            <w:vAlign w:val="bottom"/>
            <w:tcBorders>
              <w:bottom w:val="single" w:sz="8" w:color="071D49"/>
            </w:tcBorders>
          </w:tcPr>
          <w:p>
            <w:pPr>
              <w:spacing w:after="0" w:line="20" w:lineRule="exact"/>
              <w:rPr>
                <w:sz w:val="1"/>
                <w:szCs w:val="1"/>
                <w:color w:val="auto"/>
              </w:rPr>
            </w:pPr>
          </w:p>
        </w:tc>
        <w:tc>
          <w:tcPr>
            <w:tcW w:w="860" w:type="dxa"/>
            <w:vAlign w:val="bottom"/>
            <w:tcBorders>
              <w:bottom w:val="single" w:sz="8" w:color="071D49"/>
            </w:tcBorders>
          </w:tcPr>
          <w:p>
            <w:pPr>
              <w:spacing w:after="0" w:line="20" w:lineRule="exact"/>
              <w:rPr>
                <w:sz w:val="1"/>
                <w:szCs w:val="1"/>
                <w:color w:val="auto"/>
              </w:rPr>
            </w:pPr>
          </w:p>
        </w:tc>
        <w:tc>
          <w:tcPr>
            <w:tcW w:w="680" w:type="dxa"/>
            <w:vAlign w:val="bottom"/>
            <w:tcBorders>
              <w:bottom w:val="single" w:sz="8" w:color="071D49"/>
            </w:tcBorders>
          </w:tcPr>
          <w:p>
            <w:pPr>
              <w:spacing w:after="0" w:line="20" w:lineRule="exact"/>
              <w:rPr>
                <w:sz w:val="1"/>
                <w:szCs w:val="1"/>
                <w:color w:val="auto"/>
              </w:rPr>
            </w:pPr>
          </w:p>
        </w:tc>
        <w:tc>
          <w:tcPr>
            <w:tcW w:w="880" w:type="dxa"/>
            <w:vAlign w:val="bottom"/>
            <w:tcBorders>
              <w:bottom w:val="single" w:sz="8" w:color="071D4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260" w:type="dxa"/>
            <w:vAlign w:val="bottom"/>
            <w:gridSpan w:val="4"/>
          </w:tcPr>
          <w:p>
            <w:pPr>
              <w:spacing w:after="0" w:line="153" w:lineRule="exact"/>
              <w:rPr>
                <w:sz w:val="20"/>
                <w:szCs w:val="20"/>
                <w:color w:val="auto"/>
              </w:rPr>
            </w:pPr>
            <w:r>
              <w:rPr>
                <w:rFonts w:ascii="Arial" w:cs="Arial" w:eastAsia="Arial" w:hAnsi="Arial"/>
                <w:sz w:val="17"/>
                <w:szCs w:val="17"/>
                <w:color w:val="0000EE"/>
                <w:w w:val="97"/>
              </w:rPr>
              <w:t>Commitment to Performance-Based Awards</w:t>
            </w:r>
          </w:p>
        </w:tc>
        <w:tc>
          <w:tcPr>
            <w:tcW w:w="520" w:type="dxa"/>
            <w:vAlign w:val="bottom"/>
            <w:gridSpan w:val="2"/>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Arial" w:cs="Arial" w:eastAsia="Arial" w:hAnsi="Arial"/>
                <w:sz w:val="17"/>
                <w:szCs w:val="17"/>
                <w:color w:val="auto"/>
              </w:rPr>
              <w:t>41</w:t>
            </w:r>
          </w:p>
        </w:tc>
        <w:tc>
          <w:tcPr>
            <w:tcW w:w="220" w:type="dxa"/>
            <w:vAlign w:val="bottom"/>
          </w:tcPr>
          <w:p>
            <w:pPr>
              <w:spacing w:after="0"/>
              <w:rPr>
                <w:sz w:val="13"/>
                <w:szCs w:val="13"/>
                <w:color w:val="auto"/>
              </w:rPr>
            </w:pPr>
          </w:p>
        </w:tc>
        <w:tc>
          <w:tcPr>
            <w:tcW w:w="3640" w:type="dxa"/>
            <w:vAlign w:val="bottom"/>
            <w:gridSpan w:val="5"/>
          </w:tcPr>
          <w:p>
            <w:pPr>
              <w:spacing w:after="0" w:line="153" w:lineRule="exact"/>
              <w:rPr>
                <w:sz w:val="20"/>
                <w:szCs w:val="20"/>
                <w:color w:val="auto"/>
              </w:rPr>
            </w:pPr>
            <w:r>
              <w:rPr>
                <w:rFonts w:ascii="Arial" w:cs="Arial" w:eastAsia="Arial" w:hAnsi="Arial"/>
                <w:sz w:val="17"/>
                <w:szCs w:val="17"/>
                <w:color w:val="0000EE"/>
              </w:rPr>
              <w:t>Stock Ownership Guidelines</w:t>
            </w:r>
          </w:p>
        </w:tc>
        <w:tc>
          <w:tcPr>
            <w:tcW w:w="880" w:type="dxa"/>
            <w:vAlign w:val="bottom"/>
          </w:tcPr>
          <w:p>
            <w:pPr>
              <w:jc w:val="right"/>
              <w:spacing w:after="0" w:line="153"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2"/>
            <w:vMerge w:val="restart"/>
          </w:tcPr>
          <w:p>
            <w:pPr>
              <w:jc w:val="right"/>
              <w:ind w:right="220"/>
              <w:spacing w:after="0" w:line="188" w:lineRule="exact"/>
              <w:rPr>
                <w:sz w:val="20"/>
                <w:szCs w:val="20"/>
                <w:color w:val="auto"/>
              </w:rPr>
            </w:pPr>
            <w:r>
              <w:rPr>
                <w:rFonts w:ascii="Arial" w:cs="Arial" w:eastAsia="Arial" w:hAnsi="Arial"/>
                <w:sz w:val="17"/>
                <w:szCs w:val="17"/>
                <w:color w:val="auto"/>
              </w:rPr>
              <w:t>41</w:t>
            </w:r>
          </w:p>
        </w:tc>
        <w:tc>
          <w:tcPr>
            <w:tcW w:w="12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880" w:type="dxa"/>
            <w:vAlign w:val="bottom"/>
            <w:vMerge w:val="restart"/>
          </w:tcPr>
          <w:p>
            <w:pPr>
              <w:jc w:val="right"/>
              <w:spacing w:after="0" w:line="188" w:lineRule="exact"/>
              <w:rPr>
                <w:sz w:val="20"/>
                <w:szCs w:val="20"/>
                <w:color w:val="auto"/>
              </w:rPr>
            </w:pPr>
            <w:r>
              <w:rPr>
                <w:rFonts w:ascii="Arial" w:cs="Arial" w:eastAsia="Arial" w:hAnsi="Arial"/>
                <w:sz w:val="17"/>
                <w:szCs w:val="17"/>
                <w:color w:val="auto"/>
              </w:rPr>
              <w:t>50</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gridSpan w:val="6"/>
          </w:tcPr>
          <w:p>
            <w:pPr>
              <w:spacing w:after="0" w:line="167" w:lineRule="exact"/>
              <w:rPr>
                <w:sz w:val="20"/>
                <w:szCs w:val="20"/>
                <w:color w:val="auto"/>
              </w:rPr>
            </w:pPr>
            <w:r>
              <w:rPr>
                <w:rFonts w:ascii="Arial" w:cs="Arial" w:eastAsia="Arial" w:hAnsi="Arial"/>
                <w:sz w:val="17"/>
                <w:szCs w:val="17"/>
                <w:color w:val="0000EE"/>
                <w:w w:val="97"/>
              </w:rPr>
              <w:t>Committee Process for Setting Total Compensation</w:t>
            </w:r>
          </w:p>
        </w:tc>
        <w:tc>
          <w:tcPr>
            <w:tcW w:w="960" w:type="dxa"/>
            <w:vAlign w:val="bottom"/>
            <w:gridSpan w:val="2"/>
            <w:vMerge w:val="continue"/>
          </w:tcPr>
          <w:p>
            <w:pPr>
              <w:spacing w:after="0"/>
              <w:rPr>
                <w:sz w:val="14"/>
                <w:szCs w:val="14"/>
                <w:color w:val="auto"/>
              </w:rPr>
            </w:pPr>
          </w:p>
        </w:tc>
        <w:tc>
          <w:tcPr>
            <w:tcW w:w="2100" w:type="dxa"/>
            <w:vAlign w:val="bottom"/>
            <w:gridSpan w:val="3"/>
          </w:tcPr>
          <w:p>
            <w:pPr>
              <w:spacing w:after="0" w:line="167" w:lineRule="exact"/>
              <w:rPr>
                <w:sz w:val="20"/>
                <w:szCs w:val="20"/>
                <w:color w:val="auto"/>
              </w:rPr>
            </w:pPr>
            <w:r>
              <w:rPr>
                <w:rFonts w:ascii="Arial" w:cs="Arial" w:eastAsia="Arial" w:hAnsi="Arial"/>
                <w:sz w:val="17"/>
                <w:szCs w:val="17"/>
                <w:color w:val="0000EE"/>
              </w:rPr>
              <w:t>Clawback Policy</w:t>
            </w:r>
          </w:p>
        </w:tc>
        <w:tc>
          <w:tcPr>
            <w:tcW w:w="8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960" w:type="dxa"/>
            <w:vAlign w:val="bottom"/>
            <w:gridSpan w:val="2"/>
            <w:vMerge w:val="restart"/>
          </w:tcPr>
          <w:p>
            <w:pPr>
              <w:jc w:val="right"/>
              <w:ind w:right="220"/>
              <w:spacing w:after="0" w:line="188" w:lineRule="exact"/>
              <w:rPr>
                <w:sz w:val="20"/>
                <w:szCs w:val="20"/>
                <w:color w:val="auto"/>
              </w:rPr>
            </w:pPr>
            <w:r>
              <w:rPr>
                <w:rFonts w:ascii="Arial" w:cs="Arial" w:eastAsia="Arial" w:hAnsi="Arial"/>
                <w:sz w:val="17"/>
                <w:szCs w:val="17"/>
                <w:color w:val="auto"/>
              </w:rPr>
              <w:t>41</w:t>
            </w:r>
          </w:p>
        </w:tc>
        <w:tc>
          <w:tcPr>
            <w:tcW w:w="1220" w:type="dxa"/>
            <w:vAlign w:val="bottom"/>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vMerge w:val="restart"/>
          </w:tcPr>
          <w:p>
            <w:pPr>
              <w:jc w:val="right"/>
              <w:spacing w:after="0" w:line="188" w:lineRule="exact"/>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180" w:type="dxa"/>
            <w:vAlign w:val="bottom"/>
            <w:tcBorders>
              <w:bottom w:val="single" w:sz="8" w:color="0000EE"/>
            </w:tcBorders>
          </w:tcPr>
          <w:p>
            <w:pPr>
              <w:spacing w:after="0" w:line="167" w:lineRule="exact"/>
              <w:rPr>
                <w:sz w:val="20"/>
                <w:szCs w:val="20"/>
                <w:color w:val="auto"/>
              </w:rPr>
            </w:pPr>
            <w:r>
              <w:rPr>
                <w:rFonts w:ascii="Arial" w:cs="Arial" w:eastAsia="Arial" w:hAnsi="Arial"/>
                <w:sz w:val="17"/>
                <w:szCs w:val="17"/>
                <w:color w:val="0000EE"/>
                <w:w w:val="96"/>
              </w:rPr>
              <w:t>Compensation Benchmarking</w:t>
            </w:r>
          </w:p>
        </w:tc>
        <w:tc>
          <w:tcPr>
            <w:tcW w:w="1600" w:type="dxa"/>
            <w:vAlign w:val="bottom"/>
            <w:gridSpan w:val="5"/>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960" w:type="dxa"/>
            <w:vAlign w:val="bottom"/>
            <w:tcBorders>
              <w:bottom w:val="single" w:sz="8" w:color="0000EE"/>
            </w:tcBorders>
            <w:gridSpan w:val="4"/>
          </w:tcPr>
          <w:p>
            <w:pPr>
              <w:spacing w:after="0" w:line="167" w:lineRule="exact"/>
              <w:rPr>
                <w:sz w:val="20"/>
                <w:szCs w:val="20"/>
                <w:color w:val="auto"/>
              </w:rPr>
            </w:pPr>
            <w:r>
              <w:rPr>
                <w:rFonts w:ascii="Arial" w:cs="Arial" w:eastAsia="Arial" w:hAnsi="Arial"/>
                <w:sz w:val="17"/>
                <w:szCs w:val="17"/>
                <w:color w:val="0000EE"/>
                <w:w w:val="97"/>
              </w:rPr>
              <w:t>Anti-Hedging and Anti-Pledging Policies</w:t>
            </w:r>
          </w:p>
        </w:tc>
        <w:tc>
          <w:tcPr>
            <w:tcW w:w="6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gridSpan w:val="6"/>
          </w:tcPr>
          <w:p>
            <w:pPr>
              <w:spacing w:after="0" w:line="167" w:lineRule="exact"/>
              <w:rPr>
                <w:sz w:val="20"/>
                <w:szCs w:val="20"/>
                <w:color w:val="auto"/>
              </w:rPr>
            </w:pPr>
            <w:r>
              <w:rPr>
                <w:rFonts w:ascii="Arial" w:cs="Arial" w:eastAsia="Arial" w:hAnsi="Arial"/>
                <w:sz w:val="17"/>
                <w:szCs w:val="17"/>
                <w:color w:val="0000EE"/>
              </w:rPr>
              <w:t>Role of the Compensation Consultant</w:t>
            </w:r>
          </w:p>
        </w:tc>
        <w:tc>
          <w:tcPr>
            <w:tcW w:w="96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41</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00" w:type="dxa"/>
            <w:vAlign w:val="bottom"/>
            <w:tcBorders>
              <w:top w:val="single" w:sz="8" w:color="0000EE"/>
              <w:bottom w:val="single" w:sz="8" w:color="0000EE"/>
            </w:tcBorders>
            <w:gridSpan w:val="2"/>
          </w:tcPr>
          <w:p>
            <w:pPr>
              <w:spacing w:after="0" w:line="167" w:lineRule="exact"/>
              <w:rPr>
                <w:sz w:val="20"/>
                <w:szCs w:val="20"/>
                <w:color w:val="auto"/>
              </w:rPr>
            </w:pPr>
            <w:r>
              <w:rPr>
                <w:rFonts w:ascii="Arial" w:cs="Arial" w:eastAsia="Arial" w:hAnsi="Arial"/>
                <w:sz w:val="17"/>
                <w:szCs w:val="17"/>
                <w:color w:val="0000EE"/>
                <w:w w:val="96"/>
              </w:rPr>
              <w:t>Compensation Risk Oversight</w:t>
            </w:r>
          </w:p>
        </w:tc>
        <w:tc>
          <w:tcPr>
            <w:tcW w:w="560" w:type="dxa"/>
            <w:vAlign w:val="bottom"/>
            <w:tcBorders>
              <w:top w:val="single" w:sz="8" w:color="0000EE"/>
            </w:tcBorders>
          </w:tcPr>
          <w:p>
            <w:pPr>
              <w:spacing w:after="0"/>
              <w:rPr>
                <w:sz w:val="14"/>
                <w:szCs w:val="14"/>
                <w:color w:val="auto"/>
              </w:rPr>
            </w:pPr>
          </w:p>
        </w:tc>
        <w:tc>
          <w:tcPr>
            <w:tcW w:w="1020" w:type="dxa"/>
            <w:vAlign w:val="bottom"/>
            <w:gridSpan w:val="3"/>
          </w:tcPr>
          <w:p>
            <w:pPr>
              <w:spacing w:after="0"/>
              <w:rPr>
                <w:sz w:val="14"/>
                <w:szCs w:val="14"/>
                <w:color w:val="auto"/>
              </w:rPr>
            </w:pPr>
          </w:p>
        </w:tc>
        <w:tc>
          <w:tcPr>
            <w:tcW w:w="96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42</w:t>
            </w: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Executive Summary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PHILOSOPHY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a well-designed compensation program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84455</wp:posOffset>
            </wp:positionV>
            <wp:extent cx="5895340" cy="8661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5340" cy="866140"/>
                    </a:xfrm>
                    <a:prstGeom prst="rect">
                      <a:avLst/>
                    </a:prstGeom>
                    <a:noFill/>
                  </pic:spPr>
                </pic:pic>
              </a:graphicData>
            </a:graphic>
          </wp:anchor>
        </w:drawing>
      </w:r>
    </w:p>
    <w:p>
      <w:pPr>
        <w:sectPr>
          <w:pgSz w:w="11900" w:h="16838" w:orient="portrait"/>
          <w:cols w:equalWidth="0" w:num="1">
            <w:col w:w="9160"/>
          </w:cols>
          <w:pgMar w:left="1320" w:top="485" w:right="14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700" w:right="137" w:hanging="631"/>
        <w:spacing w:after="0" w:line="226" w:lineRule="auto"/>
        <w:tabs>
          <w:tab w:leader="none" w:pos="700" w:val="left"/>
        </w:tabs>
        <w:numPr>
          <w:ilvl w:val="0"/>
          <w:numId w:val="57"/>
        </w:numPr>
        <w:rPr>
          <w:rFonts w:ascii="Arial" w:cs="Arial" w:eastAsia="Arial" w:hAnsi="Arial"/>
          <w:sz w:val="23"/>
          <w:szCs w:val="23"/>
          <w:b w:val="1"/>
          <w:bCs w:val="1"/>
          <w:color w:val="071D49"/>
        </w:rPr>
      </w:pPr>
      <w:r>
        <w:rPr>
          <w:rFonts w:ascii="Arial" w:cs="Arial" w:eastAsia="Arial" w:hAnsi="Arial"/>
          <w:sz w:val="12"/>
          <w:szCs w:val="12"/>
          <w:color w:val="auto"/>
        </w:rPr>
        <w:t xml:space="preserve">with the drivers of stockholder returns and </w:t>
      </w:r>
      <w:r>
        <w:rPr>
          <w:rFonts w:ascii="Arial" w:cs="Arial" w:eastAsia="Arial" w:hAnsi="Arial"/>
          <w:sz w:val="16"/>
          <w:szCs w:val="16"/>
          <w:color w:val="auto"/>
          <w:vertAlign w:val="subscript"/>
        </w:rPr>
        <w:t>profitable growth</w:t>
      </w:r>
      <w:r>
        <w:rPr>
          <w:rFonts w:ascii="Arial" w:cs="Arial" w:eastAsia="Arial" w:hAnsi="Arial"/>
          <w:sz w:val="12"/>
          <w:szCs w:val="12"/>
          <w:b w:val="1"/>
          <w:bCs w:val="1"/>
          <w:color w:val="auto"/>
        </w:rPr>
        <w:t>Alignexecutive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643" w:hanging="643"/>
        <w:spacing w:after="0" w:line="181" w:lineRule="auto"/>
        <w:tabs>
          <w:tab w:leader="none" w:pos="643" w:val="left"/>
        </w:tabs>
        <w:numPr>
          <w:ilvl w:val="0"/>
          <w:numId w:val="58"/>
        </w:numPr>
        <w:rPr>
          <w:rFonts w:ascii="Arial" w:cs="Arial" w:eastAsia="Arial" w:hAnsi="Arial"/>
          <w:sz w:val="34"/>
          <w:szCs w:val="34"/>
          <w:b w:val="1"/>
          <w:bCs w:val="1"/>
          <w:color w:val="071D49"/>
        </w:rPr>
      </w:pPr>
      <w:r>
        <w:rPr>
          <w:rFonts w:ascii="Arial" w:cs="Arial" w:eastAsia="Arial" w:hAnsi="Arial"/>
          <w:sz w:val="14"/>
          <w:szCs w:val="14"/>
          <w:color w:val="auto"/>
        </w:rPr>
        <w:t xml:space="preserve">the company’s </w:t>
      </w:r>
      <w:r>
        <w:rPr>
          <w:rFonts w:ascii="Arial" w:cs="Arial" w:eastAsia="Arial" w:hAnsi="Arial"/>
          <w:sz w:val="14"/>
          <w:szCs w:val="14"/>
          <w:b w:val="1"/>
          <w:bCs w:val="1"/>
          <w:color w:val="auto"/>
        </w:rPr>
        <w:t>primary</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business goals </w:t>
      </w:r>
      <w:r>
        <w:rPr>
          <w:rFonts w:ascii="Arial" w:cs="Arial" w:eastAsia="Arial" w:hAnsi="Arial"/>
          <w:sz w:val="14"/>
          <w:szCs w:val="14"/>
          <w:color w:val="auto"/>
        </w:rPr>
        <w:t>to have 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remarkable impact on </w:t>
      </w:r>
      <w:r>
        <w:rPr>
          <w:rFonts w:ascii="Arial" w:cs="Arial" w:eastAsia="Arial" w:hAnsi="Arial"/>
          <w:sz w:val="21"/>
          <w:szCs w:val="21"/>
          <w:color w:val="auto"/>
          <w:vertAlign w:val="subscript"/>
        </w:rPr>
        <w:t>patients’ lives</w:t>
      </w:r>
      <w:r>
        <w:rPr>
          <w:rFonts w:ascii="Arial" w:cs="Arial" w:eastAsia="Arial" w:hAnsi="Arial"/>
          <w:sz w:val="14"/>
          <w:szCs w:val="14"/>
          <w:color w:val="auto"/>
        </w:rPr>
        <w:t>Supportachievement of</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520" w:type="dxa"/>
            <w:vAlign w:val="bottom"/>
            <w:vMerge w:val="restart"/>
          </w:tcPr>
          <w:p>
            <w:pPr>
              <w:jc w:val="right"/>
              <w:spacing w:after="0"/>
              <w:rPr>
                <w:sz w:val="20"/>
                <w:szCs w:val="20"/>
                <w:color w:val="auto"/>
              </w:rPr>
            </w:pPr>
            <w:r>
              <w:rPr>
                <w:rFonts w:ascii="Arial" w:cs="Arial" w:eastAsia="Arial" w:hAnsi="Arial"/>
                <w:sz w:val="60"/>
                <w:szCs w:val="60"/>
                <w:b w:val="1"/>
                <w:bCs w:val="1"/>
                <w:color w:val="071D49"/>
                <w:w w:val="95"/>
              </w:rPr>
              <w:t>3</w:t>
            </w:r>
          </w:p>
        </w:tc>
        <w:tc>
          <w:tcPr>
            <w:tcW w:w="2100" w:type="dxa"/>
            <w:vAlign w:val="bottom"/>
          </w:tcPr>
          <w:p>
            <w:pPr>
              <w:ind w:left="160"/>
              <w:spacing w:after="0"/>
              <w:rPr>
                <w:sz w:val="20"/>
                <w:szCs w:val="20"/>
                <w:color w:val="auto"/>
              </w:rPr>
            </w:pPr>
            <w:r>
              <w:rPr>
                <w:rFonts w:ascii="Arial" w:cs="Arial" w:eastAsia="Arial" w:hAnsi="Arial"/>
                <w:sz w:val="17"/>
                <w:szCs w:val="17"/>
                <w:b w:val="1"/>
                <w:bCs w:val="1"/>
                <w:color w:val="auto"/>
                <w:w w:val="95"/>
              </w:rPr>
              <w:t>Attract and retain world -</w:t>
            </w:r>
          </w:p>
        </w:tc>
        <w:tc>
          <w:tcPr>
            <w:tcW w:w="0" w:type="dxa"/>
            <w:vAlign w:val="bottom"/>
          </w:tcPr>
          <w:p>
            <w:pPr>
              <w:spacing w:after="0"/>
              <w:rPr>
                <w:sz w:val="1"/>
                <w:szCs w:val="1"/>
                <w:color w:val="auto"/>
              </w:rPr>
            </w:pPr>
          </w:p>
        </w:tc>
      </w:tr>
      <w:tr>
        <w:trPr>
          <w:trHeight w:val="188"/>
        </w:trPr>
        <w:tc>
          <w:tcPr>
            <w:tcW w:w="520" w:type="dxa"/>
            <w:vAlign w:val="bottom"/>
            <w:vMerge w:val="continue"/>
          </w:tcPr>
          <w:p>
            <w:pPr>
              <w:spacing w:after="0"/>
              <w:rPr>
                <w:sz w:val="16"/>
                <w:szCs w:val="16"/>
                <w:color w:val="auto"/>
              </w:rPr>
            </w:pPr>
          </w:p>
        </w:tc>
        <w:tc>
          <w:tcPr>
            <w:tcW w:w="2100" w:type="dxa"/>
            <w:vAlign w:val="bottom"/>
          </w:tcPr>
          <w:p>
            <w:pPr>
              <w:ind w:left="160"/>
              <w:spacing w:after="0" w:line="188" w:lineRule="exact"/>
              <w:rPr>
                <w:sz w:val="20"/>
                <w:szCs w:val="20"/>
                <w:color w:val="auto"/>
              </w:rPr>
            </w:pPr>
            <w:r>
              <w:rPr>
                <w:rFonts w:ascii="Arial" w:cs="Arial" w:eastAsia="Arial" w:hAnsi="Arial"/>
                <w:sz w:val="17"/>
                <w:szCs w:val="17"/>
                <w:b w:val="1"/>
                <w:bCs w:val="1"/>
                <w:color w:val="auto"/>
              </w:rPr>
              <w:t xml:space="preserve">class executives </w:t>
            </w:r>
            <w:r>
              <w:rPr>
                <w:rFonts w:ascii="Arial" w:cs="Arial" w:eastAsia="Arial" w:hAnsi="Arial"/>
                <w:sz w:val="17"/>
                <w:szCs w:val="17"/>
                <w:color w:val="auto"/>
              </w:rPr>
              <w:t>whose</w:t>
            </w:r>
          </w:p>
        </w:tc>
        <w:tc>
          <w:tcPr>
            <w:tcW w:w="0" w:type="dxa"/>
            <w:vAlign w:val="bottom"/>
          </w:tcPr>
          <w:p>
            <w:pPr>
              <w:spacing w:after="0"/>
              <w:rPr>
                <w:sz w:val="1"/>
                <w:szCs w:val="1"/>
                <w:color w:val="auto"/>
              </w:rPr>
            </w:pPr>
          </w:p>
        </w:tc>
      </w:tr>
      <w:tr>
        <w:trPr>
          <w:trHeight w:val="188"/>
        </w:trPr>
        <w:tc>
          <w:tcPr>
            <w:tcW w:w="520" w:type="dxa"/>
            <w:vAlign w:val="bottom"/>
            <w:vMerge w:val="continue"/>
          </w:tcPr>
          <w:p>
            <w:pPr>
              <w:spacing w:after="0"/>
              <w:rPr>
                <w:sz w:val="16"/>
                <w:szCs w:val="16"/>
                <w:color w:val="auto"/>
              </w:rPr>
            </w:pPr>
          </w:p>
        </w:tc>
        <w:tc>
          <w:tcPr>
            <w:tcW w:w="2100" w:type="dxa"/>
            <w:vAlign w:val="bottom"/>
          </w:tcPr>
          <w:p>
            <w:pPr>
              <w:ind w:left="160"/>
              <w:spacing w:after="0" w:line="188" w:lineRule="exact"/>
              <w:rPr>
                <w:sz w:val="20"/>
                <w:szCs w:val="20"/>
                <w:color w:val="auto"/>
              </w:rPr>
            </w:pPr>
            <w:r>
              <w:rPr>
                <w:rFonts w:ascii="Arial" w:cs="Arial" w:eastAsia="Arial" w:hAnsi="Arial"/>
                <w:sz w:val="17"/>
                <w:szCs w:val="17"/>
                <w:color w:val="auto"/>
              </w:rPr>
              <w:t>talents and contributions</w:t>
            </w:r>
          </w:p>
        </w:tc>
        <w:tc>
          <w:tcPr>
            <w:tcW w:w="0" w:type="dxa"/>
            <w:vAlign w:val="bottom"/>
          </w:tcPr>
          <w:p>
            <w:pPr>
              <w:spacing w:after="0"/>
              <w:rPr>
                <w:sz w:val="1"/>
                <w:szCs w:val="1"/>
                <w:color w:val="auto"/>
              </w:rPr>
            </w:pPr>
          </w:p>
        </w:tc>
      </w:tr>
      <w:tr>
        <w:trPr>
          <w:trHeight w:val="204"/>
        </w:trPr>
        <w:tc>
          <w:tcPr>
            <w:tcW w:w="520" w:type="dxa"/>
            <w:vAlign w:val="bottom"/>
            <w:vMerge w:val="continue"/>
          </w:tcPr>
          <w:p>
            <w:pPr>
              <w:spacing w:after="0"/>
              <w:rPr>
                <w:sz w:val="17"/>
                <w:szCs w:val="17"/>
                <w:color w:val="auto"/>
              </w:rPr>
            </w:pPr>
          </w:p>
        </w:tc>
        <w:tc>
          <w:tcPr>
            <w:tcW w:w="2100" w:type="dxa"/>
            <w:vAlign w:val="bottom"/>
          </w:tcPr>
          <w:p>
            <w:pPr>
              <w:ind w:left="160"/>
              <w:spacing w:after="0"/>
              <w:rPr>
                <w:sz w:val="20"/>
                <w:szCs w:val="20"/>
                <w:color w:val="auto"/>
              </w:rPr>
            </w:pPr>
            <w:r>
              <w:rPr>
                <w:rFonts w:ascii="Arial" w:cs="Arial" w:eastAsia="Arial" w:hAnsi="Arial"/>
                <w:sz w:val="17"/>
                <w:szCs w:val="17"/>
                <w:color w:val="auto"/>
              </w:rPr>
              <w:t>sustain the growth in</w:t>
            </w:r>
          </w:p>
        </w:tc>
        <w:tc>
          <w:tcPr>
            <w:tcW w:w="0" w:type="dxa"/>
            <w:vAlign w:val="bottom"/>
          </w:tcPr>
          <w:p>
            <w:pPr>
              <w:spacing w:after="0"/>
              <w:rPr>
                <w:sz w:val="1"/>
                <w:szCs w:val="1"/>
                <w:color w:val="auto"/>
              </w:rPr>
            </w:pPr>
          </w:p>
        </w:tc>
      </w:tr>
    </w:tbl>
    <w:p>
      <w:pPr>
        <w:ind w:left="680"/>
        <w:spacing w:after="0" w:line="230" w:lineRule="auto"/>
        <w:rPr>
          <w:sz w:val="20"/>
          <w:szCs w:val="20"/>
          <w:color w:val="auto"/>
        </w:rPr>
      </w:pPr>
      <w:r>
        <w:rPr>
          <w:rFonts w:ascii="Arial" w:cs="Arial" w:eastAsia="Arial" w:hAnsi="Arial"/>
          <w:sz w:val="17"/>
          <w:szCs w:val="17"/>
          <w:color w:val="auto"/>
        </w:rPr>
        <w:t>long-term stockholder</w:t>
      </w:r>
    </w:p>
    <w:p>
      <w:pPr>
        <w:ind w:left="680"/>
        <w:spacing w:after="0"/>
        <w:rPr>
          <w:sz w:val="20"/>
          <w:szCs w:val="20"/>
          <w:color w:val="auto"/>
        </w:rPr>
      </w:pPr>
      <w:r>
        <w:rPr>
          <w:rFonts w:ascii="Arial" w:cs="Arial" w:eastAsia="Arial" w:hAnsi="Arial"/>
          <w:sz w:val="17"/>
          <w:szCs w:val="17"/>
          <w:color w:val="auto"/>
        </w:rPr>
        <w:t>value</w:t>
      </w:r>
    </w:p>
    <w:p>
      <w:pPr>
        <w:spacing w:after="0" w:line="200" w:lineRule="exact"/>
        <w:rPr>
          <w:sz w:val="20"/>
          <w:szCs w:val="20"/>
          <w:color w:val="auto"/>
        </w:rPr>
      </w:pPr>
    </w:p>
    <w:p>
      <w:pPr>
        <w:sectPr>
          <w:pgSz w:w="11900" w:h="16838" w:orient="portrait"/>
          <w:cols w:equalWidth="0" w:num="3">
            <w:col w:w="2597" w:space="720"/>
            <w:col w:w="2583" w:space="640"/>
            <w:col w:w="2620"/>
          </w:cols>
          <w:pgMar w:left="1320" w:top="485" w:right="1419" w:bottom="1440" w:gutter="0" w:footer="0" w:header="0"/>
          <w:type w:val="continuous"/>
        </w:sectPr>
      </w:pPr>
    </w:p>
    <w:p>
      <w:pPr>
        <w:spacing w:after="0" w:line="76"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071D49"/>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2804795"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04795" cy="24130"/>
                    </a:xfrm>
                    <a:prstGeom prst="rect">
                      <a:avLst/>
                    </a:prstGeom>
                    <a:noFill/>
                  </pic:spPr>
                </pic:pic>
              </a:graphicData>
            </a:graphic>
          </wp:anchor>
        </w:drawing>
      </w:r>
    </w:p>
    <w:p>
      <w:pPr>
        <w:spacing w:after="0" w:line="360" w:lineRule="exact"/>
        <w:rPr>
          <w:sz w:val="20"/>
          <w:szCs w:val="20"/>
          <w:color w:val="auto"/>
        </w:rPr>
      </w:pPr>
    </w:p>
    <w:p>
      <w:pPr>
        <w:ind w:left="320" w:hanging="238"/>
        <w:spacing w:after="0" w:line="293" w:lineRule="auto"/>
        <w:tabs>
          <w:tab w:leader="none" w:pos="320" w:val="left"/>
        </w:tabs>
        <w:numPr>
          <w:ilvl w:val="0"/>
          <w:numId w:val="59"/>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balance short- and long-term strategic objectives and directly link compensation to stockholder value.</w:t>
      </w:r>
    </w:p>
    <w:p>
      <w:pPr>
        <w:spacing w:after="0" w:line="126" w:lineRule="exact"/>
        <w:rPr>
          <w:rFonts w:ascii="MS PGothic" w:cs="MS PGothic" w:eastAsia="MS PGothic" w:hAnsi="MS PGothic"/>
          <w:sz w:val="16"/>
          <w:szCs w:val="16"/>
          <w:color w:val="auto"/>
          <w:shd w:val="clear" w:color="auto" w:fill="071D49"/>
        </w:rPr>
      </w:pPr>
    </w:p>
    <w:p>
      <w:pPr>
        <w:ind w:left="320" w:right="740" w:hanging="238"/>
        <w:spacing w:after="0" w:line="261" w:lineRule="auto"/>
        <w:tabs>
          <w:tab w:leader="none" w:pos="320" w:val="left"/>
        </w:tabs>
        <w:numPr>
          <w:ilvl w:val="0"/>
          <w:numId w:val="59"/>
        </w:numPr>
        <w:rPr>
          <w:rFonts w:ascii="MS PGothic" w:cs="MS PGothic" w:eastAsia="MS PGothic" w:hAnsi="MS PGothic"/>
          <w:sz w:val="17"/>
          <w:szCs w:val="17"/>
          <w:color w:val="auto"/>
          <w:shd w:val="clear" w:color="auto" w:fill="071D49"/>
        </w:rPr>
      </w:pPr>
      <w:r>
        <w:rPr>
          <w:rFonts w:ascii="Arial" w:cs="Arial" w:eastAsia="Arial" w:hAnsi="Arial"/>
          <w:sz w:val="17"/>
          <w:szCs w:val="17"/>
          <w:color w:val="auto"/>
        </w:rPr>
        <w:t>We tie more than three-fourths of our NEO compensation to performance.</w:t>
      </w:r>
    </w:p>
    <w:p>
      <w:pPr>
        <w:spacing w:after="0" w:line="150" w:lineRule="exact"/>
        <w:rPr>
          <w:rFonts w:ascii="MS PGothic" w:cs="MS PGothic" w:eastAsia="MS PGothic" w:hAnsi="MS PGothic"/>
          <w:sz w:val="17"/>
          <w:szCs w:val="17"/>
          <w:color w:val="auto"/>
          <w:shd w:val="clear" w:color="auto" w:fill="071D49"/>
        </w:rPr>
      </w:pPr>
    </w:p>
    <w:p>
      <w:pPr>
        <w:ind w:left="320" w:right="120" w:hanging="238"/>
        <w:spacing w:after="0"/>
        <w:tabs>
          <w:tab w:leader="none" w:pos="320" w:val="left"/>
        </w:tabs>
        <w:numPr>
          <w:ilvl w:val="0"/>
          <w:numId w:val="59"/>
        </w:numPr>
        <w:rPr>
          <w:rFonts w:ascii="MS PGothic" w:cs="MS PGothic" w:eastAsia="MS PGothic" w:hAnsi="MS PGothic"/>
          <w:sz w:val="17"/>
          <w:szCs w:val="17"/>
          <w:color w:val="auto"/>
          <w:shd w:val="clear" w:color="auto" w:fill="071D49"/>
        </w:rPr>
      </w:pPr>
      <w:r>
        <w:rPr>
          <w:rFonts w:ascii="Arial" w:cs="Arial" w:eastAsia="Arial" w:hAnsi="Arial"/>
          <w:sz w:val="17"/>
          <w:szCs w:val="17"/>
          <w:color w:val="auto"/>
        </w:rPr>
        <w:t>We are committed to pay equity and conduct pay equity analyses annually to ensure pay is equitable across genders and ethnicities among U.S. employees.</w:t>
      </w:r>
    </w:p>
    <w:p>
      <w:pPr>
        <w:spacing w:after="0" w:line="168" w:lineRule="exact"/>
        <w:rPr>
          <w:rFonts w:ascii="MS PGothic" w:cs="MS PGothic" w:eastAsia="MS PGothic" w:hAnsi="MS PGothic"/>
          <w:sz w:val="17"/>
          <w:szCs w:val="17"/>
          <w:color w:val="auto"/>
          <w:shd w:val="clear" w:color="auto" w:fill="071D49"/>
        </w:rPr>
      </w:pPr>
    </w:p>
    <w:p>
      <w:pPr>
        <w:ind w:left="320" w:right="140" w:hanging="238"/>
        <w:spacing w:after="0" w:line="256" w:lineRule="auto"/>
        <w:tabs>
          <w:tab w:leader="none" w:pos="320" w:val="left"/>
        </w:tabs>
        <w:numPr>
          <w:ilvl w:val="0"/>
          <w:numId w:val="59"/>
        </w:numPr>
        <w:rPr>
          <w:rFonts w:ascii="MS PGothic" w:cs="MS PGothic" w:eastAsia="MS PGothic" w:hAnsi="MS PGothic"/>
          <w:sz w:val="16"/>
          <w:szCs w:val="16"/>
          <w:color w:val="auto"/>
          <w:shd w:val="clear" w:color="auto" w:fill="071D49"/>
        </w:rPr>
      </w:pPr>
      <w:r>
        <w:rPr>
          <w:rFonts w:ascii="Arial" w:cs="Arial" w:eastAsia="Arial" w:hAnsi="Arial"/>
          <w:sz w:val="16"/>
          <w:szCs w:val="16"/>
          <w:color w:val="auto"/>
        </w:rPr>
        <w:t>We have broad discretion to clawback incentive awards in the event of a material breach of the AbbVie Code of Business Conduct, as well as a robust mandatory clawback policy covering excess compensation in the event of a restatement.</w:t>
      </w:r>
    </w:p>
    <w:p>
      <w:pPr>
        <w:spacing w:after="0" w:line="157" w:lineRule="exact"/>
        <w:rPr>
          <w:rFonts w:ascii="MS PGothic" w:cs="MS PGothic" w:eastAsia="MS PGothic" w:hAnsi="MS PGothic"/>
          <w:sz w:val="16"/>
          <w:szCs w:val="16"/>
          <w:color w:val="auto"/>
          <w:shd w:val="clear" w:color="auto" w:fill="071D49"/>
        </w:rPr>
      </w:pPr>
    </w:p>
    <w:p>
      <w:pPr>
        <w:ind w:left="320" w:right="80" w:hanging="238"/>
        <w:spacing w:after="0" w:line="246" w:lineRule="auto"/>
        <w:tabs>
          <w:tab w:leader="none" w:pos="320" w:val="left"/>
        </w:tabs>
        <w:numPr>
          <w:ilvl w:val="0"/>
          <w:numId w:val="59"/>
        </w:numPr>
        <w:rPr>
          <w:rFonts w:ascii="MS PGothic" w:cs="MS PGothic" w:eastAsia="MS PGothic" w:hAnsi="MS PGothic"/>
          <w:sz w:val="17"/>
          <w:szCs w:val="17"/>
          <w:color w:val="auto"/>
          <w:shd w:val="clear" w:color="auto" w:fill="071D49"/>
        </w:rPr>
      </w:pPr>
      <w:r>
        <w:rPr>
          <w:rFonts w:ascii="Arial" w:cs="Arial" w:eastAsia="Arial" w:hAnsi="Arial"/>
          <w:sz w:val="17"/>
          <w:szCs w:val="17"/>
          <w:color w:val="auto"/>
        </w:rPr>
        <w:t>We engage annually with a large portion of our stockholders to gather feedback on our policies and practices.</w:t>
      </w:r>
    </w:p>
    <w:p>
      <w:pPr>
        <w:spacing w:after="0" w:line="162" w:lineRule="exact"/>
        <w:rPr>
          <w:rFonts w:ascii="MS PGothic" w:cs="MS PGothic" w:eastAsia="MS PGothic" w:hAnsi="MS PGothic"/>
          <w:sz w:val="17"/>
          <w:szCs w:val="17"/>
          <w:color w:val="auto"/>
          <w:shd w:val="clear" w:color="auto" w:fill="071D49"/>
        </w:rPr>
      </w:pPr>
    </w:p>
    <w:p>
      <w:pPr>
        <w:ind w:left="320" w:right="360" w:hanging="238"/>
        <w:spacing w:after="0" w:line="246" w:lineRule="auto"/>
        <w:tabs>
          <w:tab w:leader="none" w:pos="320" w:val="left"/>
        </w:tabs>
        <w:numPr>
          <w:ilvl w:val="0"/>
          <w:numId w:val="59"/>
        </w:numPr>
        <w:rPr>
          <w:rFonts w:ascii="MS PGothic" w:cs="MS PGothic" w:eastAsia="MS PGothic" w:hAnsi="MS PGothic"/>
          <w:sz w:val="17"/>
          <w:szCs w:val="17"/>
          <w:color w:val="auto"/>
          <w:shd w:val="clear" w:color="auto" w:fill="071D49"/>
        </w:rPr>
      </w:pPr>
      <w:r>
        <w:rPr>
          <w:rFonts w:ascii="Arial" w:cs="Arial" w:eastAsia="Arial" w:hAnsi="Arial"/>
          <w:sz w:val="17"/>
          <w:szCs w:val="17"/>
          <w:color w:val="auto"/>
        </w:rPr>
        <w:t>We have robust stock ownership guidelines and prohibit the selling of shares unless ownership guidelines have been met.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1241"/>
        <w:spacing w:after="0"/>
        <w:rPr>
          <w:sz w:val="20"/>
          <w:szCs w:val="20"/>
          <w:color w:val="auto"/>
        </w:rPr>
      </w:pPr>
      <w:r>
        <w:rPr>
          <w:rFonts w:ascii="Arial" w:cs="Arial" w:eastAsia="Arial" w:hAnsi="Arial"/>
          <w:sz w:val="17"/>
          <w:szCs w:val="17"/>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85090</wp:posOffset>
            </wp:positionV>
            <wp:extent cx="2955290" cy="31305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55290" cy="3130550"/>
                    </a:xfrm>
                    <a:prstGeom prst="rect">
                      <a:avLst/>
                    </a:prstGeom>
                    <a:noFill/>
                  </pic:spPr>
                </pic:pic>
              </a:graphicData>
            </a:graphic>
          </wp:anchor>
        </w:drawing>
      </w:r>
    </w:p>
    <w:p>
      <w:pPr>
        <w:spacing w:after="0" w:line="360" w:lineRule="exact"/>
        <w:rPr>
          <w:sz w:val="20"/>
          <w:szCs w:val="20"/>
          <w:color w:val="auto"/>
        </w:rPr>
      </w:pPr>
    </w:p>
    <w:p>
      <w:pPr>
        <w:ind w:left="241" w:right="140" w:hanging="241"/>
        <w:spacing w:after="0" w:line="261" w:lineRule="auto"/>
        <w:tabs>
          <w:tab w:leader="none" w:pos="241" w:val="left"/>
        </w:tabs>
        <w:numPr>
          <w:ilvl w:val="0"/>
          <w:numId w:val="60"/>
        </w:numPr>
        <w:rPr>
          <w:rFonts w:ascii="Arial" w:cs="Arial" w:eastAsia="Arial" w:hAnsi="Arial"/>
          <w:sz w:val="17"/>
          <w:szCs w:val="17"/>
          <w:b w:val="1"/>
          <w:bCs w:val="1"/>
          <w:color w:val="071D49"/>
        </w:rPr>
      </w:pPr>
      <w:r>
        <w:rPr>
          <w:rFonts w:ascii="Arial" w:cs="Arial" w:eastAsia="Arial" w:hAnsi="Arial"/>
          <w:sz w:val="17"/>
          <w:szCs w:val="17"/>
          <w:color w:val="auto"/>
        </w:rPr>
        <w:t>We do not have employment agreements with any of our NEOs.</w:t>
      </w:r>
    </w:p>
    <w:p>
      <w:pPr>
        <w:spacing w:after="0" w:line="150" w:lineRule="exact"/>
        <w:rPr>
          <w:rFonts w:ascii="Arial" w:cs="Arial" w:eastAsia="Arial" w:hAnsi="Arial"/>
          <w:sz w:val="17"/>
          <w:szCs w:val="17"/>
          <w:b w:val="1"/>
          <w:bCs w:val="1"/>
          <w:color w:val="071D49"/>
        </w:rPr>
      </w:pPr>
    </w:p>
    <w:p>
      <w:pPr>
        <w:ind w:left="241" w:right="180" w:hanging="241"/>
        <w:spacing w:after="0"/>
        <w:tabs>
          <w:tab w:leader="none" w:pos="241" w:val="left"/>
        </w:tabs>
        <w:numPr>
          <w:ilvl w:val="0"/>
          <w:numId w:val="60"/>
        </w:numPr>
        <w:rPr>
          <w:rFonts w:ascii="Arial" w:cs="Arial" w:eastAsia="Arial" w:hAnsi="Arial"/>
          <w:sz w:val="17"/>
          <w:szCs w:val="17"/>
          <w:b w:val="1"/>
          <w:bCs w:val="1"/>
          <w:color w:val="071D49"/>
        </w:rPr>
      </w:pPr>
      <w:r>
        <w:rPr>
          <w:rFonts w:ascii="Arial" w:cs="Arial" w:eastAsia="Arial" w:hAnsi="Arial"/>
          <w:sz w:val="17"/>
          <w:szCs w:val="17"/>
          <w:color w:val="auto"/>
        </w:rPr>
        <w:t>We do not provide tax gross-ups on NEO compensation or excise tax gross-ups on severance or other payments in connection with a change in control.</w:t>
      </w:r>
    </w:p>
    <w:p>
      <w:pPr>
        <w:spacing w:after="0" w:line="168" w:lineRule="exact"/>
        <w:rPr>
          <w:rFonts w:ascii="Arial" w:cs="Arial" w:eastAsia="Arial" w:hAnsi="Arial"/>
          <w:sz w:val="17"/>
          <w:szCs w:val="17"/>
          <w:b w:val="1"/>
          <w:bCs w:val="1"/>
          <w:color w:val="071D49"/>
        </w:rPr>
      </w:pPr>
    </w:p>
    <w:p>
      <w:pPr>
        <w:ind w:left="241" w:right="100" w:hanging="241"/>
        <w:spacing w:after="0"/>
        <w:tabs>
          <w:tab w:leader="none" w:pos="241" w:val="left"/>
        </w:tabs>
        <w:numPr>
          <w:ilvl w:val="0"/>
          <w:numId w:val="60"/>
        </w:numPr>
        <w:rPr>
          <w:rFonts w:ascii="Arial" w:cs="Arial" w:eastAsia="Arial" w:hAnsi="Arial"/>
          <w:sz w:val="17"/>
          <w:szCs w:val="17"/>
          <w:b w:val="1"/>
          <w:bCs w:val="1"/>
          <w:color w:val="071D49"/>
        </w:rPr>
      </w:pPr>
      <w:r>
        <w:rPr>
          <w:rFonts w:ascii="Arial" w:cs="Arial" w:eastAsia="Arial" w:hAnsi="Arial"/>
          <w:sz w:val="17"/>
          <w:szCs w:val="17"/>
          <w:color w:val="auto"/>
        </w:rPr>
        <w:t>NEOs are prohibited from entering or engaging in the purchase or sale of financial instruments that are designed to hedge or offset any decrease in the market value of AbbVie equity securities they hold.</w:t>
      </w:r>
    </w:p>
    <w:p>
      <w:pPr>
        <w:spacing w:after="0" w:line="168" w:lineRule="exact"/>
        <w:rPr>
          <w:rFonts w:ascii="Arial" w:cs="Arial" w:eastAsia="Arial" w:hAnsi="Arial"/>
          <w:sz w:val="17"/>
          <w:szCs w:val="17"/>
          <w:b w:val="1"/>
          <w:bCs w:val="1"/>
          <w:color w:val="071D49"/>
        </w:rPr>
      </w:pPr>
    </w:p>
    <w:p>
      <w:pPr>
        <w:ind w:left="241" w:right="100" w:hanging="241"/>
        <w:spacing w:after="0" w:line="293" w:lineRule="auto"/>
        <w:tabs>
          <w:tab w:leader="none" w:pos="241" w:val="left"/>
        </w:tabs>
        <w:numPr>
          <w:ilvl w:val="0"/>
          <w:numId w:val="60"/>
        </w:numPr>
        <w:rPr>
          <w:rFonts w:ascii="Arial" w:cs="Arial" w:eastAsia="Arial" w:hAnsi="Arial"/>
          <w:sz w:val="16"/>
          <w:szCs w:val="16"/>
          <w:b w:val="1"/>
          <w:bCs w:val="1"/>
          <w:color w:val="071D49"/>
        </w:rPr>
      </w:pPr>
      <w:r>
        <w:rPr>
          <w:rFonts w:ascii="Arial" w:cs="Arial" w:eastAsia="Arial" w:hAnsi="Arial"/>
          <w:sz w:val="16"/>
          <w:szCs w:val="16"/>
          <w:color w:val="auto"/>
        </w:rPr>
        <w:t>We do not include pay design features that may have the potential to encourage excessive risk-taking.</w:t>
      </w:r>
    </w:p>
    <w:p>
      <w:pPr>
        <w:spacing w:after="0" w:line="126" w:lineRule="exact"/>
        <w:rPr>
          <w:rFonts w:ascii="Arial" w:cs="Arial" w:eastAsia="Arial" w:hAnsi="Arial"/>
          <w:sz w:val="16"/>
          <w:szCs w:val="16"/>
          <w:b w:val="1"/>
          <w:bCs w:val="1"/>
          <w:color w:val="071D49"/>
        </w:rPr>
      </w:pPr>
    </w:p>
    <w:p>
      <w:pPr>
        <w:ind w:left="241" w:right="240" w:hanging="241"/>
        <w:spacing w:after="0" w:line="261" w:lineRule="auto"/>
        <w:tabs>
          <w:tab w:leader="none" w:pos="241" w:val="left"/>
        </w:tabs>
        <w:numPr>
          <w:ilvl w:val="0"/>
          <w:numId w:val="60"/>
        </w:numPr>
        <w:rPr>
          <w:rFonts w:ascii="Arial" w:cs="Arial" w:eastAsia="Arial" w:hAnsi="Arial"/>
          <w:sz w:val="17"/>
          <w:szCs w:val="17"/>
          <w:b w:val="1"/>
          <w:bCs w:val="1"/>
          <w:color w:val="071D49"/>
        </w:rPr>
      </w:pPr>
      <w:r>
        <w:rPr>
          <w:rFonts w:ascii="Arial" w:cs="Arial" w:eastAsia="Arial" w:hAnsi="Arial"/>
          <w:sz w:val="17"/>
          <w:szCs w:val="17"/>
          <w:color w:val="auto"/>
        </w:rPr>
        <w:t>We do not pay dividends on unearned performance awards.</w:t>
      </w:r>
    </w:p>
    <w:p>
      <w:pPr>
        <w:spacing w:after="0" w:line="150" w:lineRule="exact"/>
        <w:rPr>
          <w:rFonts w:ascii="Arial" w:cs="Arial" w:eastAsia="Arial" w:hAnsi="Arial"/>
          <w:sz w:val="17"/>
          <w:szCs w:val="17"/>
          <w:b w:val="1"/>
          <w:bCs w:val="1"/>
          <w:color w:val="071D49"/>
        </w:rPr>
      </w:pPr>
    </w:p>
    <w:p>
      <w:pPr>
        <w:ind w:left="241" w:right="40" w:hanging="241"/>
        <w:spacing w:after="0" w:line="261" w:lineRule="auto"/>
        <w:tabs>
          <w:tab w:leader="none" w:pos="241" w:val="left"/>
        </w:tabs>
        <w:numPr>
          <w:ilvl w:val="0"/>
          <w:numId w:val="60"/>
        </w:numPr>
        <w:rPr>
          <w:rFonts w:ascii="Arial" w:cs="Arial" w:eastAsia="Arial" w:hAnsi="Arial"/>
          <w:sz w:val="17"/>
          <w:szCs w:val="17"/>
          <w:b w:val="1"/>
          <w:bCs w:val="1"/>
          <w:color w:val="071D49"/>
        </w:rPr>
      </w:pPr>
      <w:r>
        <w:rPr>
          <w:rFonts w:ascii="Arial" w:cs="Arial" w:eastAsia="Arial" w:hAnsi="Arial"/>
          <w:sz w:val="17"/>
          <w:szCs w:val="17"/>
          <w:color w:val="auto"/>
        </w:rPr>
        <w:t>We do not have single trigger change in control equity vesting or other benefits.</w:t>
      </w:r>
    </w:p>
    <w:p>
      <w:pPr>
        <w:spacing w:after="0" w:line="751" w:lineRule="exact"/>
        <w:rPr>
          <w:sz w:val="20"/>
          <w:szCs w:val="20"/>
          <w:color w:val="auto"/>
        </w:rPr>
      </w:pPr>
    </w:p>
    <w:p>
      <w:pPr>
        <w:sectPr>
          <w:pgSz w:w="11900" w:h="16838" w:orient="portrait"/>
          <w:cols w:equalWidth="0" w:num="2">
            <w:col w:w="4200" w:space="699"/>
            <w:col w:w="4261"/>
          </w:cols>
          <w:pgMar w:left="1320" w:top="485" w:right="141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Expectation to Execution: U.S. Humira Loss of Exclusivity and Impact on 2023 Compensation Design</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2023 was the first year in which our immunology therapy Humira was expected to face direct competition in the U.S. from biosimilar therapies due to the loss of exclusivity (LOE) of some of its patents, a phenomenon common within the pharmaceutical industry but rarely experienced at this magnitude. For context, Humira had net revenue of $18.6 billion in the U.S. in 2022, which represented approximately 32% of AbbVie’s revenue. Nine biosimilars entered the market in 2023 in direct competition with Humira, more than any other biologic on the market today.</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Leading up to this period of LOE, management’s strategic focus was to develop and launch next-generation immunology therapies, as well as to build out our therapeutic pillars in oncology, neuroscience, eyecare, and aesthetics, in order to offset the impact of declining Humira revenue on the overall strength of AbbVie’s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For 2023, the compensation committee made changes to our compensation programs, in particular, our short-</w:t>
      </w:r>
    </w:p>
    <w:p>
      <w:pPr>
        <w:spacing w:after="0" w:line="384"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34</w:t>
      </w:r>
      <w:r>
        <w:rPr>
          <w:sz w:val="20"/>
          <w:szCs w:val="20"/>
          <w:color w:val="auto"/>
        </w:rPr>
        <w:tab/>
      </w:r>
      <w:r>
        <w:rPr>
          <w:sz w:val="1"/>
          <w:szCs w:val="1"/>
          <w:color w:val="auto"/>
        </w:rPr>
        <w:drawing>
          <wp:inline distT="0" distB="0" distL="0" distR="0">
            <wp:extent cx="810260" cy="15113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160"/>
          </w:cols>
          <w:pgMar w:left="1320" w:top="485" w:right="1419" w:bottom="1440" w:gutter="0" w:footer="0" w:header="0"/>
          <w:type w:val="continuous"/>
        </w:sectPr>
      </w:pPr>
    </w:p>
    <w:bookmarkStart w:id="37" w:name="page38"/>
    <w:bookmarkEnd w:id="3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right="120"/>
        <w:spacing w:after="0" w:line="246" w:lineRule="auto"/>
        <w:rPr>
          <w:sz w:val="20"/>
          <w:szCs w:val="20"/>
          <w:color w:val="auto"/>
        </w:rPr>
      </w:pPr>
      <w:r>
        <w:rPr>
          <w:rFonts w:ascii="Arial" w:cs="Arial" w:eastAsia="Arial" w:hAnsi="Arial"/>
          <w:sz w:val="17"/>
          <w:szCs w:val="17"/>
          <w:color w:val="auto"/>
        </w:rPr>
        <w:t>and long-term incentive programs, to reduce payouts due to the impact of U.S. Humira LOE. This included, for example, formulaic changes to reduce the cap on short-term incentives and exercising downward discretion to further reduce payouts. More detail on these changes is provided in the following sections, including on pages 42-48.</w:t>
      </w:r>
    </w:p>
    <w:p>
      <w:pPr>
        <w:spacing w:after="0" w:line="62" w:lineRule="exact"/>
        <w:rPr>
          <w:sz w:val="20"/>
          <w:szCs w:val="20"/>
          <w:color w:val="auto"/>
        </w:rPr>
      </w:pPr>
    </w:p>
    <w:p>
      <w:pPr>
        <w:ind w:left="20" w:right="40"/>
        <w:spacing w:after="0" w:line="235" w:lineRule="auto"/>
        <w:rPr>
          <w:sz w:val="20"/>
          <w:szCs w:val="20"/>
          <w:color w:val="auto"/>
        </w:rPr>
      </w:pPr>
      <w:r>
        <w:rPr>
          <w:rFonts w:ascii="Arial" w:cs="Arial" w:eastAsia="Arial" w:hAnsi="Arial"/>
          <w:sz w:val="17"/>
          <w:szCs w:val="17"/>
          <w:color w:val="auto"/>
        </w:rPr>
        <w:t>In assessing these program changes, and making final compensation decisions, the committee was cognizant that the U.S. Humira LOE resulted in reduced revenue in 2023 compared to 2022 (and further impacted related measures, such as net income and earnings per share). However, the committee also considered the company’s strong achievements against its 2023 targets along with its outstanding financial performance and long-term value creation. For example, platform revenue exceeded the company’s 2023 target by $1.2 billion and income before taxes exceeded target by $1.3 billion. More detail regarding 2023’s performance is on the following pages. The committee also weighed that without the thoughtful strategy and execution by Mr. Gonzalez and his senior executive team, it is highly likely the impact of U.S. Humira LOE on the financial results would have been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38" w:name="page39"/>
    <w:bookmarkEnd w:id="3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BUSINESS PERFORMANCE HIGHLIGHTS</w:t>
      </w:r>
    </w:p>
    <w:p>
      <w:pPr>
        <w:spacing w:after="0" w:line="83" w:lineRule="exact"/>
        <w:rPr>
          <w:sz w:val="20"/>
          <w:szCs w:val="20"/>
          <w:color w:val="auto"/>
        </w:rPr>
      </w:pPr>
    </w:p>
    <w:p>
      <w:pPr>
        <w:ind w:left="8" w:right="20"/>
        <w:spacing w:after="0" w:line="282" w:lineRule="auto"/>
        <w:rPr>
          <w:sz w:val="20"/>
          <w:szCs w:val="20"/>
          <w:color w:val="auto"/>
        </w:rPr>
      </w:pPr>
      <w:r>
        <w:rPr>
          <w:rFonts w:ascii="Arial" w:cs="Arial" w:eastAsia="Arial" w:hAnsi="Arial"/>
          <w:sz w:val="20"/>
          <w:szCs w:val="20"/>
          <w:b w:val="1"/>
          <w:bCs w:val="1"/>
          <w:color w:val="071D49"/>
        </w:rPr>
        <w:t>Advanced our strategy through outstanding operational execution and investments in innovation during 2023</w:t>
      </w:r>
    </w:p>
    <w:p>
      <w:pPr>
        <w:spacing w:after="0" w:line="32" w:lineRule="exact"/>
        <w:rPr>
          <w:sz w:val="20"/>
          <w:szCs w:val="20"/>
          <w:color w:val="auto"/>
        </w:rPr>
      </w:pPr>
    </w:p>
    <w:tbl>
      <w:tblPr>
        <w:tblLayout w:type="fixed"/>
        <w:tblInd w:w="8" w:type="dxa"/>
        <w:tblCellMar>
          <w:top w:w="0" w:type="dxa"/>
          <w:left w:w="0" w:type="dxa"/>
          <w:bottom w:w="0" w:type="dxa"/>
          <w:right w:w="0" w:type="dxa"/>
        </w:tblCellMar>
      </w:tblPr>
      <w:tr>
        <w:trPr>
          <w:trHeight w:val="204"/>
        </w:trPr>
        <w:tc>
          <w:tcPr>
            <w:tcW w:w="30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Total Net Revenues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Growth Platform Net Revenues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jc w:val="center"/>
              <w:spacing w:after="0"/>
              <w:rPr>
                <w:sz w:val="20"/>
                <w:szCs w:val="20"/>
                <w:color w:val="auto"/>
              </w:rPr>
            </w:pPr>
            <w:r>
              <w:rPr>
                <w:rFonts w:ascii="Arial" w:cs="Arial" w:eastAsia="Arial" w:hAnsi="Arial"/>
                <w:sz w:val="17"/>
                <w:szCs w:val="17"/>
                <w:b w:val="1"/>
                <w:bCs w:val="1"/>
                <w:color w:val="auto"/>
                <w:w w:val="97"/>
              </w:rPr>
              <w:t>Operating Cash Flow</w:t>
            </w:r>
          </w:p>
        </w:tc>
        <w:tc>
          <w:tcPr>
            <w:tcW w:w="0" w:type="dxa"/>
            <w:vAlign w:val="bottom"/>
          </w:tcPr>
          <w:p>
            <w:pPr>
              <w:spacing w:after="0"/>
              <w:rPr>
                <w:sz w:val="1"/>
                <w:szCs w:val="1"/>
                <w:color w:val="auto"/>
              </w:rPr>
            </w:pPr>
          </w:p>
        </w:tc>
      </w:tr>
      <w:tr>
        <w:trPr>
          <w:trHeight w:val="681"/>
        </w:trPr>
        <w:tc>
          <w:tcPr>
            <w:tcW w:w="3080" w:type="dxa"/>
            <w:vAlign w:val="bottom"/>
            <w:gridSpan w:val="2"/>
          </w:tcPr>
          <w:p>
            <w:pPr>
              <w:jc w:val="center"/>
              <w:ind w:right="100"/>
              <w:spacing w:after="0" w:line="679" w:lineRule="exact"/>
              <w:rPr>
                <w:sz w:val="20"/>
                <w:szCs w:val="20"/>
                <w:color w:val="auto"/>
              </w:rPr>
            </w:pPr>
            <w:r>
              <w:rPr>
                <w:rFonts w:ascii="Arial" w:cs="Arial" w:eastAsia="Arial" w:hAnsi="Arial"/>
                <w:sz w:val="60"/>
                <w:szCs w:val="60"/>
                <w:color w:val="071D49"/>
              </w:rPr>
              <w:t>$54.3BN</w:t>
            </w:r>
          </w:p>
        </w:tc>
        <w:tc>
          <w:tcPr>
            <w:tcW w:w="2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80"/>
              <w:spacing w:after="0" w:line="679" w:lineRule="exact"/>
              <w:rPr>
                <w:sz w:val="20"/>
                <w:szCs w:val="20"/>
                <w:color w:val="auto"/>
              </w:rPr>
            </w:pPr>
            <w:r>
              <w:rPr>
                <w:rFonts w:ascii="Arial" w:cs="Arial" w:eastAsia="Arial" w:hAnsi="Arial"/>
                <w:sz w:val="60"/>
                <w:szCs w:val="60"/>
                <w:color w:val="071D49"/>
              </w:rPr>
              <w:t>$39.9BN</w:t>
            </w:r>
          </w:p>
        </w:tc>
        <w:tc>
          <w:tcPr>
            <w:tcW w:w="40" w:type="dxa"/>
            <w:vAlign w:val="bottom"/>
            <w:shd w:val="clear" w:color="auto" w:fill="071D49"/>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jc w:val="center"/>
              <w:spacing w:after="0" w:line="679" w:lineRule="exact"/>
              <w:rPr>
                <w:sz w:val="20"/>
                <w:szCs w:val="20"/>
                <w:color w:val="auto"/>
              </w:rPr>
            </w:pPr>
            <w:r>
              <w:rPr>
                <w:rFonts w:ascii="Arial" w:cs="Arial" w:eastAsia="Arial" w:hAnsi="Arial"/>
                <w:sz w:val="60"/>
                <w:szCs w:val="60"/>
                <w:color w:val="071D49"/>
              </w:rPr>
              <w:t>$22.8BN</w:t>
            </w:r>
          </w:p>
        </w:tc>
        <w:tc>
          <w:tcPr>
            <w:tcW w:w="0" w:type="dxa"/>
            <w:vAlign w:val="bottom"/>
          </w:tcPr>
          <w:p>
            <w:pPr>
              <w:spacing w:after="0"/>
              <w:rPr>
                <w:sz w:val="1"/>
                <w:szCs w:val="1"/>
                <w:color w:val="auto"/>
              </w:rPr>
            </w:pPr>
          </w:p>
        </w:tc>
      </w:tr>
      <w:tr>
        <w:trPr>
          <w:trHeight w:val="158"/>
        </w:trPr>
        <w:tc>
          <w:tcPr>
            <w:tcW w:w="3080" w:type="dxa"/>
            <w:vAlign w:val="bottom"/>
            <w:gridSpan w:val="2"/>
          </w:tcPr>
          <w:p>
            <w:pPr>
              <w:jc w:val="center"/>
              <w:ind w:right="80"/>
              <w:spacing w:after="0"/>
              <w:rPr>
                <w:sz w:val="20"/>
                <w:szCs w:val="20"/>
                <w:color w:val="auto"/>
              </w:rPr>
            </w:pPr>
            <w:r>
              <w:rPr>
                <w:rFonts w:ascii="Arial" w:cs="Arial" w:eastAsia="Arial" w:hAnsi="Arial"/>
                <w:sz w:val="13"/>
                <w:szCs w:val="13"/>
                <w:color w:val="auto"/>
              </w:rPr>
              <w:t>-6.4% compared to 2022*</w:t>
            </w:r>
          </w:p>
        </w:tc>
        <w:tc>
          <w:tcPr>
            <w:tcW w:w="20" w:type="dxa"/>
            <w:vAlign w:val="bottom"/>
            <w:shd w:val="clear" w:color="auto" w:fill="071D49"/>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3"/>
                <w:szCs w:val="13"/>
                <w:color w:val="auto"/>
              </w:rPr>
              <w:t>+8.4% compared to 2022**</w:t>
            </w:r>
          </w:p>
        </w:tc>
        <w:tc>
          <w:tcPr>
            <w:tcW w:w="40" w:type="dxa"/>
            <w:vAlign w:val="bottom"/>
            <w:shd w:val="clear" w:color="auto" w:fill="071D49"/>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Arial" w:cs="Arial" w:eastAsia="Arial" w:hAnsi="Arial"/>
                <w:sz w:val="13"/>
                <w:szCs w:val="13"/>
                <w:color w:val="auto"/>
              </w:rPr>
              <w:t>in 2023</w:t>
            </w:r>
          </w:p>
        </w:tc>
        <w:tc>
          <w:tcPr>
            <w:tcW w:w="0" w:type="dxa"/>
            <w:vAlign w:val="bottom"/>
          </w:tcPr>
          <w:p>
            <w:pPr>
              <w:spacing w:after="0"/>
              <w:rPr>
                <w:sz w:val="1"/>
                <w:szCs w:val="1"/>
                <w:color w:val="auto"/>
              </w:rPr>
            </w:pPr>
          </w:p>
        </w:tc>
      </w:tr>
      <w:tr>
        <w:trPr>
          <w:trHeight w:val="180"/>
        </w:trPr>
        <w:tc>
          <w:tcPr>
            <w:tcW w:w="2980" w:type="dxa"/>
            <w:vAlign w:val="bottom"/>
            <w:tcBorders>
              <w:bottom w:val="single" w:sz="8" w:color="071D49"/>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tcBorders>
              <w:bottom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Borders>
              <w:bottom w:val="single" w:sz="8" w:color="071D49"/>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8"/>
              </w:rPr>
              <w:t>Blockbuster Products</w:t>
            </w:r>
          </w:p>
        </w:tc>
        <w:tc>
          <w:tcPr>
            <w:tcW w:w="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306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8"/>
              </w:rPr>
              <w:t>Adjusted R&amp;D Investment</w:t>
            </w:r>
          </w:p>
        </w:tc>
        <w:tc>
          <w:tcPr>
            <w:tcW w:w="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28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Development Pipeline</w:t>
            </w:r>
          </w:p>
        </w:tc>
        <w:tc>
          <w:tcPr>
            <w:tcW w:w="0" w:type="dxa"/>
            <w:vAlign w:val="bottom"/>
          </w:tcPr>
          <w:p>
            <w:pPr>
              <w:spacing w:after="0"/>
              <w:rPr>
                <w:sz w:val="1"/>
                <w:szCs w:val="1"/>
                <w:color w:val="auto"/>
              </w:rPr>
            </w:pPr>
          </w:p>
        </w:tc>
      </w:tr>
      <w:tr>
        <w:trPr>
          <w:trHeight w:val="188"/>
        </w:trPr>
        <w:tc>
          <w:tcPr>
            <w:tcW w:w="308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80" w:type="dxa"/>
            <w:vAlign w:val="bottom"/>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2980" w:type="dxa"/>
            <w:vAlign w:val="bottom"/>
          </w:tcPr>
          <w:p>
            <w:pPr>
              <w:jc w:val="right"/>
              <w:ind w:right="1010"/>
              <w:spacing w:after="0" w:line="688" w:lineRule="exact"/>
              <w:rPr>
                <w:sz w:val="20"/>
                <w:szCs w:val="20"/>
                <w:color w:val="auto"/>
              </w:rPr>
            </w:pPr>
            <w:r>
              <w:rPr>
                <w:rFonts w:ascii="Arial" w:cs="Arial" w:eastAsia="Arial" w:hAnsi="Arial"/>
                <w:sz w:val="60"/>
                <w:szCs w:val="60"/>
                <w:color w:val="071D49"/>
              </w:rPr>
              <w:t>12</w:t>
            </w:r>
          </w:p>
        </w:tc>
        <w:tc>
          <w:tcPr>
            <w:tcW w:w="100" w:type="dxa"/>
            <w:vAlign w:val="bottom"/>
          </w:tcPr>
          <w:p>
            <w:pPr>
              <w:spacing w:after="0"/>
              <w:rPr>
                <w:sz w:val="24"/>
                <w:szCs w:val="24"/>
                <w:color w:val="auto"/>
              </w:rPr>
            </w:pPr>
          </w:p>
        </w:tc>
        <w:tc>
          <w:tcPr>
            <w:tcW w:w="20" w:type="dxa"/>
            <w:vAlign w:val="bottom"/>
            <w:shd w:val="clear" w:color="auto" w:fill="071D49"/>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2"/>
          </w:tcPr>
          <w:p>
            <w:pPr>
              <w:jc w:val="center"/>
              <w:ind w:right="100"/>
              <w:spacing w:after="0" w:line="688" w:lineRule="exact"/>
              <w:rPr>
                <w:sz w:val="20"/>
                <w:szCs w:val="20"/>
                <w:color w:val="auto"/>
              </w:rPr>
            </w:pPr>
            <w:r>
              <w:rPr>
                <w:rFonts w:ascii="Arial" w:cs="Arial" w:eastAsia="Arial" w:hAnsi="Arial"/>
                <w:sz w:val="60"/>
                <w:szCs w:val="60"/>
                <w:color w:val="071D49"/>
                <w:w w:val="99"/>
              </w:rPr>
              <w:t>$7.8BN</w:t>
            </w:r>
          </w:p>
        </w:tc>
        <w:tc>
          <w:tcPr>
            <w:tcW w:w="40" w:type="dxa"/>
            <w:vAlign w:val="bottom"/>
            <w:shd w:val="clear" w:color="auto" w:fill="071D49"/>
          </w:tcPr>
          <w:p>
            <w:pPr>
              <w:spacing w:after="0"/>
              <w:rPr>
                <w:sz w:val="24"/>
                <w:szCs w:val="24"/>
                <w:color w:val="auto"/>
              </w:rPr>
            </w:pPr>
          </w:p>
        </w:tc>
        <w:tc>
          <w:tcPr>
            <w:tcW w:w="2960" w:type="dxa"/>
            <w:vAlign w:val="bottom"/>
            <w:gridSpan w:val="2"/>
          </w:tcPr>
          <w:p>
            <w:pPr>
              <w:jc w:val="right"/>
              <w:ind w:right="820"/>
              <w:spacing w:after="0" w:line="688" w:lineRule="exact"/>
              <w:rPr>
                <w:sz w:val="20"/>
                <w:szCs w:val="20"/>
                <w:color w:val="auto"/>
              </w:rPr>
            </w:pPr>
            <w:r>
              <w:rPr>
                <w:rFonts w:ascii="Arial" w:cs="Arial" w:eastAsia="Arial" w:hAnsi="Arial"/>
                <w:sz w:val="60"/>
                <w:szCs w:val="60"/>
                <w:color w:val="071D49"/>
              </w:rPr>
              <w:t>~90</w:t>
            </w:r>
          </w:p>
        </w:tc>
        <w:tc>
          <w:tcPr>
            <w:tcW w:w="0" w:type="dxa"/>
            <w:vAlign w:val="bottom"/>
          </w:tcPr>
          <w:p>
            <w:pPr>
              <w:spacing w:after="0"/>
              <w:rPr>
                <w:sz w:val="1"/>
                <w:szCs w:val="1"/>
                <w:color w:val="auto"/>
              </w:rPr>
            </w:pPr>
          </w:p>
        </w:tc>
      </w:tr>
      <w:tr>
        <w:trPr>
          <w:trHeight w:val="175"/>
        </w:trPr>
        <w:tc>
          <w:tcPr>
            <w:tcW w:w="3080" w:type="dxa"/>
            <w:vAlign w:val="bottom"/>
            <w:gridSpan w:val="2"/>
          </w:tcPr>
          <w:p>
            <w:pPr>
              <w:jc w:val="center"/>
              <w:ind w:right="120"/>
              <w:spacing w:after="0"/>
              <w:rPr>
                <w:sz w:val="20"/>
                <w:szCs w:val="20"/>
                <w:color w:val="auto"/>
              </w:rPr>
            </w:pPr>
            <w:r>
              <w:rPr>
                <w:rFonts w:ascii="Arial" w:cs="Arial" w:eastAsia="Arial" w:hAnsi="Arial"/>
                <w:sz w:val="13"/>
                <w:szCs w:val="13"/>
                <w:color w:val="auto"/>
              </w:rPr>
              <w:t>assets with 2023 net revenues &gt; $1.0BN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2"/>
          </w:tcPr>
          <w:p>
            <w:pPr>
              <w:jc w:val="center"/>
              <w:ind w:right="80"/>
              <w:spacing w:after="0"/>
              <w:rPr>
                <w:sz w:val="20"/>
                <w:szCs w:val="20"/>
                <w:color w:val="auto"/>
              </w:rPr>
            </w:pPr>
            <w:r>
              <w:rPr>
                <w:rFonts w:ascii="Arial" w:cs="Arial" w:eastAsia="Arial" w:hAnsi="Arial"/>
                <w:sz w:val="13"/>
                <w:szCs w:val="13"/>
                <w:color w:val="auto"/>
              </w:rPr>
              <w:t>increased $0.7BN compared to 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3"/>
                <w:szCs w:val="13"/>
                <w:color w:val="auto"/>
              </w:rPr>
              <w:t>active clinical and device programs****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The measures set forth in this table were calculated as of 12/31/2023.</w:t>
      </w:r>
    </w:p>
    <w:p>
      <w:pPr>
        <w:ind w:left="68" w:hanging="68"/>
        <w:spacing w:after="0" w:line="184" w:lineRule="auto"/>
        <w:tabs>
          <w:tab w:leader="none" w:pos="68" w:val="left"/>
        </w:tabs>
        <w:numPr>
          <w:ilvl w:val="0"/>
          <w:numId w:val="61"/>
        </w:numPr>
        <w:rPr>
          <w:rFonts w:ascii="Arial" w:cs="Arial" w:eastAsia="Arial" w:hAnsi="Arial"/>
          <w:sz w:val="17"/>
          <w:szCs w:val="17"/>
          <w:color w:val="auto"/>
          <w:vertAlign w:val="superscript"/>
        </w:rPr>
      </w:pPr>
      <w:r>
        <w:rPr>
          <w:rFonts w:ascii="Arial" w:cs="Arial" w:eastAsia="Arial" w:hAnsi="Arial"/>
          <w:sz w:val="12"/>
          <w:szCs w:val="12"/>
          <w:color w:val="auto"/>
        </w:rPr>
        <w:t>Decline primarily due to the U.S. Humira loss of exclusivity in 2023.</w:t>
      </w:r>
    </w:p>
    <w:p>
      <w:pPr>
        <w:ind w:left="108" w:hanging="108"/>
        <w:spacing w:after="0" w:line="187" w:lineRule="auto"/>
        <w:tabs>
          <w:tab w:leader="none" w:pos="108" w:val="left"/>
        </w:tabs>
        <w:numPr>
          <w:ilvl w:val="0"/>
          <w:numId w:val="62"/>
        </w:numPr>
        <w:rPr>
          <w:rFonts w:ascii="Arial" w:cs="Arial" w:eastAsia="Arial" w:hAnsi="Arial"/>
          <w:sz w:val="19"/>
          <w:szCs w:val="19"/>
          <w:color w:val="auto"/>
          <w:vertAlign w:val="superscript"/>
        </w:rPr>
      </w:pPr>
      <w:r>
        <w:rPr>
          <w:rFonts w:ascii="Arial" w:cs="Arial" w:eastAsia="Arial" w:hAnsi="Arial"/>
          <w:sz w:val="13"/>
          <w:szCs w:val="13"/>
          <w:color w:val="auto"/>
        </w:rPr>
        <w:t>Growth Platform reflects total net revenues less Humira net revenues.</w:t>
      </w:r>
    </w:p>
    <w:p>
      <w:pPr>
        <w:ind w:left="148" w:hanging="148"/>
        <w:spacing w:after="0" w:line="184" w:lineRule="auto"/>
        <w:tabs>
          <w:tab w:leader="none" w:pos="148" w:val="left"/>
        </w:tabs>
        <w:numPr>
          <w:ilvl w:val="0"/>
          <w:numId w:val="63"/>
        </w:numPr>
        <w:rPr>
          <w:rFonts w:ascii="Arial" w:cs="Arial" w:eastAsia="Arial" w:hAnsi="Arial"/>
          <w:sz w:val="17"/>
          <w:szCs w:val="17"/>
          <w:color w:val="auto"/>
          <w:vertAlign w:val="superscript"/>
        </w:rPr>
      </w:pPr>
      <w:r>
        <w:rPr>
          <w:rFonts w:ascii="Arial" w:cs="Arial" w:eastAsia="Arial" w:hAnsi="Arial"/>
          <w:sz w:val="12"/>
          <w:szCs w:val="12"/>
          <w:color w:val="auto"/>
        </w:rPr>
        <w:t>Reflects a non-GAAP measure and is adjusted for certain items, which are reconciled in Appendix B.</w:t>
      </w:r>
    </w:p>
    <w:p>
      <w:pPr>
        <w:ind w:left="188" w:hanging="188"/>
        <w:spacing w:after="0" w:line="188" w:lineRule="auto"/>
        <w:tabs>
          <w:tab w:leader="none" w:pos="188" w:val="left"/>
        </w:tabs>
        <w:numPr>
          <w:ilvl w:val="0"/>
          <w:numId w:val="64"/>
        </w:numPr>
        <w:rPr>
          <w:rFonts w:ascii="Arial" w:cs="Arial" w:eastAsia="Arial" w:hAnsi="Arial"/>
          <w:sz w:val="18"/>
          <w:szCs w:val="18"/>
          <w:color w:val="auto"/>
          <w:vertAlign w:val="superscript"/>
        </w:rPr>
      </w:pPr>
      <w:r>
        <w:rPr>
          <w:rFonts w:ascii="Arial" w:cs="Arial" w:eastAsia="Arial" w:hAnsi="Arial"/>
          <w:sz w:val="12"/>
          <w:szCs w:val="12"/>
          <w:color w:val="auto"/>
        </w:rPr>
        <w:t>Compounds, devices or indications in development individually or under collaboration or license agreements.</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071D49"/>
        </w:rPr>
        <w:t>Strong operational execution</w:t>
      </w:r>
    </w:p>
    <w:p>
      <w:pPr>
        <w:spacing w:after="0" w:line="33" w:lineRule="exact"/>
        <w:rPr>
          <w:sz w:val="20"/>
          <w:szCs w:val="20"/>
          <w:color w:val="auto"/>
        </w:rPr>
      </w:pPr>
    </w:p>
    <w:p>
      <w:pPr>
        <w:ind w:left="548" w:right="900" w:hanging="298"/>
        <w:spacing w:after="0"/>
        <w:tabs>
          <w:tab w:leader="none" w:pos="548"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Total net revenues of $54.3 billion, driven by strong performance from our Growth Platform and successful management of the U.S. Humira loss of exclusivity (LOE).</w:t>
      </w:r>
    </w:p>
    <w:p>
      <w:pPr>
        <w:ind w:left="928" w:right="240" w:hanging="300"/>
        <w:spacing w:after="0" w:line="225"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Key asset performance drove Growth Platform net revenues of $39.9 billion, an increase of 8.4% compared to</w:t>
      </w:r>
      <w:r>
        <w:rPr>
          <w:rFonts w:ascii="Courier New" w:cs="Courier New" w:eastAsia="Courier New" w:hAnsi="Courier New"/>
          <w:sz w:val="17"/>
          <w:szCs w:val="17"/>
          <w:color w:val="auto"/>
        </w:rPr>
        <w:t xml:space="preserve"> </w:t>
      </w:r>
      <w:r>
        <w:rPr>
          <w:rFonts w:ascii="Arial" w:cs="Arial" w:eastAsia="Arial" w:hAnsi="Arial"/>
          <w:sz w:val="17"/>
          <w:szCs w:val="17"/>
          <w:color w:val="auto"/>
        </w:rPr>
        <w:t>2022.</w:t>
      </w:r>
    </w:p>
    <w:p>
      <w:pPr>
        <w:ind w:left="928" w:right="140" w:hanging="300"/>
        <w:spacing w:after="0" w:line="221"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AbbVie had eight assets in its Growth Platform with double-digit sales growth in 2023, including Skyrizi, Rinvoq,</w:t>
      </w:r>
      <w:r>
        <w:rPr>
          <w:rFonts w:ascii="Courier New" w:cs="Courier New" w:eastAsia="Courier New" w:hAnsi="Courier New"/>
          <w:sz w:val="17"/>
          <w:szCs w:val="17"/>
          <w:color w:val="auto"/>
        </w:rPr>
        <w:t xml:space="preserve"> </w:t>
      </w:r>
      <w:r>
        <w:rPr>
          <w:rFonts w:ascii="Arial" w:cs="Arial" w:eastAsia="Arial" w:hAnsi="Arial"/>
          <w:sz w:val="17"/>
          <w:szCs w:val="17"/>
          <w:color w:val="auto"/>
        </w:rPr>
        <w:t>and Vraylar.</w:t>
      </w:r>
    </w:p>
    <w:p>
      <w:pPr>
        <w:ind w:left="628"/>
        <w:spacing w:after="0"/>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AbbVie retained strong parity access for U.S. Humira.</w:t>
      </w:r>
    </w:p>
    <w:p>
      <w:pPr>
        <w:spacing w:after="0" w:line="2" w:lineRule="exact"/>
        <w:rPr>
          <w:rFonts w:ascii="Times New Roman" w:cs="Times New Roman" w:eastAsia="Times New Roman" w:hAnsi="Times New Roman"/>
          <w:sz w:val="17"/>
          <w:szCs w:val="17"/>
          <w:color w:val="auto"/>
        </w:rPr>
      </w:pPr>
    </w:p>
    <w:p>
      <w:pPr>
        <w:ind w:left="568" w:right="640" w:hanging="305"/>
        <w:spacing w:after="0" w:line="237" w:lineRule="auto"/>
        <w:tabs>
          <w:tab w:leader="none" w:pos="568"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Reported diluted EPS of $2.72 on a GAAP basis and adjusted diluted EPS of $11.11. See Appendix B for the reconciliation.</w:t>
      </w:r>
    </w:p>
    <w:p>
      <w:pPr>
        <w:spacing w:after="0" w:line="1" w:lineRule="exact"/>
        <w:rPr>
          <w:rFonts w:ascii="Times New Roman" w:cs="Times New Roman" w:eastAsia="Times New Roman" w:hAnsi="Times New Roman"/>
          <w:sz w:val="17"/>
          <w:szCs w:val="17"/>
          <w:color w:val="auto"/>
        </w:rPr>
      </w:pPr>
    </w:p>
    <w:p>
      <w:pPr>
        <w:ind w:left="568" w:hanging="305"/>
        <w:spacing w:after="0"/>
        <w:tabs>
          <w:tab w:leader="none" w:pos="568"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Generated operating cash flow of $22.8 billion.</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071D49"/>
        </w:rPr>
        <w:t>Advancing new medicines with an innovative R&amp;D pipeline</w:t>
      </w:r>
    </w:p>
    <w:p>
      <w:pPr>
        <w:spacing w:after="0" w:line="33" w:lineRule="exact"/>
        <w:rPr>
          <w:sz w:val="20"/>
          <w:szCs w:val="20"/>
          <w:color w:val="auto"/>
        </w:rPr>
      </w:pPr>
    </w:p>
    <w:p>
      <w:pPr>
        <w:ind w:left="568" w:right="20" w:hanging="305"/>
        <w:spacing w:after="0" w:line="234" w:lineRule="auto"/>
        <w:tabs>
          <w:tab w:leader="none" w:pos="568"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Achieved regulatory approvals for several new products or major indications, including Rinvoq for the treatment of adult patients with moderately to severely active Crohn’s disease (CD) who have had an inadequate response or intolerance to one or more tumor necrosis factor blockers, Epkinly as the first bispecific antibody to treat adult patients with relapsed/refractory (r/r) diffuse large B-cell lymphoma (DLBCL) and Qulipta for the preventive treatment of chronic migraine in adults.</w:t>
      </w:r>
    </w:p>
    <w:p>
      <w:pPr>
        <w:spacing w:after="0" w:line="1" w:lineRule="exact"/>
        <w:rPr>
          <w:rFonts w:ascii="Times New Roman" w:cs="Times New Roman" w:eastAsia="Times New Roman" w:hAnsi="Times New Roman"/>
          <w:sz w:val="17"/>
          <w:szCs w:val="17"/>
          <w:color w:val="auto"/>
        </w:rPr>
      </w:pPr>
    </w:p>
    <w:p>
      <w:pPr>
        <w:ind w:left="568" w:right="340" w:hanging="305"/>
        <w:spacing w:after="0" w:line="253" w:lineRule="auto"/>
        <w:tabs>
          <w:tab w:leader="none" w:pos="568"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Submitted regulatory applications in key development programs, including Skyrizi for the treatment of adults with moderately to severely active ulcerative colitis (UC), Epkinly for adult patients with r/r follicular lymphoma (FL) previously treated with two or more prior therapies and Botox Cosmetic for the treatment of platysma prominence.</w:t>
      </w:r>
    </w:p>
    <w:p>
      <w:pPr>
        <w:ind w:left="568" w:right="20" w:hanging="305"/>
        <w:spacing w:after="0" w:line="234" w:lineRule="auto"/>
        <w:tabs>
          <w:tab w:leader="none" w:pos="568"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Generated positive data for key late-stage assets, including Phase 3 data for trenibotulinumtoxinE (BoNT/E) for the treatment of moderate to severe glabellar lines and Phase 2 data for telisotuzumab-vedotin (Teliso-V) for patients with c-Met protein overexpression, epidermal growth factor receptor (EGFR) wild type, advanced/metastatic nonsquamous non-small cell lung cancer (NSCLC).</w:t>
      </w:r>
    </w:p>
    <w:p>
      <w:pPr>
        <w:ind w:left="568" w:right="140" w:hanging="305"/>
        <w:spacing w:after="0" w:line="235" w:lineRule="auto"/>
        <w:tabs>
          <w:tab w:leader="none" w:pos="568"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our pipeline and long-term growth outlook with the announced acquisition of ImmunoGen, Inc. and pending acquisition of Cerevel Therapeutics, which include a collection of on-market and pipeline assets in oncology and neuroscience. These transactions, and others, represent the company’s commitment to continuing to invest in research and development and business development during the U.S. Humira LOE.</w:t>
      </w:r>
    </w:p>
    <w:p>
      <w:pPr>
        <w:spacing w:after="0" w:line="200" w:lineRule="exact"/>
        <w:rPr>
          <w:sz w:val="20"/>
          <w:szCs w:val="20"/>
          <w:color w:val="auto"/>
        </w:rPr>
      </w:pPr>
    </w:p>
    <w:p>
      <w:pPr>
        <w:spacing w:after="0" w:line="285"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36</w:t>
      </w:r>
      <w:r>
        <w:rPr>
          <w:sz w:val="20"/>
          <w:szCs w:val="20"/>
          <w:color w:val="auto"/>
        </w:rPr>
        <w:tab/>
      </w:r>
      <w:r>
        <w:rPr>
          <w:sz w:val="1"/>
          <w:szCs w:val="1"/>
          <w:color w:val="auto"/>
        </w:rPr>
        <w:drawing>
          <wp:inline distT="0" distB="0" distL="0" distR="0">
            <wp:extent cx="810260" cy="1511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486" w:right="1319" w:bottom="1440" w:gutter="0" w:footer="0" w:header="0"/>
        </w:sectPr>
      </w:pPr>
    </w:p>
    <w:bookmarkStart w:id="39" w:name="page40"/>
    <w:bookmarkEnd w:id="3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Significant long-term value creation</w:t>
      </w:r>
    </w:p>
    <w:p>
      <w:pPr>
        <w:spacing w:after="0" w:line="192" w:lineRule="exact"/>
        <w:rPr>
          <w:sz w:val="20"/>
          <w:szCs w:val="20"/>
          <w:color w:val="auto"/>
        </w:rPr>
      </w:pPr>
    </w:p>
    <w:p>
      <w:pPr>
        <w:ind w:left="660"/>
        <w:spacing w:after="0"/>
        <w:tabs>
          <w:tab w:leader="none" w:pos="3580" w:val="left"/>
          <w:tab w:leader="none" w:pos="6820" w:val="left"/>
        </w:tabs>
        <w:rPr>
          <w:sz w:val="20"/>
          <w:szCs w:val="20"/>
          <w:color w:val="auto"/>
        </w:rPr>
      </w:pPr>
      <w:r>
        <w:rPr>
          <w:rFonts w:ascii="Arial" w:cs="Arial" w:eastAsia="Arial" w:hAnsi="Arial"/>
          <w:sz w:val="17"/>
          <w:szCs w:val="17"/>
          <w:b w:val="1"/>
          <w:bCs w:val="1"/>
          <w:color w:val="auto"/>
        </w:rPr>
        <w:t>Market Capitalization</w:t>
      </w:r>
      <w:r>
        <w:rPr>
          <w:sz w:val="20"/>
          <w:szCs w:val="20"/>
          <w:color w:val="auto"/>
        </w:rPr>
        <w:tab/>
      </w:r>
      <w:r>
        <w:rPr>
          <w:rFonts w:ascii="Arial" w:cs="Arial" w:eastAsia="Arial" w:hAnsi="Arial"/>
          <w:sz w:val="17"/>
          <w:szCs w:val="17"/>
          <w:b w:val="1"/>
          <w:bCs w:val="1"/>
          <w:color w:val="auto"/>
        </w:rPr>
        <w:t>Quarterly Dividend Increase</w:t>
      </w:r>
      <w:r>
        <w:rPr>
          <w:sz w:val="20"/>
          <w:szCs w:val="20"/>
          <w:color w:val="auto"/>
        </w:rPr>
        <w:tab/>
      </w:r>
      <w:r>
        <w:rPr>
          <w:rFonts w:ascii="Arial" w:cs="Arial" w:eastAsia="Arial" w:hAnsi="Arial"/>
          <w:sz w:val="16"/>
          <w:szCs w:val="16"/>
          <w:b w:val="1"/>
          <w:bCs w:val="1"/>
          <w:color w:val="auto"/>
        </w:rPr>
        <w:t>Total Stockholder Return</w:t>
      </w:r>
    </w:p>
    <w:p>
      <w:pPr>
        <w:spacing w:after="0" w:line="107" w:lineRule="exact"/>
        <w:rPr>
          <w:sz w:val="20"/>
          <w:szCs w:val="20"/>
          <w:color w:val="auto"/>
        </w:rPr>
      </w:pPr>
    </w:p>
    <w:tbl>
      <w:tblPr>
        <w:tblLayout w:type="fixed"/>
        <w:tblInd w:w="240" w:type="dxa"/>
        <w:tblCellMar>
          <w:top w:w="0" w:type="dxa"/>
          <w:left w:w="0" w:type="dxa"/>
          <w:bottom w:w="0" w:type="dxa"/>
          <w:right w:w="0" w:type="dxa"/>
        </w:tblCellMar>
      </w:tblPr>
      <w:tr>
        <w:trPr>
          <w:trHeight w:val="690"/>
        </w:trPr>
        <w:tc>
          <w:tcPr>
            <w:tcW w:w="2880" w:type="dxa"/>
            <w:vAlign w:val="bottom"/>
            <w:tcBorders>
              <w:right w:val="single" w:sz="8" w:color="071D49"/>
            </w:tcBorders>
          </w:tcPr>
          <w:p>
            <w:pPr>
              <w:jc w:val="center"/>
              <w:ind w:right="210"/>
              <w:spacing w:after="0"/>
              <w:rPr>
                <w:sz w:val="20"/>
                <w:szCs w:val="20"/>
                <w:color w:val="auto"/>
              </w:rPr>
            </w:pPr>
            <w:r>
              <w:rPr>
                <w:rFonts w:ascii="Arial" w:cs="Arial" w:eastAsia="Arial" w:hAnsi="Arial"/>
                <w:sz w:val="60"/>
                <w:szCs w:val="60"/>
                <w:color w:val="071D49"/>
              </w:rPr>
              <w:t>+$190BN</w:t>
            </w:r>
          </w:p>
        </w:tc>
        <w:tc>
          <w:tcPr>
            <w:tcW w:w="3200" w:type="dxa"/>
            <w:vAlign w:val="bottom"/>
            <w:tcBorders>
              <w:right w:val="single" w:sz="8" w:color="071D49"/>
            </w:tcBorders>
          </w:tcPr>
          <w:p>
            <w:pPr>
              <w:jc w:val="center"/>
              <w:spacing w:after="0"/>
              <w:rPr>
                <w:sz w:val="20"/>
                <w:szCs w:val="20"/>
                <w:color w:val="auto"/>
              </w:rPr>
            </w:pPr>
            <w:r>
              <w:rPr>
                <w:rFonts w:ascii="Arial" w:cs="Arial" w:eastAsia="Arial" w:hAnsi="Arial"/>
                <w:sz w:val="60"/>
                <w:szCs w:val="60"/>
                <w:color w:val="071D49"/>
                <w:w w:val="99"/>
              </w:rPr>
              <w:t>&gt;285%</w:t>
            </w:r>
          </w:p>
        </w:tc>
        <w:tc>
          <w:tcPr>
            <w:tcW w:w="2460" w:type="dxa"/>
            <w:vAlign w:val="bottom"/>
          </w:tcPr>
          <w:p>
            <w:pPr>
              <w:jc w:val="right"/>
              <w:spacing w:after="0"/>
              <w:rPr>
                <w:sz w:val="20"/>
                <w:szCs w:val="20"/>
                <w:color w:val="auto"/>
              </w:rPr>
            </w:pPr>
            <w:r>
              <w:rPr>
                <w:rFonts w:ascii="Arial" w:cs="Arial" w:eastAsia="Arial" w:hAnsi="Arial"/>
                <w:sz w:val="60"/>
                <w:szCs w:val="60"/>
                <w:color w:val="071D49"/>
              </w:rPr>
              <w:t>+343%</w:t>
            </w:r>
          </w:p>
        </w:tc>
      </w:tr>
      <w:tr>
        <w:trPr>
          <w:trHeight w:val="163"/>
        </w:trPr>
        <w:tc>
          <w:tcPr>
            <w:tcW w:w="2880" w:type="dxa"/>
            <w:vAlign w:val="bottom"/>
            <w:tcBorders>
              <w:right w:val="single" w:sz="8" w:color="auto"/>
            </w:tcBorders>
          </w:tcPr>
          <w:p>
            <w:pPr>
              <w:jc w:val="center"/>
              <w:ind w:right="210"/>
              <w:spacing w:after="0" w:line="163" w:lineRule="exact"/>
              <w:rPr>
                <w:sz w:val="20"/>
                <w:szCs w:val="20"/>
                <w:color w:val="auto"/>
              </w:rPr>
            </w:pPr>
            <w:r>
              <w:rPr>
                <w:rFonts w:ascii="Arial" w:cs="Arial" w:eastAsia="Arial" w:hAnsi="Arial"/>
                <w:sz w:val="15"/>
                <w:szCs w:val="15"/>
                <w:color w:val="auto"/>
              </w:rPr>
              <w:t>10-year increase, adding significant</w:t>
            </w:r>
          </w:p>
        </w:tc>
        <w:tc>
          <w:tcPr>
            <w:tcW w:w="320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5"/>
                <w:szCs w:val="15"/>
                <w:color w:val="auto"/>
              </w:rPr>
              <w:t>raised to $1.55 per share from $0.40 per</w:t>
            </w:r>
          </w:p>
        </w:tc>
        <w:tc>
          <w:tcPr>
            <w:tcW w:w="2460" w:type="dxa"/>
            <w:vAlign w:val="bottom"/>
          </w:tcPr>
          <w:p>
            <w:pPr>
              <w:jc w:val="center"/>
              <w:ind w:left="392"/>
              <w:spacing w:after="0" w:line="163" w:lineRule="exact"/>
              <w:rPr>
                <w:sz w:val="20"/>
                <w:szCs w:val="20"/>
                <w:color w:val="auto"/>
              </w:rPr>
            </w:pPr>
            <w:r>
              <w:rPr>
                <w:rFonts w:ascii="Arial" w:cs="Arial" w:eastAsia="Arial" w:hAnsi="Arial"/>
                <w:sz w:val="15"/>
                <w:szCs w:val="15"/>
                <w:color w:val="auto"/>
              </w:rPr>
              <w:t>over the last decade</w:t>
            </w:r>
          </w:p>
        </w:tc>
      </w:tr>
      <w:tr>
        <w:trPr>
          <w:trHeight w:val="187"/>
        </w:trPr>
        <w:tc>
          <w:tcPr>
            <w:tcW w:w="2880" w:type="dxa"/>
            <w:vAlign w:val="bottom"/>
            <w:tcBorders>
              <w:right w:val="single" w:sz="8" w:color="auto"/>
            </w:tcBorders>
          </w:tcPr>
          <w:p>
            <w:pPr>
              <w:jc w:val="center"/>
              <w:ind w:right="210"/>
              <w:spacing w:after="0"/>
              <w:rPr>
                <w:sz w:val="20"/>
                <w:szCs w:val="20"/>
                <w:color w:val="auto"/>
              </w:rPr>
            </w:pPr>
            <w:r>
              <w:rPr>
                <w:rFonts w:ascii="Arial" w:cs="Arial" w:eastAsia="Arial" w:hAnsi="Arial"/>
                <w:sz w:val="15"/>
                <w:szCs w:val="15"/>
                <w:color w:val="auto"/>
                <w:w w:val="99"/>
              </w:rPr>
              <w:t>stockholder value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share over the last decade</w:t>
            </w: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111125</wp:posOffset>
            </wp:positionV>
            <wp:extent cx="5878830"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8830" cy="15875"/>
                    </a:xfrm>
                    <a:prstGeom prst="rect">
                      <a:avLst/>
                    </a:prstGeom>
                    <a:noFill/>
                  </pic:spPr>
                </pic:pic>
              </a:graphicData>
            </a:graphic>
          </wp:anchor>
        </w:drawing>
      </w:r>
    </w:p>
    <w:p>
      <w:pPr>
        <w:spacing w:after="0" w:line="183" w:lineRule="exact"/>
        <w:rPr>
          <w:sz w:val="20"/>
          <w:szCs w:val="20"/>
          <w:color w:val="auto"/>
        </w:rPr>
      </w:pPr>
    </w:p>
    <w:p>
      <w:pPr>
        <w:jc w:val="both"/>
        <w:ind w:left="20" w:right="500"/>
        <w:spacing w:after="0" w:line="297" w:lineRule="auto"/>
        <w:rPr>
          <w:sz w:val="20"/>
          <w:szCs w:val="20"/>
          <w:color w:val="auto"/>
        </w:rPr>
      </w:pPr>
      <w:r>
        <w:rPr>
          <w:rFonts w:ascii="Arial" w:cs="Arial" w:eastAsia="Arial" w:hAnsi="Arial"/>
          <w:sz w:val="13"/>
          <w:szCs w:val="13"/>
          <w:b w:val="1"/>
          <w:bCs w:val="1"/>
          <w:color w:val="auto"/>
        </w:rPr>
        <w:t>The measures set forth in this table were calculated as of 12/31/2023 versus 12/31/2013. The quarterly dividend increase is calculated on a declared basis.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Total stockholder return (TSR)</w:t>
      </w:r>
    </w:p>
    <w:p>
      <w:pPr>
        <w:spacing w:after="0" w:line="33" w:lineRule="exact"/>
        <w:rPr>
          <w:sz w:val="20"/>
          <w:szCs w:val="20"/>
          <w:color w:val="auto"/>
        </w:rPr>
      </w:pPr>
    </w:p>
    <w:p>
      <w:pPr>
        <w:ind w:left="20" w:right="220"/>
        <w:spacing w:after="0" w:line="237" w:lineRule="auto"/>
        <w:rPr>
          <w:sz w:val="20"/>
          <w:szCs w:val="20"/>
          <w:color w:val="auto"/>
        </w:rPr>
      </w:pPr>
      <w:r>
        <w:rPr>
          <w:rFonts w:ascii="Arial" w:cs="Arial" w:eastAsia="Arial" w:hAnsi="Arial"/>
          <w:sz w:val="17"/>
          <w:szCs w:val="17"/>
          <w:color w:val="auto"/>
        </w:rPr>
        <w:t>AbbVie has a track record of robust total stockholder returns. Over the last decade, AbbVie’s TSR ranks in the top tier of its named peers and surpasses the cumulative total returns of the Standard &amp; Poor’s 500 Index and the NYSE Arca Pharmaceutical Index, as shown in the tables below.</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80" w:type="dxa"/>
            <w:vAlign w:val="bottom"/>
            <w:tcBorders>
              <w:right w:val="single" w:sz="8" w:color="071D49"/>
            </w:tcBorders>
            <w:gridSpan w:val="2"/>
          </w:tcPr>
          <w:p>
            <w:pPr>
              <w:ind w:left="860"/>
              <w:spacing w:after="0"/>
              <w:rPr>
                <w:sz w:val="20"/>
                <w:szCs w:val="20"/>
                <w:color w:val="auto"/>
              </w:rPr>
            </w:pPr>
            <w:r>
              <w:rPr>
                <w:rFonts w:ascii="Arial" w:cs="Arial" w:eastAsia="Arial" w:hAnsi="Arial"/>
                <w:sz w:val="17"/>
                <w:szCs w:val="17"/>
                <w:b w:val="1"/>
                <w:bCs w:val="1"/>
                <w:color w:val="auto"/>
              </w:rPr>
              <w:t>1-Year</w:t>
            </w:r>
          </w:p>
        </w:tc>
        <w:tc>
          <w:tcPr>
            <w:tcW w:w="2320" w:type="dxa"/>
            <w:vAlign w:val="bottom"/>
            <w:tcBorders>
              <w:right w:val="single" w:sz="8" w:color="071D49"/>
            </w:tcBorders>
            <w:gridSpan w:val="4"/>
          </w:tcPr>
          <w:p>
            <w:pPr>
              <w:jc w:val="center"/>
              <w:ind w:right="20"/>
              <w:spacing w:after="0"/>
              <w:rPr>
                <w:sz w:val="20"/>
                <w:szCs w:val="20"/>
                <w:color w:val="auto"/>
              </w:rPr>
            </w:pPr>
            <w:r>
              <w:rPr>
                <w:rFonts w:ascii="Arial" w:cs="Arial" w:eastAsia="Arial" w:hAnsi="Arial"/>
                <w:sz w:val="17"/>
                <w:szCs w:val="17"/>
                <w:b w:val="1"/>
                <w:bCs w:val="1"/>
                <w:color w:val="auto"/>
                <w:w w:val="96"/>
              </w:rPr>
              <w:t>3-Year</w:t>
            </w:r>
          </w:p>
        </w:tc>
        <w:tc>
          <w:tcPr>
            <w:tcW w:w="2320" w:type="dxa"/>
            <w:vAlign w:val="bottom"/>
            <w:tcBorders>
              <w:right w:val="single" w:sz="8" w:color="071D49"/>
            </w:tcBorders>
          </w:tcPr>
          <w:p>
            <w:pPr>
              <w:jc w:val="center"/>
              <w:spacing w:after="0"/>
              <w:rPr>
                <w:sz w:val="20"/>
                <w:szCs w:val="20"/>
                <w:color w:val="auto"/>
              </w:rPr>
            </w:pPr>
            <w:r>
              <w:rPr>
                <w:rFonts w:ascii="Arial" w:cs="Arial" w:eastAsia="Arial" w:hAnsi="Arial"/>
                <w:sz w:val="17"/>
                <w:szCs w:val="17"/>
                <w:b w:val="1"/>
                <w:bCs w:val="1"/>
                <w:color w:val="auto"/>
                <w:w w:val="96"/>
              </w:rPr>
              <w:t>5-Year</w:t>
            </w:r>
          </w:p>
        </w:tc>
        <w:tc>
          <w:tcPr>
            <w:tcW w:w="2320" w:type="dxa"/>
            <w:vAlign w:val="bottom"/>
          </w:tcPr>
          <w:p>
            <w:pPr>
              <w:jc w:val="center"/>
              <w:spacing w:after="0"/>
              <w:rPr>
                <w:sz w:val="20"/>
                <w:szCs w:val="20"/>
                <w:color w:val="auto"/>
              </w:rPr>
            </w:pPr>
            <w:r>
              <w:rPr>
                <w:rFonts w:ascii="Arial" w:cs="Arial" w:eastAsia="Arial" w:hAnsi="Arial"/>
                <w:sz w:val="17"/>
                <w:szCs w:val="17"/>
                <w:b w:val="1"/>
                <w:bCs w:val="1"/>
                <w:color w:val="auto"/>
                <w:w w:val="94"/>
              </w:rPr>
              <w:t>10-Year</w:t>
            </w:r>
          </w:p>
        </w:tc>
        <w:tc>
          <w:tcPr>
            <w:tcW w:w="0" w:type="dxa"/>
            <w:vAlign w:val="bottom"/>
          </w:tcPr>
          <w:p>
            <w:pPr>
              <w:spacing w:after="0"/>
              <w:rPr>
                <w:sz w:val="1"/>
                <w:szCs w:val="1"/>
                <w:color w:val="auto"/>
              </w:rPr>
            </w:pPr>
          </w:p>
        </w:tc>
      </w:tr>
      <w:tr>
        <w:trPr>
          <w:trHeight w:val="576"/>
        </w:trPr>
        <w:tc>
          <w:tcPr>
            <w:tcW w:w="2140" w:type="dxa"/>
            <w:vAlign w:val="bottom"/>
            <w:gridSpan w:val="2"/>
          </w:tcPr>
          <w:p>
            <w:pPr>
              <w:ind w:left="820"/>
              <w:spacing w:after="0"/>
              <w:rPr>
                <w:sz w:val="20"/>
                <w:szCs w:val="20"/>
                <w:color w:val="auto"/>
              </w:rPr>
            </w:pPr>
            <w:r>
              <w:rPr>
                <w:rFonts w:ascii="Arial" w:cs="Arial" w:eastAsia="Arial" w:hAnsi="Arial"/>
                <w:sz w:val="43"/>
                <w:szCs w:val="43"/>
                <w:color w:val="071D49"/>
              </w:rPr>
              <w:t>0%</w:t>
            </w:r>
          </w:p>
        </w:tc>
        <w:tc>
          <w:tcPr>
            <w:tcW w:w="160" w:type="dxa"/>
            <w:vAlign w:val="bottom"/>
            <w:tcBorders>
              <w:right w:val="single" w:sz="8" w:color="071D49"/>
            </w:tcBorders>
          </w:tcPr>
          <w:p>
            <w:pPr>
              <w:spacing w:after="0"/>
              <w:rPr>
                <w:sz w:val="24"/>
                <w:szCs w:val="24"/>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43"/>
                <w:szCs w:val="43"/>
                <w:color w:val="071D49"/>
              </w:rPr>
              <w:t>+64%</w:t>
            </w:r>
          </w:p>
        </w:tc>
        <w:tc>
          <w:tcPr>
            <w:tcW w:w="360" w:type="dxa"/>
            <w:vAlign w:val="bottom"/>
            <w:tcBorders>
              <w:right w:val="single" w:sz="8" w:color="071D49"/>
            </w:tcBorders>
          </w:tcPr>
          <w:p>
            <w:pPr>
              <w:spacing w:after="0"/>
              <w:rPr>
                <w:sz w:val="24"/>
                <w:szCs w:val="24"/>
                <w:color w:val="auto"/>
              </w:rPr>
            </w:pPr>
          </w:p>
        </w:tc>
        <w:tc>
          <w:tcPr>
            <w:tcW w:w="2320" w:type="dxa"/>
            <w:vAlign w:val="bottom"/>
            <w:tcBorders>
              <w:right w:val="single" w:sz="8" w:color="071D49"/>
            </w:tcBorders>
          </w:tcPr>
          <w:p>
            <w:pPr>
              <w:jc w:val="right"/>
              <w:ind w:right="372"/>
              <w:spacing w:after="0"/>
              <w:rPr>
                <w:sz w:val="20"/>
                <w:szCs w:val="20"/>
                <w:color w:val="auto"/>
              </w:rPr>
            </w:pPr>
            <w:r>
              <w:rPr>
                <w:rFonts w:ascii="Arial" w:cs="Arial" w:eastAsia="Arial" w:hAnsi="Arial"/>
                <w:sz w:val="43"/>
                <w:szCs w:val="43"/>
                <w:color w:val="071D49"/>
              </w:rPr>
              <w:t>+112%</w:t>
            </w:r>
          </w:p>
        </w:tc>
        <w:tc>
          <w:tcPr>
            <w:tcW w:w="2320" w:type="dxa"/>
            <w:vAlign w:val="bottom"/>
          </w:tcPr>
          <w:p>
            <w:pPr>
              <w:jc w:val="right"/>
              <w:ind w:right="350"/>
              <w:spacing w:after="0"/>
              <w:rPr>
                <w:sz w:val="20"/>
                <w:szCs w:val="20"/>
                <w:color w:val="auto"/>
              </w:rPr>
            </w:pPr>
            <w:r>
              <w:rPr>
                <w:rFonts w:ascii="Arial" w:cs="Arial" w:eastAsia="Arial" w:hAnsi="Arial"/>
                <w:sz w:val="43"/>
                <w:szCs w:val="43"/>
                <w:color w:val="071D49"/>
              </w:rPr>
              <w:t>+343%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80" w:type="dxa"/>
            <w:vAlign w:val="bottom"/>
            <w:gridSpan w:val="2"/>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20" w:type="dxa"/>
            <w:vAlign w:val="bottom"/>
            <w:shd w:val="clear" w:color="auto" w:fill="071D49"/>
          </w:tcPr>
          <w:p>
            <w:pPr>
              <w:spacing w:after="0"/>
              <w:rPr>
                <w:sz w:val="23"/>
                <w:szCs w:val="23"/>
                <w:color w:val="auto"/>
              </w:rPr>
            </w:pPr>
          </w:p>
        </w:tc>
        <w:tc>
          <w:tcPr>
            <w:tcW w:w="160" w:type="dxa"/>
            <w:vAlign w:val="bottom"/>
            <w:tcBorders>
              <w:right w:val="single" w:sz="8" w:color="071D49"/>
            </w:tcBorders>
            <w:shd w:val="clear" w:color="auto" w:fill="071D49"/>
          </w:tcPr>
          <w:p>
            <w:pPr>
              <w:spacing w:after="0"/>
              <w:rPr>
                <w:sz w:val="23"/>
                <w:szCs w:val="23"/>
                <w:color w:val="auto"/>
              </w:rPr>
            </w:pPr>
          </w:p>
        </w:tc>
        <w:tc>
          <w:tcPr>
            <w:tcW w:w="4640" w:type="dxa"/>
            <w:vAlign w:val="bottom"/>
            <w:tcBorders>
              <w:right w:val="single" w:sz="8" w:color="071D49"/>
            </w:tcBorders>
            <w:gridSpan w:val="5"/>
            <w:shd w:val="clear" w:color="auto" w:fill="071D49"/>
          </w:tcPr>
          <w:p>
            <w:pPr>
              <w:ind w:left="340"/>
              <w:spacing w:after="0"/>
              <w:rPr>
                <w:sz w:val="20"/>
                <w:szCs w:val="20"/>
                <w:color w:val="auto"/>
              </w:rPr>
            </w:pPr>
            <w:r>
              <w:rPr>
                <w:rFonts w:ascii="Arial" w:cs="Arial" w:eastAsia="Arial" w:hAnsi="Arial"/>
                <w:sz w:val="23"/>
                <w:szCs w:val="23"/>
                <w:b w:val="1"/>
                <w:bCs w:val="1"/>
                <w:color w:val="FFFFFF"/>
              </w:rPr>
              <w:t>AbbVie’s Relative TSR Performance</w:t>
            </w:r>
          </w:p>
        </w:tc>
        <w:tc>
          <w:tcPr>
            <w:tcW w:w="2320" w:type="dxa"/>
            <w:vAlign w:val="bottom"/>
            <w:shd w:val="clear" w:color="auto" w:fill="071D49"/>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600" w:type="dxa"/>
            <w:vAlign w:val="bottom"/>
            <w:gridSpan w:val="6"/>
          </w:tcPr>
          <w:p>
            <w:pPr>
              <w:ind w:left="880"/>
              <w:spacing w:after="0"/>
              <w:rPr>
                <w:sz w:val="20"/>
                <w:szCs w:val="20"/>
                <w:color w:val="auto"/>
              </w:rPr>
            </w:pPr>
            <w:r>
              <w:rPr>
                <w:rFonts w:ascii="Arial" w:cs="Arial" w:eastAsia="Arial" w:hAnsi="Arial"/>
                <w:sz w:val="17"/>
                <w:szCs w:val="17"/>
                <w:b w:val="1"/>
                <w:bCs w:val="1"/>
                <w:color w:val="auto"/>
              </w:rPr>
              <w:t>Versus Peer Group (Multi-Year)</w:t>
            </w:r>
          </w:p>
        </w:tc>
        <w:tc>
          <w:tcPr>
            <w:tcW w:w="4640" w:type="dxa"/>
            <w:vAlign w:val="bottom"/>
            <w:gridSpan w:val="2"/>
          </w:tcPr>
          <w:p>
            <w:pPr>
              <w:ind w:left="1240"/>
              <w:spacing w:after="0"/>
              <w:rPr>
                <w:sz w:val="20"/>
                <w:szCs w:val="20"/>
                <w:color w:val="auto"/>
              </w:rPr>
            </w:pPr>
            <w:r>
              <w:rPr>
                <w:rFonts w:ascii="Arial" w:cs="Arial" w:eastAsia="Arial" w:hAnsi="Arial"/>
                <w:sz w:val="17"/>
                <w:szCs w:val="17"/>
                <w:b w:val="1"/>
                <w:bCs w:val="1"/>
                <w:color w:val="auto"/>
              </w:rPr>
              <w:t>Versus Select Indices (10-Year)</w:t>
            </w:r>
          </w:p>
        </w:tc>
        <w:tc>
          <w:tcPr>
            <w:tcW w:w="0" w:type="dxa"/>
            <w:vAlign w:val="bottom"/>
          </w:tcPr>
          <w:p>
            <w:pPr>
              <w:spacing w:after="0"/>
              <w:rPr>
                <w:sz w:val="1"/>
                <w:szCs w:val="1"/>
                <w:color w:val="auto"/>
              </w:rPr>
            </w:pPr>
          </w:p>
        </w:tc>
      </w:tr>
      <w:tr>
        <w:trPr>
          <w:trHeight w:val="76"/>
        </w:trPr>
        <w:tc>
          <w:tcPr>
            <w:tcW w:w="21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Borders>
              <w:right w:val="single" w:sz="8" w:color="071D49"/>
            </w:tcBorders>
          </w:tcPr>
          <w:p>
            <w:pPr>
              <w:spacing w:after="0"/>
              <w:rPr>
                <w:sz w:val="21"/>
                <w:szCs w:val="21"/>
                <w:color w:val="auto"/>
              </w:rPr>
            </w:pPr>
          </w:p>
        </w:tc>
        <w:tc>
          <w:tcPr>
            <w:tcW w:w="23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120" w:type="dxa"/>
            <w:vAlign w:val="bottom"/>
            <w:shd w:val="clear" w:color="auto" w:fill="071D49"/>
          </w:tcPr>
          <w:p>
            <w:pPr>
              <w:spacing w:after="0"/>
              <w:rPr>
                <w:sz w:val="16"/>
                <w:szCs w:val="16"/>
                <w:color w:val="auto"/>
              </w:rPr>
            </w:pPr>
          </w:p>
        </w:tc>
        <w:tc>
          <w:tcPr>
            <w:tcW w:w="160" w:type="dxa"/>
            <w:vAlign w:val="bottom"/>
            <w:tcBorders>
              <w:right w:val="single" w:sz="8" w:color="BFBFBF"/>
            </w:tcBorders>
            <w:shd w:val="clear" w:color="auto" w:fill="BFBFBF"/>
          </w:tcPr>
          <w:p>
            <w:pPr>
              <w:spacing w:after="0"/>
              <w:rPr>
                <w:sz w:val="16"/>
                <w:szCs w:val="16"/>
                <w:color w:val="auto"/>
              </w:rPr>
            </w:pPr>
          </w:p>
        </w:tc>
        <w:tc>
          <w:tcPr>
            <w:tcW w:w="11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1"/>
        </w:trPr>
        <w:tc>
          <w:tcPr>
            <w:tcW w:w="20" w:type="dxa"/>
            <w:vAlign w:val="bottom"/>
            <w:vMerge w:val="continue"/>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27"/>
                <w:szCs w:val="27"/>
                <w:b w:val="1"/>
                <w:bCs w:val="1"/>
                <w:color w:val="071D49"/>
              </w:rPr>
              <w:t>6</w:t>
            </w:r>
            <w:r>
              <w:rPr>
                <w:rFonts w:ascii="Arial" w:cs="Arial" w:eastAsia="Arial" w:hAnsi="Arial"/>
                <w:sz w:val="40"/>
                <w:szCs w:val="40"/>
                <w:b w:val="1"/>
                <w:bCs w:val="1"/>
                <w:color w:val="071D49"/>
                <w:vertAlign w:val="superscript"/>
              </w:rPr>
              <w:t>th</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3 Years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280" w:type="dxa"/>
            <w:vAlign w:val="bottom"/>
            <w:tcBorders>
              <w:right w:val="single" w:sz="8" w:color="071D49"/>
            </w:tcBorders>
            <w:gridSpan w:val="2"/>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1"/>
        </w:trPr>
        <w:tc>
          <w:tcPr>
            <w:tcW w:w="20" w:type="dxa"/>
            <w:vAlign w:val="bottom"/>
            <w:vMerge w:val="continue"/>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5 Years</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right w:val="single" w:sz="8" w:color="071D49"/>
            </w:tcBorders>
          </w:tcPr>
          <w:p>
            <w:pPr>
              <w:spacing w:after="0"/>
              <w:rPr>
                <w:sz w:val="19"/>
                <w:szCs w:val="19"/>
                <w:color w:val="auto"/>
              </w:rPr>
            </w:pPr>
          </w:p>
        </w:tc>
        <w:tc>
          <w:tcPr>
            <w:tcW w:w="2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2280" w:type="dxa"/>
            <w:vAlign w:val="bottom"/>
            <w:tcBorders>
              <w:right w:val="single" w:sz="8" w:color="071D49"/>
            </w:tcBorders>
            <w:gridSpan w:val="2"/>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02060"/>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Borders>
              <w:right w:val="single" w:sz="8" w:color="071D49"/>
            </w:tcBorders>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20" w:type="dxa"/>
            <w:vAlign w:val="bottom"/>
            <w:vMerge w:val="continue"/>
          </w:tcPr>
          <w:p>
            <w:pPr>
              <w:spacing w:after="0"/>
              <w:rPr>
                <w:sz w:val="24"/>
                <w:szCs w:val="24"/>
                <w:color w:val="auto"/>
              </w:rPr>
            </w:pPr>
          </w:p>
        </w:tc>
        <w:tc>
          <w:tcPr>
            <w:tcW w:w="2280" w:type="dxa"/>
            <w:vAlign w:val="bottom"/>
            <w:gridSpan w:val="2"/>
          </w:tcPr>
          <w:p>
            <w:pPr>
              <w:spacing w:after="0" w:line="374" w:lineRule="exact"/>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071D49"/>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300" w:type="dxa"/>
            <w:vAlign w:val="bottom"/>
            <w:gridSpan w:val="3"/>
          </w:tcPr>
          <w:p>
            <w:pPr>
              <w:spacing w:after="0"/>
              <w:rPr>
                <w:sz w:val="20"/>
                <w:szCs w:val="20"/>
                <w:color w:val="auto"/>
              </w:rPr>
            </w:pPr>
            <w:r>
              <w:rPr>
                <w:rFonts w:ascii="Arial" w:cs="Arial" w:eastAsia="Arial" w:hAnsi="Arial"/>
                <w:sz w:val="17"/>
                <w:szCs w:val="17"/>
                <w:b w:val="1"/>
                <w:bCs w:val="1"/>
                <w:color w:val="auto"/>
              </w:rPr>
              <w:t>10 Years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120" w:type="dxa"/>
            <w:vAlign w:val="bottom"/>
            <w:shd w:val="clear" w:color="auto" w:fill="071D49"/>
          </w:tcPr>
          <w:p>
            <w:pPr>
              <w:spacing w:after="0"/>
              <w:rPr>
                <w:sz w:val="16"/>
                <w:szCs w:val="16"/>
                <w:color w:val="auto"/>
              </w:rPr>
            </w:pPr>
          </w:p>
        </w:tc>
        <w:tc>
          <w:tcPr>
            <w:tcW w:w="160" w:type="dxa"/>
            <w:vAlign w:val="bottom"/>
            <w:tcBorders>
              <w:right w:val="single" w:sz="8" w:color="071D49"/>
            </w:tcBorders>
            <w:shd w:val="clear" w:color="auto" w:fill="071D49"/>
          </w:tcPr>
          <w:p>
            <w:pPr>
              <w:spacing w:after="0"/>
              <w:rPr>
                <w:sz w:val="16"/>
                <w:szCs w:val="16"/>
                <w:color w:val="auto"/>
              </w:rPr>
            </w:pPr>
          </w:p>
        </w:tc>
        <w:tc>
          <w:tcPr>
            <w:tcW w:w="1120" w:type="dxa"/>
            <w:vAlign w:val="bottom"/>
            <w:shd w:val="clear" w:color="auto" w:fill="071D49"/>
          </w:tcPr>
          <w:p>
            <w:pPr>
              <w:spacing w:after="0"/>
              <w:rPr>
                <w:sz w:val="16"/>
                <w:szCs w:val="16"/>
                <w:color w:val="auto"/>
              </w:rPr>
            </w:pPr>
          </w:p>
        </w:tc>
        <w:tc>
          <w:tcPr>
            <w:tcW w:w="420" w:type="dxa"/>
            <w:vAlign w:val="bottom"/>
            <w:shd w:val="clear" w:color="auto" w:fill="071D49"/>
          </w:tcPr>
          <w:p>
            <w:pPr>
              <w:spacing w:after="0"/>
              <w:rPr>
                <w:sz w:val="16"/>
                <w:szCs w:val="16"/>
                <w:color w:val="auto"/>
              </w:rPr>
            </w:pPr>
          </w:p>
        </w:tc>
        <w:tc>
          <w:tcPr>
            <w:tcW w:w="420" w:type="dxa"/>
            <w:vAlign w:val="bottom"/>
            <w:shd w:val="clear" w:color="auto" w:fill="BFBFBF"/>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-1922145</wp:posOffset>
            </wp:positionV>
            <wp:extent cx="5656580" cy="2160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6580" cy="2160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27"/>
          <w:szCs w:val="27"/>
          <w:b w:val="1"/>
          <w:bCs w:val="1"/>
          <w:color w:val="071D49"/>
        </w:rPr>
        <w:t>2</w:t>
      </w:r>
      <w:r>
        <w:rPr>
          <w:rFonts w:ascii="Arial" w:cs="Arial" w:eastAsia="Arial" w:hAnsi="Arial"/>
          <w:sz w:val="40"/>
          <w:szCs w:val="40"/>
          <w:b w:val="1"/>
          <w:bCs w:val="1"/>
          <w:color w:val="071D49"/>
          <w:vertAlign w:val="superscript"/>
        </w:rPr>
        <w:t>nd</w:t>
      </w:r>
      <w:r>
        <w:rPr>
          <w:rFonts w:ascii="Arial" w:cs="Arial" w:eastAsia="Arial" w:hAnsi="Arial"/>
          <w:sz w:val="27"/>
          <w:szCs w:val="27"/>
          <w:b w:val="1"/>
          <w:bCs w:val="1"/>
          <w:color w:val="071D49"/>
        </w:rPr>
        <w:t xml:space="preserve"> </w:t>
      </w:r>
      <w:r>
        <w:rPr>
          <w:rFonts w:ascii="Arial" w:cs="Arial" w:eastAsia="Arial" w:hAnsi="Arial"/>
          <w:sz w:val="16"/>
          <w:szCs w:val="16"/>
          <w:color w:val="000000"/>
        </w:rPr>
        <w:t>place out of 10</w:t>
      </w:r>
    </w:p>
    <w:p>
      <w:pPr>
        <w:spacing w:after="0" w:line="32" w:lineRule="exact"/>
        <w:rPr>
          <w:sz w:val="20"/>
          <w:szCs w:val="20"/>
          <w:color w:val="auto"/>
        </w:rPr>
      </w:pPr>
    </w:p>
    <w:p>
      <w:pPr>
        <w:ind w:left="20" w:right="320"/>
        <w:spacing w:after="0" w:line="262" w:lineRule="auto"/>
        <w:rPr>
          <w:sz w:val="20"/>
          <w:szCs w:val="20"/>
          <w:color w:val="auto"/>
        </w:rPr>
      </w:pPr>
      <w:r>
        <w:rPr>
          <w:rFonts w:ascii="Arial" w:cs="Arial" w:eastAsia="Arial" w:hAnsi="Arial"/>
          <w:sz w:val="13"/>
          <w:szCs w:val="13"/>
          <w:b w:val="1"/>
          <w:bCs w:val="1"/>
          <w:color w:val="auto"/>
        </w:rPr>
        <w:t xml:space="preserve">AbbVie’s peer group above includes: </w:t>
      </w:r>
      <w:r>
        <w:rPr>
          <w:rFonts w:ascii="Arial" w:cs="Arial" w:eastAsia="Arial" w:hAnsi="Arial"/>
          <w:sz w:val="13"/>
          <w:szCs w:val="13"/>
          <w:color w:val="auto"/>
        </w:rPr>
        <w:t>Amgen, Inc; Bristol-Myers Squibb Company; Eli Lilly and Company; Gilead Sciences, Inc.; GlaxoSmithKline plc;</w:t>
      </w:r>
      <w:r>
        <w:rPr>
          <w:rFonts w:ascii="Arial" w:cs="Arial" w:eastAsia="Arial" w:hAnsi="Arial"/>
          <w:sz w:val="13"/>
          <w:szCs w:val="13"/>
          <w:b w:val="1"/>
          <w:bCs w:val="1"/>
          <w:color w:val="auto"/>
        </w:rPr>
        <w:t xml:space="preserve"> </w:t>
      </w:r>
      <w:r>
        <w:rPr>
          <w:rFonts w:ascii="Arial" w:cs="Arial" w:eastAsia="Arial" w:hAnsi="Arial"/>
          <w:sz w:val="13"/>
          <w:szCs w:val="13"/>
          <w:color w:val="auto"/>
        </w:rPr>
        <w:t>Johnson &amp; Johnson; Merck &amp; Company, Inc; Novartis AG; and Pfizer Inc. TSR measured as of 12/31/23.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STOCKHOLDER RETURN (TSR)</w:t>
      </w:r>
    </w:p>
    <w:p>
      <w:pPr>
        <w:spacing w:after="0" w:line="92"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Over the last decade, AbbVie has delivered a total stockholder return of 343%, which places AbbVie in the top tier of its Health Care Peers and surpasses the cumulative total returns of the Standard &amp; Poor’s 500 Index and the NYSE Arca Pharmaceutical Index. The following graph covers the period from December 31, 2013 through December 31, 2023. This graph assumes $100 was invested in AbbVie common stock and each index on December 31, 2013 and also assumes the reinvestment of dividends. The stock price performance in the following graph is not necessarily indicative of future stock price performance.</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Comparison of Cumulative Total Stockholder Return – Last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116840</wp:posOffset>
            </wp:positionV>
            <wp:extent cx="5339080" cy="28600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39080" cy="2860040"/>
                    </a:xfrm>
                    <a:prstGeom prst="rect">
                      <a:avLst/>
                    </a:prstGeom>
                    <a:noFill/>
                  </pic:spPr>
                </pic:pic>
              </a:graphicData>
            </a:graphic>
          </wp:anchor>
        </w:drawing>
      </w:r>
    </w:p>
    <w:p>
      <w:pPr>
        <w:sectPr>
          <w:pgSz w:w="11900" w:h="16838" w:orient="portrait"/>
          <w:cols w:equalWidth="0" w:num="1">
            <w:col w:w="9260"/>
          </w:cols>
          <w:pgMar w:left="1320" w:top="4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ENGAGEMENT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2023 Say on Pay Results</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At our 2023 Annual Meeting, the say on pay proposal received support from 90.5% of our stockholders. The board and compensation committee are encouraged by the continued, consistent stockholder support for our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Arial" w:cs="Arial" w:eastAsia="Arial" w:hAnsi="Arial"/>
          <w:sz w:val="47"/>
          <w:szCs w:val="47"/>
          <w:color w:val="071D49"/>
        </w:rPr>
        <w:t>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-362585</wp:posOffset>
            </wp:positionV>
            <wp:extent cx="1470025" cy="548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70025" cy="5480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071D49"/>
        </w:rPr>
        <w:t>Say on Pay Results</w:t>
      </w:r>
    </w:p>
    <w:p>
      <w:pPr>
        <w:spacing w:after="0" w:line="163" w:lineRule="exact"/>
        <w:rPr>
          <w:sz w:val="20"/>
          <w:szCs w:val="20"/>
          <w:color w:val="auto"/>
        </w:rPr>
      </w:pPr>
    </w:p>
    <w:p>
      <w:pPr>
        <w:sectPr>
          <w:pgSz w:w="11900" w:h="16838" w:orient="portrait"/>
          <w:cols w:equalWidth="0" w:num="2">
            <w:col w:w="6580" w:space="700"/>
            <w:col w:w="1980"/>
          </w:cols>
          <w:pgMar w:left="1320" w:top="486" w:right="1319" w:bottom="1440" w:gutter="0" w:footer="0" w:header="0"/>
          <w:type w:val="continuous"/>
        </w:sectPr>
      </w:pPr>
    </w:p>
    <w:p>
      <w:pPr>
        <w:jc w:val="both"/>
        <w:spacing w:after="0" w:line="268" w:lineRule="auto"/>
        <w:rPr>
          <w:sz w:val="20"/>
          <w:szCs w:val="20"/>
          <w:color w:val="auto"/>
        </w:rPr>
      </w:pPr>
      <w:r>
        <w:rPr>
          <w:rFonts w:ascii="Arial" w:cs="Arial" w:eastAsia="Arial" w:hAnsi="Arial"/>
          <w:sz w:val="16"/>
          <w:szCs w:val="16"/>
          <w:color w:val="auto"/>
        </w:rPr>
        <w:t>AbbVie is committed to regular, ongoing engagement with stockholders to ensure that we continue to understand stockholder feedback about our compensation program and incorporate that feedback into the compensation decision-making process. To that end, in 2023 AbbVie reached out to stockholders representing over 40% of the company’s outstanding shares.</w:t>
      </w:r>
    </w:p>
    <w:p>
      <w:pPr>
        <w:spacing w:after="0" w:line="47" w:lineRule="exact"/>
        <w:rPr>
          <w:sz w:val="20"/>
          <w:szCs w:val="20"/>
          <w:color w:val="auto"/>
        </w:rPr>
      </w:pPr>
    </w:p>
    <w:p>
      <w:pPr>
        <w:ind w:right="80"/>
        <w:spacing w:after="0"/>
        <w:rPr>
          <w:sz w:val="20"/>
          <w:szCs w:val="20"/>
          <w:color w:val="auto"/>
        </w:rPr>
      </w:pPr>
      <w:r>
        <w:rPr>
          <w:rFonts w:ascii="Arial" w:cs="Arial" w:eastAsia="Arial" w:hAnsi="Arial"/>
          <w:sz w:val="17"/>
          <w:szCs w:val="17"/>
          <w:color w:val="auto"/>
        </w:rPr>
        <w:t>In these discussions, the aggregate feedback acknowledged the alignment of our executives’ pay with AbbVie’s performance and expressed support for our compensation program, consistent with the level of stockholder support for our say on pay proposals since inception. The feedback informs the compensation committee’s continuous assessment of the program design and ongoing discussions with stockholders, which contribute to the evolution of the programs.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38</w:t>
      </w:r>
      <w:r>
        <w:rPr>
          <w:sz w:val="20"/>
          <w:szCs w:val="20"/>
          <w:color w:val="auto"/>
        </w:rPr>
        <w:tab/>
      </w:r>
      <w:r>
        <w:rPr>
          <w:sz w:val="1"/>
          <w:szCs w:val="1"/>
          <w:color w:val="auto"/>
        </w:rPr>
        <w:drawing>
          <wp:inline distT="0" distB="0" distL="0" distR="0">
            <wp:extent cx="810260" cy="15113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20" w:top="486" w:right="1319" w:bottom="1440" w:gutter="0" w:footer="0" w:header="0"/>
          <w:type w:val="continuous"/>
        </w:sectPr>
      </w:pPr>
    </w:p>
    <w:bookmarkStart w:id="41" w:name="page42"/>
    <w:bookmarkEnd w:id="4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COMPENSATION PROGRAM GOVERNANCE SUMMARY</w:t>
      </w:r>
    </w:p>
    <w:p>
      <w:pPr>
        <w:spacing w:after="0" w:line="92" w:lineRule="exact"/>
        <w:rPr>
          <w:sz w:val="20"/>
          <w:szCs w:val="20"/>
          <w:color w:val="auto"/>
        </w:rPr>
      </w:pPr>
    </w:p>
    <w:p>
      <w:pPr>
        <w:ind w:left="20" w:right="40"/>
        <w:spacing w:after="0" w:line="261" w:lineRule="auto"/>
        <w:rPr>
          <w:sz w:val="20"/>
          <w:szCs w:val="20"/>
          <w:color w:val="auto"/>
        </w:rPr>
      </w:pPr>
      <w:r>
        <w:rPr>
          <w:rFonts w:ascii="Arial" w:cs="Arial" w:eastAsia="Arial" w:hAnsi="Arial"/>
          <w:sz w:val="17"/>
          <w:szCs w:val="17"/>
          <w:color w:val="auto"/>
        </w:rPr>
        <w:t>In addition to strong alignment of pay with the performance of the company and our NEOs, we maintain and are committed to good governance practices,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169545</wp:posOffset>
            </wp:positionV>
            <wp:extent cx="63500" cy="43853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500" cy="4385310"/>
                    </a:xfrm>
                    <a:prstGeom prst="rect">
                      <a:avLst/>
                    </a:prstGeom>
                    <a:noFill/>
                  </pic:spPr>
                </pic:pic>
              </a:graphicData>
            </a:graphic>
          </wp:anchor>
        </w:drawing>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23"/>
          <w:szCs w:val="23"/>
          <w:color w:val="auto"/>
        </w:rPr>
        <w:t>Good Governance Practices</w:t>
      </w:r>
    </w:p>
    <w:p>
      <w:pPr>
        <w:spacing w:after="0" w:line="86"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2080" w:type="dxa"/>
            <w:vAlign w:val="bottom"/>
            <w:tcBorders>
              <w:top w:val="single" w:sz="8" w:color="071D49"/>
              <w:right w:val="single" w:sz="8" w:color="071D49"/>
            </w:tcBorders>
          </w:tcPr>
          <w:p>
            <w:pPr>
              <w:spacing w:after="0"/>
              <w:rPr>
                <w:sz w:val="16"/>
                <w:szCs w:val="16"/>
                <w:color w:val="auto"/>
              </w:rPr>
            </w:pPr>
          </w:p>
        </w:tc>
        <w:tc>
          <w:tcPr>
            <w:tcW w:w="6960" w:type="dxa"/>
            <w:vAlign w:val="bottom"/>
            <w:tcBorders>
              <w:top w:val="single" w:sz="8" w:color="071D49"/>
            </w:tcBorders>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incentive plan includes financial, operational, and strategic metrics to assess</w:t>
            </w:r>
          </w:p>
        </w:tc>
        <w:tc>
          <w:tcPr>
            <w:tcW w:w="0" w:type="dxa"/>
            <w:vAlign w:val="bottom"/>
          </w:tcPr>
          <w:p>
            <w:pPr>
              <w:spacing w:after="0"/>
              <w:rPr>
                <w:sz w:val="1"/>
                <w:szCs w:val="1"/>
                <w:color w:val="auto"/>
              </w:rPr>
            </w:pPr>
          </w:p>
        </w:tc>
      </w:tr>
      <w:tr>
        <w:trPr>
          <w:trHeight w:val="157"/>
        </w:trPr>
        <w:tc>
          <w:tcPr>
            <w:tcW w:w="2080" w:type="dxa"/>
            <w:vAlign w:val="bottom"/>
            <w:tcBorders>
              <w:right w:val="single" w:sz="8" w:color="071D49"/>
            </w:tcBorders>
          </w:tcPr>
          <w:p>
            <w:pPr>
              <w:spacing w:after="0"/>
              <w:rPr>
                <w:sz w:val="13"/>
                <w:szCs w:val="13"/>
                <w:color w:val="auto"/>
              </w:rPr>
            </w:pPr>
          </w:p>
        </w:tc>
        <w:tc>
          <w:tcPr>
            <w:tcW w:w="6960" w:type="dxa"/>
            <w:vAlign w:val="bottom"/>
          </w:tcPr>
          <w:p>
            <w:pPr>
              <w:ind w:left="360"/>
              <w:spacing w:after="0" w:line="158" w:lineRule="exact"/>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205"/>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Balanced Incentive</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incentive payout matrix used to define and cap the range for the committee’s</w:t>
            </w:r>
          </w:p>
        </w:tc>
        <w:tc>
          <w:tcPr>
            <w:tcW w:w="0" w:type="dxa"/>
            <w:vAlign w:val="bottom"/>
          </w:tcPr>
          <w:p>
            <w:pPr>
              <w:spacing w:after="0"/>
              <w:rPr>
                <w:sz w:val="1"/>
                <w:szCs w:val="1"/>
                <w:color w:val="auto"/>
              </w:rPr>
            </w:pPr>
          </w:p>
        </w:tc>
      </w:tr>
      <w:tr>
        <w:trPr>
          <w:trHeight w:val="195"/>
        </w:trPr>
        <w:tc>
          <w:tcPr>
            <w:tcW w:w="2080" w:type="dxa"/>
            <w:vAlign w:val="bottom"/>
            <w:tcBorders>
              <w:right w:val="single" w:sz="8" w:color="071D49"/>
            </w:tcBorders>
            <w:vMerge w:val="continue"/>
          </w:tcPr>
          <w:p>
            <w:pPr>
              <w:spacing w:after="0"/>
              <w:rPr>
                <w:sz w:val="16"/>
                <w:szCs w:val="16"/>
                <w:color w:val="auto"/>
              </w:rPr>
            </w:pPr>
          </w:p>
        </w:tc>
        <w:tc>
          <w:tcPr>
            <w:tcW w:w="6960" w:type="dxa"/>
            <w:vAlign w:val="bottom"/>
          </w:tcPr>
          <w:p>
            <w:pPr>
              <w:ind w:left="360"/>
              <w:spacing w:after="0"/>
              <w:rPr>
                <w:sz w:val="20"/>
                <w:szCs w:val="20"/>
                <w:color w:val="auto"/>
              </w:rPr>
            </w:pPr>
            <w:r>
              <w:rPr>
                <w:rFonts w:ascii="Arial" w:cs="Arial" w:eastAsia="Arial" w:hAnsi="Arial"/>
                <w:sz w:val="16"/>
                <w:szCs w:val="16"/>
                <w:color w:val="auto"/>
              </w:rPr>
              <w:t>determinations (at or below the plan maximum of 200% of target with a 2023 payout matrix</w:t>
            </w:r>
          </w:p>
        </w:tc>
        <w:tc>
          <w:tcPr>
            <w:tcW w:w="0" w:type="dxa"/>
            <w:vAlign w:val="bottom"/>
          </w:tcPr>
          <w:p>
            <w:pPr>
              <w:spacing w:after="0"/>
              <w:rPr>
                <w:sz w:val="1"/>
                <w:szCs w:val="1"/>
                <w:color w:val="auto"/>
              </w:rPr>
            </w:pPr>
          </w:p>
        </w:tc>
      </w:tr>
      <w:tr>
        <w:trPr>
          <w:trHeight w:val="225"/>
        </w:trPr>
        <w:tc>
          <w:tcPr>
            <w:tcW w:w="2080" w:type="dxa"/>
            <w:vAlign w:val="bottom"/>
            <w:tcBorders>
              <w:right w:val="single" w:sz="8" w:color="071D49"/>
            </w:tcBorders>
          </w:tcPr>
          <w:p>
            <w:pPr>
              <w:jc w:val="center"/>
              <w:spacing w:after="0" w:line="226" w:lineRule="exact"/>
              <w:rPr>
                <w:sz w:val="20"/>
                <w:szCs w:val="20"/>
                <w:color w:val="auto"/>
              </w:rPr>
            </w:pPr>
            <w:r>
              <w:rPr>
                <w:rFonts w:ascii="Arial" w:cs="Arial" w:eastAsia="Arial" w:hAnsi="Arial"/>
                <w:sz w:val="20"/>
                <w:szCs w:val="20"/>
                <w:color w:val="auto"/>
              </w:rPr>
              <w:t>Plan Design</w:t>
            </w:r>
          </w:p>
        </w:tc>
        <w:tc>
          <w:tcPr>
            <w:tcW w:w="6960" w:type="dxa"/>
            <w:vAlign w:val="bottom"/>
          </w:tcPr>
          <w:p>
            <w:pPr>
              <w:ind w:left="360"/>
              <w:spacing w:after="0"/>
              <w:rPr>
                <w:sz w:val="20"/>
                <w:szCs w:val="20"/>
                <w:color w:val="auto"/>
              </w:rPr>
            </w:pPr>
            <w:r>
              <w:rPr>
                <w:rFonts w:ascii="Arial" w:cs="Arial" w:eastAsia="Arial" w:hAnsi="Arial"/>
                <w:sz w:val="16"/>
                <w:szCs w:val="16"/>
                <w:color w:val="auto"/>
              </w:rPr>
              <w:t>cap of 190%)</w:t>
            </w:r>
          </w:p>
        </w:tc>
        <w:tc>
          <w:tcPr>
            <w:tcW w:w="0" w:type="dxa"/>
            <w:vAlign w:val="bottom"/>
          </w:tcPr>
          <w:p>
            <w:pPr>
              <w:spacing w:after="0"/>
              <w:rPr>
                <w:sz w:val="1"/>
                <w:szCs w:val="1"/>
                <w:color w:val="auto"/>
              </w:rPr>
            </w:pPr>
          </w:p>
        </w:tc>
      </w:tr>
      <w:tr>
        <w:trPr>
          <w:trHeight w:val="118"/>
        </w:trPr>
        <w:tc>
          <w:tcPr>
            <w:tcW w:w="2080" w:type="dxa"/>
            <w:vAlign w:val="bottom"/>
            <w:tcBorders>
              <w:right w:val="single" w:sz="8" w:color="071D49"/>
            </w:tcBorders>
          </w:tcPr>
          <w:p>
            <w:pPr>
              <w:spacing w:after="0"/>
              <w:rPr>
                <w:sz w:val="10"/>
                <w:szCs w:val="10"/>
                <w:color w:val="auto"/>
              </w:rPr>
            </w:pPr>
          </w:p>
        </w:tc>
        <w:tc>
          <w:tcPr>
            <w:tcW w:w="6960" w:type="dxa"/>
            <w:vAlign w:val="bottom"/>
          </w:tcPr>
          <w:p>
            <w:pPr>
              <w:ind w:left="140"/>
              <w:spacing w:after="0" w:line="118" w:lineRule="exact"/>
              <w:rPr>
                <w:sz w:val="20"/>
                <w:szCs w:val="20"/>
                <w:color w:val="auto"/>
              </w:rPr>
            </w:pPr>
            <w:r>
              <w:rPr>
                <w:rFonts w:ascii="MS PGothic" w:cs="MS PGothic" w:eastAsia="MS PGothic" w:hAnsi="MS PGothic"/>
                <w:sz w:val="12"/>
                <w:szCs w:val="12"/>
                <w:color w:val="071D49"/>
              </w:rPr>
              <w:t>✓</w:t>
            </w:r>
            <w:r>
              <w:rPr>
                <w:rFonts w:ascii="Arial" w:cs="Arial" w:eastAsia="Arial" w:hAnsi="Arial"/>
                <w:sz w:val="12"/>
                <w:szCs w:val="12"/>
                <w:color w:val="auto"/>
              </w:rPr>
              <w:t xml:space="preserve"> Long-term incentive design emphasizing multiple, relative performance metrics and multi-year</w:t>
            </w:r>
          </w:p>
        </w:tc>
        <w:tc>
          <w:tcPr>
            <w:tcW w:w="0" w:type="dxa"/>
            <w:vAlign w:val="bottom"/>
          </w:tcPr>
          <w:p>
            <w:pPr>
              <w:spacing w:after="0"/>
              <w:rPr>
                <w:sz w:val="1"/>
                <w:szCs w:val="1"/>
                <w:color w:val="auto"/>
              </w:rPr>
            </w:pPr>
          </w:p>
        </w:tc>
      </w:tr>
      <w:tr>
        <w:trPr>
          <w:trHeight w:val="157"/>
        </w:trPr>
        <w:tc>
          <w:tcPr>
            <w:tcW w:w="2080" w:type="dxa"/>
            <w:vAlign w:val="bottom"/>
            <w:tcBorders>
              <w:right w:val="single" w:sz="8" w:color="071D49"/>
            </w:tcBorders>
          </w:tcPr>
          <w:p>
            <w:pPr>
              <w:spacing w:after="0"/>
              <w:rPr>
                <w:sz w:val="13"/>
                <w:szCs w:val="13"/>
                <w:color w:val="auto"/>
              </w:rPr>
            </w:pPr>
          </w:p>
        </w:tc>
        <w:tc>
          <w:tcPr>
            <w:tcW w:w="6960" w:type="dxa"/>
            <w:vAlign w:val="bottom"/>
          </w:tcPr>
          <w:p>
            <w:pPr>
              <w:ind w:left="360"/>
              <w:spacing w:after="0" w:line="158" w:lineRule="exact"/>
              <w:rPr>
                <w:sz w:val="20"/>
                <w:szCs w:val="20"/>
                <w:color w:val="auto"/>
              </w:rPr>
            </w:pPr>
            <w:r>
              <w:rPr>
                <w:rFonts w:ascii="Arial" w:cs="Arial" w:eastAsia="Arial" w:hAnsi="Arial"/>
                <w:sz w:val="16"/>
                <w:szCs w:val="16"/>
                <w:color w:val="auto"/>
              </w:rPr>
              <w:t>performance periods</w:t>
            </w:r>
          </w:p>
        </w:tc>
        <w:tc>
          <w:tcPr>
            <w:tcW w:w="0" w:type="dxa"/>
            <w:vAlign w:val="bottom"/>
          </w:tcPr>
          <w:p>
            <w:pPr>
              <w:spacing w:after="0"/>
              <w:rPr>
                <w:sz w:val="1"/>
                <w:szCs w:val="1"/>
                <w:color w:val="auto"/>
              </w:rPr>
            </w:pPr>
          </w:p>
        </w:tc>
      </w:tr>
      <w:tr>
        <w:trPr>
          <w:trHeight w:val="267"/>
        </w:trPr>
        <w:tc>
          <w:tcPr>
            <w:tcW w:w="2080" w:type="dxa"/>
            <w:vAlign w:val="bottom"/>
            <w:tcBorders>
              <w:right w:val="single" w:sz="8" w:color="071D49"/>
            </w:tcBorders>
          </w:tcPr>
          <w:p>
            <w:pPr>
              <w:spacing w:after="0"/>
              <w:rPr>
                <w:sz w:val="23"/>
                <w:szCs w:val="23"/>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duplication of performance metrics in short- and long-term incentives</w:t>
            </w:r>
          </w:p>
        </w:tc>
        <w:tc>
          <w:tcPr>
            <w:tcW w:w="0" w:type="dxa"/>
            <w:vAlign w:val="bottom"/>
          </w:tcPr>
          <w:p>
            <w:pPr>
              <w:spacing w:after="0"/>
              <w:rPr>
                <w:sz w:val="1"/>
                <w:szCs w:val="1"/>
                <w:color w:val="auto"/>
              </w:rPr>
            </w:pPr>
          </w:p>
        </w:tc>
      </w:tr>
      <w:tr>
        <w:trPr>
          <w:trHeight w:val="76"/>
        </w:trPr>
        <w:tc>
          <w:tcPr>
            <w:tcW w:w="2080" w:type="dxa"/>
            <w:vAlign w:val="bottom"/>
            <w:tcBorders>
              <w:bottom w:val="single" w:sz="8" w:color="071D49"/>
              <w:right w:val="single" w:sz="8" w:color="071D49"/>
            </w:tcBorders>
          </w:tcPr>
          <w:p>
            <w:pPr>
              <w:spacing w:after="0"/>
              <w:rPr>
                <w:sz w:val="6"/>
                <w:szCs w:val="6"/>
                <w:color w:val="auto"/>
              </w:rPr>
            </w:pPr>
          </w:p>
        </w:tc>
        <w:tc>
          <w:tcPr>
            <w:tcW w:w="6960" w:type="dxa"/>
            <w:vAlign w:val="bottom"/>
            <w:tcBorders>
              <w:bottom w:val="single" w:sz="8" w:color="071D49"/>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Pay Equity and</w:t>
            </w:r>
          </w:p>
        </w:tc>
        <w:tc>
          <w:tcPr>
            <w:tcW w:w="6960" w:type="dxa"/>
            <w:vAlign w:val="bottom"/>
          </w:tcPr>
          <w:p>
            <w:pPr>
              <w:ind w:left="140"/>
              <w:spacing w:after="0" w:line="168"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Commitment to pay equity and annual pay equity analyses to ensure pay is equitable across</w:t>
            </w:r>
          </w:p>
        </w:tc>
        <w:tc>
          <w:tcPr>
            <w:tcW w:w="0" w:type="dxa"/>
            <w:vAlign w:val="bottom"/>
          </w:tcPr>
          <w:p>
            <w:pPr>
              <w:spacing w:after="0"/>
              <w:rPr>
                <w:sz w:val="1"/>
                <w:szCs w:val="1"/>
                <w:color w:val="auto"/>
              </w:rPr>
            </w:pPr>
          </w:p>
        </w:tc>
      </w:tr>
      <w:tr>
        <w:trPr>
          <w:trHeight w:val="157"/>
        </w:trPr>
        <w:tc>
          <w:tcPr>
            <w:tcW w:w="2080" w:type="dxa"/>
            <w:vAlign w:val="bottom"/>
            <w:tcBorders>
              <w:right w:val="single" w:sz="8" w:color="071D49"/>
            </w:tcBorders>
            <w:vMerge w:val="continue"/>
          </w:tcPr>
          <w:p>
            <w:pPr>
              <w:spacing w:after="0"/>
              <w:rPr>
                <w:sz w:val="13"/>
                <w:szCs w:val="13"/>
                <w:color w:val="auto"/>
              </w:rPr>
            </w:pPr>
          </w:p>
        </w:tc>
        <w:tc>
          <w:tcPr>
            <w:tcW w:w="6960" w:type="dxa"/>
            <w:vAlign w:val="bottom"/>
          </w:tcPr>
          <w:p>
            <w:pPr>
              <w:ind w:left="360"/>
              <w:spacing w:after="0" w:line="158" w:lineRule="exact"/>
              <w:rPr>
                <w:sz w:val="20"/>
                <w:szCs w:val="20"/>
                <w:color w:val="auto"/>
              </w:rPr>
            </w:pPr>
            <w:r>
              <w:rPr>
                <w:rFonts w:ascii="Arial" w:cs="Arial" w:eastAsia="Arial" w:hAnsi="Arial"/>
                <w:sz w:val="16"/>
                <w:szCs w:val="16"/>
                <w:color w:val="auto"/>
              </w:rPr>
              <w:t>genders and ethnicities among U.S. employees</w:t>
            </w:r>
          </w:p>
        </w:tc>
        <w:tc>
          <w:tcPr>
            <w:tcW w:w="0" w:type="dxa"/>
            <w:vAlign w:val="bottom"/>
          </w:tcPr>
          <w:p>
            <w:pPr>
              <w:spacing w:after="0"/>
              <w:rPr>
                <w:sz w:val="1"/>
                <w:szCs w:val="1"/>
                <w:color w:val="auto"/>
              </w:rPr>
            </w:pPr>
          </w:p>
        </w:tc>
      </w:tr>
      <w:tr>
        <w:trPr>
          <w:trHeight w:val="267"/>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rPr>
              <w:t>Sustainability</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Incorporation of ESG into the strategic/leadership goals within the annual incentive plan</w:t>
            </w:r>
          </w:p>
        </w:tc>
        <w:tc>
          <w:tcPr>
            <w:tcW w:w="0" w:type="dxa"/>
            <w:vAlign w:val="bottom"/>
          </w:tcPr>
          <w:p>
            <w:pPr>
              <w:spacing w:after="0"/>
              <w:rPr>
                <w:sz w:val="1"/>
                <w:szCs w:val="1"/>
                <w:color w:val="auto"/>
              </w:rPr>
            </w:pPr>
          </w:p>
        </w:tc>
      </w:tr>
      <w:tr>
        <w:trPr>
          <w:trHeight w:val="76"/>
        </w:trPr>
        <w:tc>
          <w:tcPr>
            <w:tcW w:w="2080" w:type="dxa"/>
            <w:vAlign w:val="bottom"/>
            <w:tcBorders>
              <w:bottom w:val="single" w:sz="8" w:color="071D49"/>
              <w:right w:val="single" w:sz="8" w:color="071D49"/>
            </w:tcBorders>
          </w:tcPr>
          <w:p>
            <w:pPr>
              <w:spacing w:after="0"/>
              <w:rPr>
                <w:sz w:val="6"/>
                <w:szCs w:val="6"/>
                <w:color w:val="auto"/>
              </w:rPr>
            </w:pPr>
          </w:p>
        </w:tc>
        <w:tc>
          <w:tcPr>
            <w:tcW w:w="6960" w:type="dxa"/>
            <w:vAlign w:val="bottom"/>
            <w:tcBorders>
              <w:bottom w:val="single" w:sz="8" w:color="071D49"/>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80" w:type="dxa"/>
            <w:vAlign w:val="bottom"/>
            <w:tcBorders>
              <w:right w:val="single" w:sz="8" w:color="071D49"/>
            </w:tcBorders>
          </w:tcPr>
          <w:p>
            <w:pPr>
              <w:spacing w:after="0"/>
              <w:rPr>
                <w:sz w:val="14"/>
                <w:szCs w:val="14"/>
                <w:color w:val="auto"/>
              </w:rPr>
            </w:pPr>
          </w:p>
        </w:tc>
        <w:tc>
          <w:tcPr>
            <w:tcW w:w="6960" w:type="dxa"/>
            <w:vAlign w:val="bottom"/>
          </w:tcPr>
          <w:p>
            <w:pPr>
              <w:ind w:left="140"/>
              <w:spacing w:after="0" w:line="168"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Mandatory clawback of excess compensation in the event of a restatement, plus broad</w:t>
            </w:r>
          </w:p>
        </w:tc>
        <w:tc>
          <w:tcPr>
            <w:tcW w:w="0" w:type="dxa"/>
            <w:vAlign w:val="bottom"/>
          </w:tcPr>
          <w:p>
            <w:pPr>
              <w:spacing w:after="0"/>
              <w:rPr>
                <w:sz w:val="1"/>
                <w:szCs w:val="1"/>
                <w:color w:val="auto"/>
              </w:rPr>
            </w:pPr>
          </w:p>
        </w:tc>
      </w:tr>
      <w:tr>
        <w:trPr>
          <w:trHeight w:val="157"/>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Strong Governance</w:t>
            </w:r>
          </w:p>
        </w:tc>
        <w:tc>
          <w:tcPr>
            <w:tcW w:w="6960" w:type="dxa"/>
            <w:vAlign w:val="bottom"/>
          </w:tcPr>
          <w:p>
            <w:pPr>
              <w:ind w:left="360"/>
              <w:spacing w:after="0" w:line="158" w:lineRule="exact"/>
              <w:rPr>
                <w:sz w:val="20"/>
                <w:szCs w:val="20"/>
                <w:color w:val="auto"/>
              </w:rPr>
            </w:pPr>
            <w:r>
              <w:rPr>
                <w:rFonts w:ascii="Arial" w:cs="Arial" w:eastAsia="Arial" w:hAnsi="Arial"/>
                <w:sz w:val="16"/>
                <w:szCs w:val="16"/>
                <w:color w:val="auto"/>
                <w:w w:val="99"/>
              </w:rPr>
              <w:t>discretion to clawback compensation in the event of a material breach of the Code of Conduct</w:t>
            </w:r>
          </w:p>
        </w:tc>
        <w:tc>
          <w:tcPr>
            <w:tcW w:w="0" w:type="dxa"/>
            <w:vAlign w:val="bottom"/>
          </w:tcPr>
          <w:p>
            <w:pPr>
              <w:spacing w:after="0"/>
              <w:rPr>
                <w:sz w:val="1"/>
                <w:szCs w:val="1"/>
                <w:color w:val="auto"/>
              </w:rPr>
            </w:pPr>
          </w:p>
        </w:tc>
      </w:tr>
      <w:tr>
        <w:trPr>
          <w:trHeight w:val="188"/>
        </w:trPr>
        <w:tc>
          <w:tcPr>
            <w:tcW w:w="2080" w:type="dxa"/>
            <w:vAlign w:val="bottom"/>
            <w:tcBorders>
              <w:right w:val="single" w:sz="8" w:color="071D49"/>
            </w:tcBorders>
            <w:vMerge w:val="continue"/>
          </w:tcPr>
          <w:p>
            <w:pPr>
              <w:spacing w:after="0"/>
              <w:rPr>
                <w:sz w:val="16"/>
                <w:szCs w:val="16"/>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Anti-hedging and anti-pledging policies</w:t>
            </w:r>
          </w:p>
        </w:tc>
        <w:tc>
          <w:tcPr>
            <w:tcW w:w="0" w:type="dxa"/>
            <w:vAlign w:val="bottom"/>
          </w:tcPr>
          <w:p>
            <w:pPr>
              <w:spacing w:after="0"/>
              <w:rPr>
                <w:sz w:val="1"/>
                <w:szCs w:val="1"/>
                <w:color w:val="auto"/>
              </w:rPr>
            </w:pPr>
          </w:p>
        </w:tc>
      </w:tr>
      <w:tr>
        <w:trPr>
          <w:trHeight w:val="205"/>
        </w:trPr>
        <w:tc>
          <w:tcPr>
            <w:tcW w:w="2080" w:type="dxa"/>
            <w:vAlign w:val="bottom"/>
            <w:tcBorders>
              <w:right w:val="single" w:sz="8" w:color="071D49"/>
            </w:tcBorders>
          </w:tcPr>
          <w:p>
            <w:pPr>
              <w:jc w:val="center"/>
              <w:spacing w:after="0" w:line="206" w:lineRule="exact"/>
              <w:rPr>
                <w:sz w:val="20"/>
                <w:szCs w:val="20"/>
                <w:color w:val="auto"/>
              </w:rPr>
            </w:pPr>
            <w:r>
              <w:rPr>
                <w:rFonts w:ascii="Arial" w:cs="Arial" w:eastAsia="Arial" w:hAnsi="Arial"/>
                <w:sz w:val="20"/>
                <w:szCs w:val="20"/>
                <w:color w:val="auto"/>
                <w:w w:val="99"/>
              </w:rPr>
              <w:t>Practices</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Annual comprehensive compensation program risk review</w:t>
            </w:r>
          </w:p>
        </w:tc>
        <w:tc>
          <w:tcPr>
            <w:tcW w:w="0" w:type="dxa"/>
            <w:vAlign w:val="bottom"/>
          </w:tcPr>
          <w:p>
            <w:pPr>
              <w:spacing w:after="0"/>
              <w:rPr>
                <w:sz w:val="1"/>
                <w:szCs w:val="1"/>
                <w:color w:val="auto"/>
              </w:rPr>
            </w:pPr>
          </w:p>
        </w:tc>
      </w:tr>
      <w:tr>
        <w:trPr>
          <w:trHeight w:val="267"/>
        </w:trPr>
        <w:tc>
          <w:tcPr>
            <w:tcW w:w="2080" w:type="dxa"/>
            <w:vAlign w:val="bottom"/>
            <w:tcBorders>
              <w:right w:val="single" w:sz="8" w:color="071D49"/>
            </w:tcBorders>
          </w:tcPr>
          <w:p>
            <w:pPr>
              <w:spacing w:after="0"/>
              <w:rPr>
                <w:sz w:val="23"/>
                <w:szCs w:val="23"/>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Independent compensation consultant that performs no other work for the company</w:t>
            </w:r>
          </w:p>
        </w:tc>
        <w:tc>
          <w:tcPr>
            <w:tcW w:w="0" w:type="dxa"/>
            <w:vAlign w:val="bottom"/>
          </w:tcPr>
          <w:p>
            <w:pPr>
              <w:spacing w:after="0"/>
              <w:rPr>
                <w:sz w:val="1"/>
                <w:szCs w:val="1"/>
                <w:color w:val="auto"/>
              </w:rPr>
            </w:pPr>
          </w:p>
        </w:tc>
      </w:tr>
      <w:tr>
        <w:trPr>
          <w:trHeight w:val="83"/>
        </w:trPr>
        <w:tc>
          <w:tcPr>
            <w:tcW w:w="2080" w:type="dxa"/>
            <w:vAlign w:val="bottom"/>
            <w:tcBorders>
              <w:bottom w:val="single" w:sz="8" w:color="071D49"/>
              <w:right w:val="single" w:sz="8" w:color="071D49"/>
            </w:tcBorders>
          </w:tcPr>
          <w:p>
            <w:pPr>
              <w:spacing w:after="0"/>
              <w:rPr>
                <w:sz w:val="7"/>
                <w:szCs w:val="7"/>
                <w:color w:val="auto"/>
              </w:rPr>
            </w:pPr>
          </w:p>
        </w:tc>
        <w:tc>
          <w:tcPr>
            <w:tcW w:w="696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rPr>
              <w:t>Pay for Performance</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Short- and long-term incentive programs closely align with performance</w:t>
            </w:r>
          </w:p>
        </w:tc>
        <w:tc>
          <w:tcPr>
            <w:tcW w:w="0" w:type="dxa"/>
            <w:vAlign w:val="bottom"/>
          </w:tcPr>
          <w:p>
            <w:pPr>
              <w:spacing w:after="0"/>
              <w:rPr>
                <w:sz w:val="1"/>
                <w:szCs w:val="1"/>
                <w:color w:val="auto"/>
              </w:rPr>
            </w:pPr>
          </w:p>
        </w:tc>
      </w:tr>
      <w:tr>
        <w:trPr>
          <w:trHeight w:val="225"/>
        </w:trPr>
        <w:tc>
          <w:tcPr>
            <w:tcW w:w="2080" w:type="dxa"/>
            <w:vAlign w:val="bottom"/>
            <w:tcBorders>
              <w:right w:val="single" w:sz="8" w:color="071D49"/>
            </w:tcBorders>
          </w:tcPr>
          <w:p>
            <w:pPr>
              <w:jc w:val="center"/>
              <w:spacing w:after="0" w:line="226" w:lineRule="exact"/>
              <w:rPr>
                <w:sz w:val="20"/>
                <w:szCs w:val="20"/>
                <w:color w:val="auto"/>
              </w:rPr>
            </w:pPr>
            <w:r>
              <w:rPr>
                <w:rFonts w:ascii="Arial" w:cs="Arial" w:eastAsia="Arial" w:hAnsi="Arial"/>
                <w:sz w:val="20"/>
                <w:szCs w:val="20"/>
                <w:color w:val="auto"/>
                <w:w w:val="99"/>
              </w:rPr>
              <w:t>and Stockholder</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Majority of NEO compensation tied to long-term performance</w:t>
            </w:r>
          </w:p>
        </w:tc>
        <w:tc>
          <w:tcPr>
            <w:tcW w:w="0" w:type="dxa"/>
            <w:vAlign w:val="bottom"/>
          </w:tcPr>
          <w:p>
            <w:pPr>
              <w:spacing w:after="0"/>
              <w:rPr>
                <w:sz w:val="1"/>
                <w:szCs w:val="1"/>
                <w:color w:val="auto"/>
              </w:rPr>
            </w:pPr>
          </w:p>
        </w:tc>
      </w:tr>
      <w:tr>
        <w:trPr>
          <w:trHeight w:val="225"/>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Alignment</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Proactive stockholder engagement process</w:t>
            </w:r>
          </w:p>
        </w:tc>
        <w:tc>
          <w:tcPr>
            <w:tcW w:w="0" w:type="dxa"/>
            <w:vAlign w:val="bottom"/>
          </w:tcPr>
          <w:p>
            <w:pPr>
              <w:spacing w:after="0"/>
              <w:rPr>
                <w:sz w:val="1"/>
                <w:szCs w:val="1"/>
                <w:color w:val="auto"/>
              </w:rPr>
            </w:pPr>
          </w:p>
        </w:tc>
      </w:tr>
      <w:tr>
        <w:trPr>
          <w:trHeight w:val="64"/>
        </w:trPr>
        <w:tc>
          <w:tcPr>
            <w:tcW w:w="2080" w:type="dxa"/>
            <w:vAlign w:val="bottom"/>
            <w:tcBorders>
              <w:right w:val="single" w:sz="8" w:color="071D49"/>
            </w:tcBorders>
            <w:vMerge w:val="continue"/>
          </w:tcPr>
          <w:p>
            <w:pPr>
              <w:spacing w:after="0"/>
              <w:rPr>
                <w:sz w:val="5"/>
                <w:szCs w:val="5"/>
                <w:color w:val="auto"/>
              </w:rPr>
            </w:pPr>
          </w:p>
        </w:tc>
        <w:tc>
          <w:tcPr>
            <w:tcW w:w="6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80" w:type="dxa"/>
            <w:vAlign w:val="bottom"/>
            <w:tcBorders>
              <w:bottom w:val="single" w:sz="8" w:color="071D49"/>
              <w:right w:val="single" w:sz="8" w:color="071D49"/>
            </w:tcBorders>
          </w:tcPr>
          <w:p>
            <w:pPr>
              <w:spacing w:after="0"/>
              <w:rPr>
                <w:sz w:val="7"/>
                <w:szCs w:val="7"/>
                <w:color w:val="auto"/>
              </w:rPr>
            </w:pPr>
          </w:p>
        </w:tc>
        <w:tc>
          <w:tcPr>
            <w:tcW w:w="6960" w:type="dxa"/>
            <w:vAlign w:val="bottom"/>
            <w:tcBorders>
              <w:bottom w:val="single" w:sz="8" w:color="071D49"/>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Robust Stock</w:t>
            </w:r>
          </w:p>
        </w:tc>
        <w:tc>
          <w:tcPr>
            <w:tcW w:w="6960" w:type="dxa"/>
            <w:vAlign w:val="bottom"/>
          </w:tcPr>
          <w:p>
            <w:pPr>
              <w:ind w:left="140"/>
              <w:spacing w:after="0" w:line="155"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6x salary for CEO and 3x salary for NEOs</w:t>
            </w:r>
          </w:p>
        </w:tc>
        <w:tc>
          <w:tcPr>
            <w:tcW w:w="0" w:type="dxa"/>
            <w:vAlign w:val="bottom"/>
          </w:tcPr>
          <w:p>
            <w:pPr>
              <w:spacing w:after="0"/>
              <w:rPr>
                <w:sz w:val="1"/>
                <w:szCs w:val="1"/>
                <w:color w:val="auto"/>
              </w:rPr>
            </w:pPr>
          </w:p>
        </w:tc>
      </w:tr>
      <w:tr>
        <w:trPr>
          <w:trHeight w:val="144"/>
        </w:trPr>
        <w:tc>
          <w:tcPr>
            <w:tcW w:w="2080" w:type="dxa"/>
            <w:vAlign w:val="bottom"/>
            <w:tcBorders>
              <w:right w:val="single" w:sz="8" w:color="071D49"/>
            </w:tcBorders>
            <w:vMerge w:val="continue"/>
          </w:tcPr>
          <w:p>
            <w:pPr>
              <w:spacing w:after="0"/>
              <w:rPr>
                <w:sz w:val="12"/>
                <w:szCs w:val="12"/>
                <w:color w:val="auto"/>
              </w:rPr>
            </w:pPr>
          </w:p>
        </w:tc>
        <w:tc>
          <w:tcPr>
            <w:tcW w:w="6960" w:type="dxa"/>
            <w:vAlign w:val="bottom"/>
            <w:vMerge w:val="restart"/>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5x annual fees for non-employee directors</w:t>
            </w:r>
          </w:p>
        </w:tc>
        <w:tc>
          <w:tcPr>
            <w:tcW w:w="0" w:type="dxa"/>
            <w:vAlign w:val="bottom"/>
          </w:tcPr>
          <w:p>
            <w:pPr>
              <w:spacing w:after="0"/>
              <w:rPr>
                <w:sz w:val="1"/>
                <w:szCs w:val="1"/>
                <w:color w:val="auto"/>
              </w:rPr>
            </w:pPr>
          </w:p>
        </w:tc>
      </w:tr>
      <w:tr>
        <w:trPr>
          <w:trHeight w:val="56"/>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rPr>
              <w:t>Ownership</w:t>
            </w:r>
          </w:p>
        </w:tc>
        <w:tc>
          <w:tcPr>
            <w:tcW w:w="6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80" w:type="dxa"/>
            <w:vAlign w:val="bottom"/>
            <w:tcBorders>
              <w:right w:val="single" w:sz="8" w:color="071D49"/>
            </w:tcBorders>
            <w:vMerge w:val="continue"/>
          </w:tcPr>
          <w:p>
            <w:pPr>
              <w:spacing w:after="0"/>
              <w:rPr>
                <w:sz w:val="16"/>
                <w:szCs w:val="16"/>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NEOs must hold and not sell equity until the minimum stock ownership requirement is</w:t>
            </w:r>
          </w:p>
        </w:tc>
        <w:tc>
          <w:tcPr>
            <w:tcW w:w="0" w:type="dxa"/>
            <w:vAlign w:val="bottom"/>
          </w:tcPr>
          <w:p>
            <w:pPr>
              <w:spacing w:after="0"/>
              <w:rPr>
                <w:sz w:val="1"/>
                <w:szCs w:val="1"/>
                <w:color w:val="auto"/>
              </w:rPr>
            </w:pPr>
          </w:p>
        </w:tc>
      </w:tr>
      <w:tr>
        <w:trPr>
          <w:trHeight w:val="265"/>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9"/>
              </w:rPr>
              <w:t>Requirements</w:t>
            </w:r>
          </w:p>
        </w:tc>
        <w:tc>
          <w:tcPr>
            <w:tcW w:w="6960" w:type="dxa"/>
            <w:vAlign w:val="bottom"/>
          </w:tcPr>
          <w:p>
            <w:pPr>
              <w:ind w:left="360"/>
              <w:spacing w:after="0"/>
              <w:rPr>
                <w:sz w:val="20"/>
                <w:szCs w:val="20"/>
                <w:color w:val="auto"/>
              </w:rPr>
            </w:pPr>
            <w:r>
              <w:rPr>
                <w:rFonts w:ascii="Arial" w:cs="Arial" w:eastAsia="Arial" w:hAnsi="Arial"/>
                <w:sz w:val="16"/>
                <w:szCs w:val="16"/>
                <w:color w:val="auto"/>
              </w:rPr>
              <w:t>satisfied</w:t>
            </w:r>
          </w:p>
        </w:tc>
        <w:tc>
          <w:tcPr>
            <w:tcW w:w="0" w:type="dxa"/>
            <w:vAlign w:val="bottom"/>
          </w:tcPr>
          <w:p>
            <w:pPr>
              <w:spacing w:after="0"/>
              <w:rPr>
                <w:sz w:val="1"/>
                <w:szCs w:val="1"/>
                <w:color w:val="auto"/>
              </w:rPr>
            </w:pPr>
          </w:p>
        </w:tc>
      </w:tr>
      <w:tr>
        <w:trPr>
          <w:trHeight w:val="65"/>
        </w:trPr>
        <w:tc>
          <w:tcPr>
            <w:tcW w:w="2080" w:type="dxa"/>
            <w:vAlign w:val="bottom"/>
            <w:tcBorders>
              <w:bottom w:val="single" w:sz="8" w:color="071D49"/>
              <w:right w:val="single" w:sz="8" w:color="071D49"/>
            </w:tcBorders>
          </w:tcPr>
          <w:p>
            <w:pPr>
              <w:spacing w:after="0"/>
              <w:rPr>
                <w:sz w:val="5"/>
                <w:szCs w:val="5"/>
                <w:color w:val="auto"/>
              </w:rPr>
            </w:pPr>
          </w:p>
        </w:tc>
        <w:tc>
          <w:tcPr>
            <w:tcW w:w="6960" w:type="dxa"/>
            <w:vAlign w:val="bottom"/>
            <w:tcBorders>
              <w:bottom w:val="single" w:sz="8" w:color="071D49"/>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tcPr>
          <w:p>
            <w:pPr>
              <w:spacing w:after="0"/>
              <w:rPr>
                <w:sz w:val="13"/>
                <w:szCs w:val="13"/>
                <w:color w:val="auto"/>
              </w:rPr>
            </w:pPr>
          </w:p>
        </w:tc>
        <w:tc>
          <w:tcPr>
            <w:tcW w:w="6960" w:type="dxa"/>
            <w:vAlign w:val="bottom"/>
          </w:tcPr>
          <w:p>
            <w:pPr>
              <w:ind w:left="140"/>
              <w:spacing w:after="0" w:line="155"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single trigger vesting of equity or other benefits in the event of a change in control</w:t>
            </w:r>
          </w:p>
        </w:tc>
        <w:tc>
          <w:tcPr>
            <w:tcW w:w="0" w:type="dxa"/>
            <w:vAlign w:val="bottom"/>
          </w:tcPr>
          <w:p>
            <w:pPr>
              <w:spacing w:after="0"/>
              <w:rPr>
                <w:sz w:val="1"/>
                <w:szCs w:val="1"/>
                <w:color w:val="auto"/>
              </w:rPr>
            </w:pPr>
          </w:p>
        </w:tc>
      </w:tr>
      <w:tr>
        <w:trPr>
          <w:trHeight w:val="200"/>
        </w:trPr>
        <w:tc>
          <w:tcPr>
            <w:tcW w:w="2080" w:type="dxa"/>
            <w:vAlign w:val="bottom"/>
            <w:tcBorders>
              <w:right w:val="single" w:sz="8" w:color="071D49"/>
            </w:tcBorders>
          </w:tcPr>
          <w:p>
            <w:pPr>
              <w:spacing w:after="0"/>
              <w:rPr>
                <w:sz w:val="17"/>
                <w:szCs w:val="17"/>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repricing of stock options without express stockholder approval</w:t>
            </w:r>
          </w:p>
        </w:tc>
        <w:tc>
          <w:tcPr>
            <w:tcW w:w="0" w:type="dxa"/>
            <w:vAlign w:val="bottom"/>
          </w:tcPr>
          <w:p>
            <w:pPr>
              <w:spacing w:after="0"/>
              <w:rPr>
                <w:sz w:val="1"/>
                <w:szCs w:val="1"/>
                <w:color w:val="auto"/>
              </w:rPr>
            </w:pPr>
          </w:p>
        </w:tc>
      </w:tr>
      <w:tr>
        <w:trPr>
          <w:trHeight w:val="245"/>
        </w:trPr>
        <w:tc>
          <w:tcPr>
            <w:tcW w:w="2080" w:type="dxa"/>
            <w:vAlign w:val="bottom"/>
            <w:tcBorders>
              <w:right w:val="single" w:sz="8" w:color="071D49"/>
            </w:tcBorders>
          </w:tcPr>
          <w:p>
            <w:pPr>
              <w:jc w:val="center"/>
              <w:spacing w:after="0"/>
              <w:rPr>
                <w:sz w:val="20"/>
                <w:szCs w:val="20"/>
                <w:color w:val="auto"/>
              </w:rPr>
            </w:pPr>
            <w:r>
              <w:rPr>
                <w:rFonts w:ascii="Arial" w:cs="Arial" w:eastAsia="Arial" w:hAnsi="Arial"/>
                <w:sz w:val="20"/>
                <w:szCs w:val="20"/>
                <w:color w:val="auto"/>
                <w:w w:val="99"/>
              </w:rPr>
              <w:t>Responsible Pay</w:t>
            </w: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tax gross-ups in executive compensation program</w:t>
            </w:r>
          </w:p>
        </w:tc>
        <w:tc>
          <w:tcPr>
            <w:tcW w:w="0" w:type="dxa"/>
            <w:vAlign w:val="bottom"/>
          </w:tcPr>
          <w:p>
            <w:pPr>
              <w:spacing w:after="0"/>
              <w:rPr>
                <w:sz w:val="1"/>
                <w:szCs w:val="1"/>
                <w:color w:val="auto"/>
              </w:rPr>
            </w:pPr>
          </w:p>
        </w:tc>
      </w:tr>
      <w:tr>
        <w:trPr>
          <w:trHeight w:val="155"/>
        </w:trPr>
        <w:tc>
          <w:tcPr>
            <w:tcW w:w="2080" w:type="dxa"/>
            <w:vAlign w:val="bottom"/>
            <w:tcBorders>
              <w:right w:val="single" w:sz="8" w:color="071D49"/>
            </w:tcBorders>
            <w:vMerge w:val="restart"/>
          </w:tcPr>
          <w:p>
            <w:pPr>
              <w:jc w:val="center"/>
              <w:spacing w:after="0"/>
              <w:rPr>
                <w:sz w:val="20"/>
                <w:szCs w:val="20"/>
                <w:color w:val="auto"/>
              </w:rPr>
            </w:pPr>
            <w:r>
              <w:rPr>
                <w:rFonts w:ascii="Arial" w:cs="Arial" w:eastAsia="Arial" w:hAnsi="Arial"/>
                <w:sz w:val="20"/>
                <w:szCs w:val="20"/>
                <w:color w:val="auto"/>
                <w:w w:val="99"/>
              </w:rPr>
              <w:t>Practices</w:t>
            </w:r>
          </w:p>
        </w:tc>
        <w:tc>
          <w:tcPr>
            <w:tcW w:w="6960" w:type="dxa"/>
            <w:vAlign w:val="bottom"/>
          </w:tcPr>
          <w:p>
            <w:pPr>
              <w:ind w:left="140"/>
              <w:spacing w:after="0" w:line="155"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employment contracts</w:t>
            </w:r>
          </w:p>
        </w:tc>
        <w:tc>
          <w:tcPr>
            <w:tcW w:w="0" w:type="dxa"/>
            <w:vAlign w:val="bottom"/>
          </w:tcPr>
          <w:p>
            <w:pPr>
              <w:spacing w:after="0"/>
              <w:rPr>
                <w:sz w:val="1"/>
                <w:szCs w:val="1"/>
                <w:color w:val="auto"/>
              </w:rPr>
            </w:pPr>
          </w:p>
        </w:tc>
      </w:tr>
      <w:tr>
        <w:trPr>
          <w:trHeight w:val="134"/>
        </w:trPr>
        <w:tc>
          <w:tcPr>
            <w:tcW w:w="2080" w:type="dxa"/>
            <w:vAlign w:val="bottom"/>
            <w:tcBorders>
              <w:right w:val="single" w:sz="8" w:color="071D49"/>
            </w:tcBorders>
            <w:vMerge w:val="continue"/>
          </w:tcPr>
          <w:p>
            <w:pPr>
              <w:spacing w:after="0"/>
              <w:rPr>
                <w:sz w:val="11"/>
                <w:szCs w:val="11"/>
                <w:color w:val="auto"/>
              </w:rPr>
            </w:pPr>
          </w:p>
        </w:tc>
        <w:tc>
          <w:tcPr>
            <w:tcW w:w="6960" w:type="dxa"/>
            <w:vAlign w:val="bottom"/>
            <w:vMerge w:val="restart"/>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guaranteed short-term incentives or equity awards</w:t>
            </w:r>
          </w:p>
        </w:tc>
        <w:tc>
          <w:tcPr>
            <w:tcW w:w="0" w:type="dxa"/>
            <w:vAlign w:val="bottom"/>
          </w:tcPr>
          <w:p>
            <w:pPr>
              <w:spacing w:after="0"/>
              <w:rPr>
                <w:sz w:val="1"/>
                <w:szCs w:val="1"/>
                <w:color w:val="auto"/>
              </w:rPr>
            </w:pPr>
          </w:p>
        </w:tc>
      </w:tr>
      <w:tr>
        <w:trPr>
          <w:trHeight w:val="66"/>
        </w:trPr>
        <w:tc>
          <w:tcPr>
            <w:tcW w:w="2080" w:type="dxa"/>
            <w:vAlign w:val="bottom"/>
            <w:tcBorders>
              <w:right w:val="single" w:sz="8" w:color="071D49"/>
            </w:tcBorders>
          </w:tcPr>
          <w:p>
            <w:pPr>
              <w:spacing w:after="0"/>
              <w:rPr>
                <w:sz w:val="5"/>
                <w:szCs w:val="5"/>
                <w:color w:val="auto"/>
              </w:rPr>
            </w:pPr>
          </w:p>
        </w:tc>
        <w:tc>
          <w:tcPr>
            <w:tcW w:w="6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80" w:type="dxa"/>
            <w:vAlign w:val="bottom"/>
            <w:tcBorders>
              <w:right w:val="single" w:sz="8" w:color="071D49"/>
            </w:tcBorders>
          </w:tcPr>
          <w:p>
            <w:pPr>
              <w:spacing w:after="0"/>
              <w:rPr>
                <w:sz w:val="23"/>
                <w:szCs w:val="23"/>
                <w:color w:val="auto"/>
              </w:rPr>
            </w:pPr>
          </w:p>
        </w:tc>
        <w:tc>
          <w:tcPr>
            <w:tcW w:w="6960" w:type="dxa"/>
            <w:vAlign w:val="bottom"/>
          </w:tcPr>
          <w:p>
            <w:pPr>
              <w:ind w:left="140"/>
              <w:spacing w:after="0" w:line="184" w:lineRule="exact"/>
              <w:rPr>
                <w:sz w:val="20"/>
                <w:szCs w:val="20"/>
                <w:color w:val="auto"/>
              </w:rPr>
            </w:pPr>
            <w:r>
              <w:rPr>
                <w:rFonts w:ascii="MS PGothic" w:cs="MS PGothic" w:eastAsia="MS PGothic" w:hAnsi="MS PGothic"/>
                <w:sz w:val="16"/>
                <w:szCs w:val="16"/>
                <w:color w:val="071D49"/>
              </w:rPr>
              <w:t>✓</w:t>
            </w:r>
            <w:r>
              <w:rPr>
                <w:rFonts w:ascii="Arial" w:cs="Arial" w:eastAsia="Arial" w:hAnsi="Arial"/>
                <w:sz w:val="16"/>
                <w:szCs w:val="16"/>
                <w:color w:val="auto"/>
              </w:rPr>
              <w:t xml:space="preserve"> No dividends paid on unearned performance awards</w:t>
            </w:r>
          </w:p>
        </w:tc>
        <w:tc>
          <w:tcPr>
            <w:tcW w:w="0" w:type="dxa"/>
            <w:vAlign w:val="bottom"/>
          </w:tcPr>
          <w:p>
            <w:pPr>
              <w:spacing w:after="0"/>
              <w:rPr>
                <w:sz w:val="1"/>
                <w:szCs w:val="1"/>
                <w:color w:val="auto"/>
              </w:rPr>
            </w:pPr>
          </w:p>
        </w:tc>
      </w:tr>
      <w:tr>
        <w:trPr>
          <w:trHeight w:val="78"/>
        </w:trPr>
        <w:tc>
          <w:tcPr>
            <w:tcW w:w="2080" w:type="dxa"/>
            <w:vAlign w:val="bottom"/>
            <w:tcBorders>
              <w:right w:val="single" w:sz="8" w:color="071D49"/>
            </w:tcBorders>
          </w:tcPr>
          <w:p>
            <w:pPr>
              <w:spacing w:after="0"/>
              <w:rPr>
                <w:sz w:val="6"/>
                <w:szCs w:val="6"/>
                <w:color w:val="auto"/>
              </w:rPr>
            </w:pPr>
          </w:p>
        </w:tc>
        <w:tc>
          <w:tcPr>
            <w:tcW w:w="69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71D49"/>
        </w:rPr>
        <w:t>Components of our Executive Compensation Program</w:t>
      </w:r>
    </w:p>
    <w:p>
      <w:pPr>
        <w:spacing w:after="0" w:line="167" w:lineRule="exact"/>
        <w:rPr>
          <w:sz w:val="20"/>
          <w:szCs w:val="20"/>
          <w:color w:val="auto"/>
        </w:rPr>
      </w:pPr>
    </w:p>
    <w:p>
      <w:pPr>
        <w:ind w:left="80" w:right="220"/>
        <w:spacing w:after="0"/>
        <w:rPr>
          <w:sz w:val="20"/>
          <w:szCs w:val="20"/>
          <w:color w:val="auto"/>
        </w:rPr>
      </w:pPr>
      <w:r>
        <w:rPr>
          <w:rFonts w:ascii="Arial" w:cs="Arial" w:eastAsia="Arial" w:hAnsi="Arial"/>
          <w:sz w:val="17"/>
          <w:szCs w:val="17"/>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annual compensation program are listed below.</w:t>
      </w:r>
    </w:p>
    <w:p>
      <w:pPr>
        <w:sectPr>
          <w:pgSz w:w="11900" w:h="16838" w:orient="portrait"/>
          <w:cols w:equalWidth="0" w:num="1">
            <w:col w:w="9220"/>
          </w:cols>
          <w:pgMar w:left="1320" w:top="486" w:right="1359" w:bottom="1440" w:gutter="0" w:footer="0" w:header="0"/>
        </w:sectPr>
      </w:pPr>
    </w:p>
    <w:p>
      <w:pPr>
        <w:spacing w:after="0" w:line="247"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071D49"/>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1517650" cy="2145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650" cy="2145030"/>
                    </a:xfrm>
                    <a:prstGeom prst="rect">
                      <a:avLst/>
                    </a:prstGeom>
                    <a:noFill/>
                  </pic:spPr>
                </pic:pic>
              </a:graphicData>
            </a:graphic>
          </wp:anchor>
        </w:drawing>
      </w:r>
    </w:p>
    <w:p>
      <w:pPr>
        <w:spacing w:after="0" w:line="89" w:lineRule="exact"/>
        <w:rPr>
          <w:sz w:val="20"/>
          <w:szCs w:val="20"/>
          <w:color w:val="auto"/>
        </w:rPr>
      </w:pPr>
    </w:p>
    <w:p>
      <w:pPr>
        <w:jc w:val="both"/>
        <w:ind w:left="80" w:right="20"/>
        <w:spacing w:after="0" w:line="288" w:lineRule="auto"/>
        <w:rPr>
          <w:sz w:val="20"/>
          <w:szCs w:val="20"/>
          <w:color w:val="auto"/>
        </w:rPr>
      </w:pPr>
      <w:r>
        <w:rPr>
          <w:rFonts w:ascii="Arial" w:cs="Arial" w:eastAsia="Arial" w:hAnsi="Arial"/>
          <w:sz w:val="14"/>
          <w:szCs w:val="14"/>
          <w:color w:val="auto"/>
        </w:rPr>
        <w:t>Designed to be competitive with market and industry norms, and to reflect individual performance</w:t>
      </w:r>
    </w:p>
    <w:p>
      <w:pPr>
        <w:spacing w:after="0" w:line="46" w:lineRule="exact"/>
        <w:rPr>
          <w:sz w:val="20"/>
          <w:szCs w:val="20"/>
          <w:color w:val="auto"/>
        </w:rPr>
      </w:pPr>
    </w:p>
    <w:p>
      <w:pPr>
        <w:ind w:left="80"/>
        <w:spacing w:after="0" w:line="270" w:lineRule="auto"/>
        <w:rPr>
          <w:sz w:val="20"/>
          <w:szCs w:val="20"/>
          <w:color w:val="auto"/>
        </w:rPr>
      </w:pPr>
      <w:r>
        <w:rPr>
          <w:rFonts w:ascii="Arial" w:cs="Arial" w:eastAsia="Arial" w:hAnsi="Arial"/>
          <w:sz w:val="14"/>
          <w:szCs w:val="14"/>
          <w:color w:val="auto"/>
        </w:rPr>
        <w:t>Individual salaries are established relative to market median based on each NEO’s individual performance, skills, and experience, and internal equity, as well as the company’s annual operating budget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-144780</wp:posOffset>
            </wp:positionV>
            <wp:extent cx="1366520" cy="21450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66520" cy="21450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71D49"/>
        </w:rPr>
        <w:t>Incentives</w:t>
      </w:r>
    </w:p>
    <w:p>
      <w:pPr>
        <w:spacing w:after="0" w:line="89" w:lineRule="exact"/>
        <w:rPr>
          <w:sz w:val="20"/>
          <w:szCs w:val="20"/>
          <w:color w:val="auto"/>
        </w:rPr>
      </w:pPr>
    </w:p>
    <w:p>
      <w:pPr>
        <w:ind w:right="300"/>
        <w:spacing w:after="0" w:line="265" w:lineRule="auto"/>
        <w:rPr>
          <w:sz w:val="20"/>
          <w:szCs w:val="20"/>
          <w:color w:val="auto"/>
        </w:rPr>
      </w:pPr>
      <w:r>
        <w:rPr>
          <w:rFonts w:ascii="Arial" w:cs="Arial" w:eastAsia="Arial" w:hAnsi="Arial"/>
          <w:sz w:val="15"/>
          <w:szCs w:val="15"/>
          <w:b w:val="1"/>
          <w:bCs w:val="1"/>
          <w:color w:val="auto"/>
        </w:rPr>
        <w:t>Performance Incentive Plan (PIP)</w:t>
      </w:r>
    </w:p>
    <w:p>
      <w:pPr>
        <w:spacing w:after="0" w:line="257" w:lineRule="auto"/>
        <w:rPr>
          <w:sz w:val="20"/>
          <w:szCs w:val="20"/>
          <w:color w:val="auto"/>
        </w:rPr>
      </w:pPr>
      <w:r>
        <w:rPr>
          <w:rFonts w:ascii="Arial" w:cs="Arial" w:eastAsia="Arial" w:hAnsi="Arial"/>
          <w:sz w:val="15"/>
          <w:szCs w:val="15"/>
          <w:color w:val="auto"/>
        </w:rPr>
        <w:t>Based on non-GAAP performance measures such as: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 Platform revenue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Income before taxes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 Operating margin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Return on assets</w:t>
      </w:r>
    </w:p>
    <w:p>
      <w:pPr>
        <w:spacing w:after="0" w:line="40"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 Strategic and leadership goals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-144780</wp:posOffset>
            </wp:positionV>
            <wp:extent cx="1207770" cy="2145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7770" cy="21450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071D49"/>
        </w:rPr>
        <w:t>Incentives</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color w:val="auto"/>
        </w:rPr>
        <w:t xml:space="preserve">80% </w:t>
      </w:r>
      <w:r>
        <w:rPr>
          <w:rFonts w:ascii="Arial" w:cs="Arial" w:eastAsia="Arial" w:hAnsi="Arial"/>
          <w:sz w:val="14"/>
          <w:szCs w:val="14"/>
          <w:color w:val="auto"/>
        </w:rPr>
        <w:t>Performance shares</w:t>
      </w:r>
      <w:r>
        <w:rPr>
          <w:rFonts w:ascii="Arial" w:cs="Arial" w:eastAsia="Arial" w:hAnsi="Arial"/>
          <w:sz w:val="14"/>
          <w:szCs w:val="14"/>
          <w:b w:val="1"/>
          <w:bCs w:val="1"/>
          <w:color w:val="auto"/>
        </w:rPr>
        <w:t xml:space="preserve"> </w:t>
      </w:r>
      <w:r>
        <w:rPr>
          <w:rFonts w:ascii="Arial" w:cs="Arial" w:eastAsia="Arial" w:hAnsi="Arial"/>
          <w:sz w:val="14"/>
          <w:szCs w:val="14"/>
          <w:color w:val="auto"/>
        </w:rPr>
        <w:t>and performance-vested restricted stock units</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5"/>
          <w:szCs w:val="15"/>
          <w:b w:val="1"/>
          <w:bCs w:val="1"/>
          <w:color w:val="auto"/>
        </w:rPr>
        <w:t xml:space="preserve">20% </w:t>
      </w:r>
      <w:r>
        <w:rPr>
          <w:rFonts w:ascii="Arial" w:cs="Arial" w:eastAsia="Arial" w:hAnsi="Arial"/>
          <w:sz w:val="15"/>
          <w:szCs w:val="15"/>
          <w:color w:val="auto"/>
        </w:rPr>
        <w:t>Non-qualified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options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280"/>
        <w:spacing w:after="0" w:line="309" w:lineRule="auto"/>
        <w:rPr>
          <w:sz w:val="20"/>
          <w:szCs w:val="20"/>
          <w:color w:val="auto"/>
        </w:rPr>
      </w:pPr>
      <w:r>
        <w:rPr>
          <w:rFonts w:ascii="Arial" w:cs="Arial" w:eastAsia="Arial" w:hAnsi="Arial"/>
          <w:sz w:val="19"/>
          <w:szCs w:val="19"/>
          <w:b w:val="1"/>
          <w:bCs w:val="1"/>
          <w:color w:val="auto"/>
        </w:rPr>
        <w:t>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-419735</wp:posOffset>
            </wp:positionV>
            <wp:extent cx="1461770" cy="2145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61770" cy="2145030"/>
                    </a:xfrm>
                    <a:prstGeom prst="rect">
                      <a:avLst/>
                    </a:prstGeom>
                    <a:noFill/>
                  </pic:spPr>
                </pic:pic>
              </a:graphicData>
            </a:graphic>
          </wp:anchor>
        </w:drawing>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Align executive interests </w:t>
      </w:r>
      <w:r>
        <w:rPr>
          <w:rFonts w:ascii="Arial" w:cs="Arial" w:eastAsia="Arial" w:hAnsi="Arial"/>
          <w:sz w:val="15"/>
          <w:szCs w:val="15"/>
          <w:color w:val="auto"/>
        </w:rPr>
        <w:t>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drivers of stockholder returns and profitable growth</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 xml:space="preserve">Support achievement of the company’s </w:t>
      </w:r>
      <w:r>
        <w:rPr>
          <w:rFonts w:ascii="Arial" w:cs="Arial" w:eastAsia="Arial" w:hAnsi="Arial"/>
          <w:sz w:val="14"/>
          <w:szCs w:val="14"/>
          <w:b w:val="1"/>
          <w:bCs w:val="1"/>
          <w:color w:val="auto"/>
        </w:rPr>
        <w:t>primary business</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goals </w:t>
      </w:r>
      <w:r>
        <w:rPr>
          <w:rFonts w:ascii="Arial" w:cs="Arial" w:eastAsia="Arial" w:hAnsi="Arial"/>
          <w:sz w:val="14"/>
          <w:szCs w:val="14"/>
          <w:color w:val="auto"/>
        </w:rPr>
        <w:t>to have a remarkable</w:t>
      </w:r>
      <w:r>
        <w:rPr>
          <w:rFonts w:ascii="Arial" w:cs="Arial" w:eastAsia="Arial" w:hAnsi="Arial"/>
          <w:sz w:val="14"/>
          <w:szCs w:val="14"/>
          <w:b w:val="1"/>
          <w:bCs w:val="1"/>
          <w:color w:val="auto"/>
        </w:rPr>
        <w:t xml:space="preserve"> </w:t>
      </w:r>
      <w:r>
        <w:rPr>
          <w:rFonts w:ascii="Arial" w:cs="Arial" w:eastAsia="Arial" w:hAnsi="Arial"/>
          <w:sz w:val="14"/>
          <w:szCs w:val="14"/>
          <w:color w:val="auto"/>
        </w:rPr>
        <w:t>impact on patients’ lives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b w:val="1"/>
          <w:bCs w:val="1"/>
          <w:color w:val="auto"/>
        </w:rPr>
        <w:t xml:space="preserve">Attract and retain world-class executives </w:t>
      </w:r>
      <w:r>
        <w:rPr>
          <w:rFonts w:ascii="Arial" w:cs="Arial" w:eastAsia="Arial" w:hAnsi="Arial"/>
          <w:sz w:val="15"/>
          <w:szCs w:val="15"/>
          <w:color w:val="auto"/>
        </w:rPr>
        <w:t>whose</w:t>
      </w:r>
      <w:r>
        <w:rPr>
          <w:rFonts w:ascii="Arial" w:cs="Arial" w:eastAsia="Arial" w:hAnsi="Arial"/>
          <w:sz w:val="15"/>
          <w:szCs w:val="15"/>
          <w:b w:val="1"/>
          <w:bCs w:val="1"/>
          <w:color w:val="auto"/>
        </w:rPr>
        <w:t xml:space="preserve"> </w:t>
      </w:r>
      <w:r>
        <w:rPr>
          <w:rFonts w:ascii="Arial" w:cs="Arial" w:eastAsia="Arial" w:hAnsi="Arial"/>
          <w:sz w:val="15"/>
          <w:szCs w:val="15"/>
          <w:color w:val="auto"/>
        </w:rPr>
        <w:t>talents and contributions sustain the growth in long-term stockholder value</w:t>
      </w:r>
    </w:p>
    <w:p>
      <w:pPr>
        <w:spacing w:after="0" w:line="200" w:lineRule="exact"/>
        <w:rPr>
          <w:sz w:val="20"/>
          <w:szCs w:val="20"/>
          <w:color w:val="auto"/>
        </w:rPr>
      </w:pPr>
    </w:p>
    <w:p>
      <w:pPr>
        <w:sectPr>
          <w:pgSz w:w="11900" w:h="16838" w:orient="portrait"/>
          <w:cols w:equalWidth="0" w:num="4">
            <w:col w:w="2220" w:space="460"/>
            <w:col w:w="1900" w:space="440"/>
            <w:col w:w="1680" w:space="440"/>
            <w:col w:w="2080"/>
          </w:cols>
          <w:pgMar w:left="1320" w:top="486" w:right="1359" w:bottom="1440" w:gutter="0" w:footer="0" w:header="0"/>
          <w:type w:val="continuous"/>
        </w:sectPr>
      </w:pPr>
    </w:p>
    <w:p>
      <w:pPr>
        <w:spacing w:after="0" w:line="53"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The compensation committee is dedicated to ensuring that a substantial portion of executive compensation is “at-risk” and variable. Generally, more than three-fourths of our NEOs’ total direct compensation is variable and directly affected by both the company’s and the NEO’s performance,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5339080" cy="1509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3908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committee believes the use of non-GAAP metrics to measure company performance for incentive plan purposes is appropriate. The use of certain non-GAAP metrics aligns NEOs to performance objectives that are commonly used to evaluate the performance of the company, provide accountability, and avoid inappropriate windfalls or penalties due to factors outside of their control. Importantly, both the goals and the financial performance are presented on a consistent non-GAAP basis.</w:t>
      </w:r>
    </w:p>
    <w:p>
      <w:pPr>
        <w:spacing w:after="0" w:line="200" w:lineRule="exact"/>
        <w:rPr>
          <w:sz w:val="20"/>
          <w:szCs w:val="20"/>
          <w:color w:val="auto"/>
        </w:rPr>
      </w:pPr>
    </w:p>
    <w:p>
      <w:pPr>
        <w:spacing w:after="0" w:line="261"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40</w:t>
      </w:r>
      <w:r>
        <w:rPr>
          <w:sz w:val="20"/>
          <w:szCs w:val="20"/>
          <w:color w:val="auto"/>
        </w:rPr>
        <w:tab/>
      </w:r>
      <w:r>
        <w:rPr>
          <w:sz w:val="1"/>
          <w:szCs w:val="1"/>
          <w:color w:val="auto"/>
        </w:rPr>
        <w:drawing>
          <wp:inline distT="0" distB="0" distL="0" distR="0">
            <wp:extent cx="810260" cy="15113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20"/>
          </w:cols>
          <w:pgMar w:left="1320" w:top="486" w:right="135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Executive Compensation Process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COMMITMENT TO PERFORMANCE-BASED AWARDS</w:t>
      </w:r>
    </w:p>
    <w:p>
      <w:pPr>
        <w:spacing w:after="0" w:line="92" w:lineRule="exact"/>
        <w:rPr>
          <w:sz w:val="20"/>
          <w:szCs w:val="20"/>
          <w:color w:val="auto"/>
        </w:rPr>
      </w:pPr>
    </w:p>
    <w:p>
      <w:pPr>
        <w:ind w:left="20"/>
        <w:spacing w:after="0" w:line="236" w:lineRule="auto"/>
        <w:rPr>
          <w:sz w:val="20"/>
          <w:szCs w:val="20"/>
          <w:color w:val="auto"/>
        </w:rPr>
      </w:pPr>
      <w:r>
        <w:rPr>
          <w:rFonts w:ascii="Arial" w:cs="Arial" w:eastAsia="Arial" w:hAnsi="Arial"/>
          <w:sz w:val="17"/>
          <w:szCs w:val="17"/>
          <w:color w:val="auto"/>
        </w:rPr>
        <w:t>As discussed above, the majority of AbbVie’s NEO pay is performance-based. Specific goals and targets are the foundation of our pay-for-performance process.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follows.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COMMITTEE PROCESS FOR SETTING TOTAL COMPENSATION</w:t>
      </w:r>
    </w:p>
    <w:p>
      <w:pPr>
        <w:spacing w:after="0" w:line="155" w:lineRule="exact"/>
        <w:rPr>
          <w:sz w:val="20"/>
          <w:szCs w:val="20"/>
          <w:color w:val="auto"/>
        </w:rPr>
      </w:pPr>
    </w:p>
    <w:p>
      <w:pPr>
        <w:ind w:left="20" w:right="180"/>
        <w:spacing w:after="0" w:line="252" w:lineRule="auto"/>
        <w:rPr>
          <w:sz w:val="20"/>
          <w:szCs w:val="20"/>
          <w:color w:val="auto"/>
        </w:rPr>
      </w:pPr>
      <w:r>
        <w:rPr>
          <w:rFonts w:ascii="Arial" w:cs="Arial" w:eastAsia="Arial" w:hAnsi="Arial"/>
          <w:sz w:val="16"/>
          <w:szCs w:val="16"/>
          <w:color w:val="auto"/>
        </w:rPr>
        <w:t>Each February, the committee, with the assistance of its independent compensation consultant and AbbVie’s management team, determines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compensation levels based on company performance, each NEO’s individual performance, leadership, and contributions to AbbVie’s business and strategic performance.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COMPENSATION BENCHMARKING</w:t>
      </w:r>
    </w:p>
    <w:p>
      <w:pPr>
        <w:spacing w:after="0" w:line="167" w:lineRule="exact"/>
        <w:rPr>
          <w:sz w:val="20"/>
          <w:szCs w:val="20"/>
          <w:color w:val="auto"/>
        </w:rPr>
      </w:pPr>
    </w:p>
    <w:p>
      <w:pPr>
        <w:ind w:left="20" w:right="60"/>
        <w:spacing w:after="0" w:line="237" w:lineRule="auto"/>
        <w:rPr>
          <w:sz w:val="20"/>
          <w:szCs w:val="20"/>
          <w:color w:val="auto"/>
        </w:rPr>
      </w:pPr>
      <w:r>
        <w:rPr>
          <w:rFonts w:ascii="Arial" w:cs="Arial" w:eastAsia="Arial" w:hAnsi="Arial"/>
          <w:sz w:val="17"/>
          <w:szCs w:val="17"/>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156"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071D49"/>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-120650</wp:posOffset>
            </wp:positionV>
            <wp:extent cx="2939415" cy="135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39415" cy="135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7"/>
          <w:szCs w:val="17"/>
          <w:color w:val="auto"/>
        </w:rPr>
        <w:t>Amgen, Inc.</w:t>
      </w:r>
    </w:p>
    <w:p>
      <w:pPr>
        <w:ind w:left="2380"/>
        <w:spacing w:after="0" w:line="230" w:lineRule="auto"/>
        <w:rPr>
          <w:sz w:val="20"/>
          <w:szCs w:val="20"/>
          <w:color w:val="auto"/>
        </w:rPr>
      </w:pPr>
      <w:r>
        <w:rPr>
          <w:rFonts w:ascii="Arial" w:cs="Arial" w:eastAsia="Arial" w:hAnsi="Arial"/>
          <w:sz w:val="17"/>
          <w:szCs w:val="17"/>
          <w:color w:val="auto"/>
        </w:rPr>
        <w:t>Bristol-Myers Squibb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-118110</wp:posOffset>
            </wp:positionV>
            <wp:extent cx="2939415" cy="1193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80"/>
        <w:spacing w:after="0" w:line="230" w:lineRule="auto"/>
        <w:rPr>
          <w:sz w:val="20"/>
          <w:szCs w:val="20"/>
          <w:color w:val="auto"/>
        </w:rPr>
      </w:pPr>
      <w:r>
        <w:rPr>
          <w:rFonts w:ascii="Arial" w:cs="Arial" w:eastAsia="Arial" w:hAnsi="Arial"/>
          <w:sz w:val="17"/>
          <w:szCs w:val="17"/>
          <w:color w:val="auto"/>
        </w:rPr>
        <w:t>Eli Lilly and Company</w:t>
      </w:r>
    </w:p>
    <w:p>
      <w:pPr>
        <w:ind w:left="2380"/>
        <w:spacing w:after="0" w:line="231" w:lineRule="auto"/>
        <w:rPr>
          <w:sz w:val="20"/>
          <w:szCs w:val="20"/>
          <w:color w:val="auto"/>
        </w:rPr>
      </w:pPr>
      <w:r>
        <w:rPr>
          <w:rFonts w:ascii="Arial" w:cs="Arial" w:eastAsia="Arial" w:hAnsi="Arial"/>
          <w:sz w:val="17"/>
          <w:szCs w:val="17"/>
          <w:color w:val="auto"/>
        </w:rPr>
        <w:t>Gilead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-118110</wp:posOffset>
            </wp:positionV>
            <wp:extent cx="2939415" cy="1193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80"/>
        <w:spacing w:after="0" w:line="230" w:lineRule="auto"/>
        <w:rPr>
          <w:sz w:val="20"/>
          <w:szCs w:val="20"/>
          <w:color w:val="auto"/>
        </w:rPr>
      </w:pPr>
      <w:r>
        <w:rPr>
          <w:rFonts w:ascii="Arial" w:cs="Arial" w:eastAsia="Arial" w:hAnsi="Arial"/>
          <w:sz w:val="17"/>
          <w:szCs w:val="17"/>
          <w:color w:val="auto"/>
        </w:rPr>
        <w:t>GlaxoSmithKline plc</w:t>
      </w:r>
    </w:p>
    <w:p>
      <w:pPr>
        <w:ind w:left="2380"/>
        <w:spacing w:after="0" w:line="231" w:lineRule="auto"/>
        <w:rPr>
          <w:sz w:val="20"/>
          <w:szCs w:val="20"/>
          <w:color w:val="auto"/>
        </w:rPr>
      </w:pPr>
      <w:r>
        <w:rPr>
          <w:rFonts w:ascii="Arial" w:cs="Arial" w:eastAsia="Arial" w:hAnsi="Arial"/>
          <w:sz w:val="17"/>
          <w:szCs w:val="17"/>
          <w:color w:val="auto"/>
        </w:rPr>
        <w:t>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-118110</wp:posOffset>
            </wp:positionV>
            <wp:extent cx="2939415" cy="1193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80"/>
        <w:spacing w:after="0" w:line="230" w:lineRule="auto"/>
        <w:rPr>
          <w:sz w:val="20"/>
          <w:szCs w:val="20"/>
          <w:color w:val="auto"/>
        </w:rPr>
      </w:pPr>
      <w:r>
        <w:rPr>
          <w:rFonts w:ascii="Arial" w:cs="Arial" w:eastAsia="Arial" w:hAnsi="Arial"/>
          <w:sz w:val="17"/>
          <w:szCs w:val="17"/>
          <w:color w:val="auto"/>
        </w:rPr>
        <w:t>Merck &amp; Company, Inc.</w:t>
      </w:r>
    </w:p>
    <w:p>
      <w:pPr>
        <w:ind w:left="2380"/>
        <w:spacing w:after="0" w:line="230" w:lineRule="auto"/>
        <w:rPr>
          <w:sz w:val="20"/>
          <w:szCs w:val="20"/>
          <w:color w:val="auto"/>
        </w:rPr>
      </w:pPr>
      <w:r>
        <w:rPr>
          <w:rFonts w:ascii="Arial" w:cs="Arial" w:eastAsia="Arial" w:hAnsi="Arial"/>
          <w:sz w:val="17"/>
          <w:szCs w:val="17"/>
          <w:color w:val="auto"/>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-117475</wp:posOffset>
            </wp:positionV>
            <wp:extent cx="2939415" cy="1193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7"/>
          <w:szCs w:val="17"/>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1483360</wp:posOffset>
            </wp:positionH>
            <wp:positionV relativeFrom="paragraph">
              <wp:posOffset>-3810</wp:posOffset>
            </wp:positionV>
            <wp:extent cx="29394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39415" cy="82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ROLE OF THE COMPENSATION CONSULTANT</w:t>
      </w:r>
    </w:p>
    <w:p>
      <w:pPr>
        <w:spacing w:after="0" w:line="192"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The compensation committee has engaged Semler Brossy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In partnership with the consultant, the committee determines what variables it will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RISK OVERSIGHT</w:t>
      </w:r>
    </w:p>
    <w:p>
      <w:pPr>
        <w:spacing w:after="0" w:line="192" w:lineRule="exact"/>
        <w:rPr>
          <w:sz w:val="20"/>
          <w:szCs w:val="20"/>
          <w:color w:val="auto"/>
        </w:rPr>
      </w:pPr>
    </w:p>
    <w:p>
      <w:pPr>
        <w:ind w:right="280"/>
        <w:spacing w:after="0" w:line="236" w:lineRule="auto"/>
        <w:rPr>
          <w:sz w:val="20"/>
          <w:szCs w:val="20"/>
          <w:color w:val="auto"/>
        </w:rPr>
      </w:pPr>
      <w:r>
        <w:rPr>
          <w:rFonts w:ascii="Arial" w:cs="Arial" w:eastAsia="Arial" w:hAnsi="Arial"/>
          <w:sz w:val="17"/>
          <w:szCs w:val="17"/>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event of misconduct that would constitute a material breach of the AbbVie Code of Business Conduct. The company’s clawback policy also requires recoupment of excess compensation in the event earnings are subsequently restated. The committee, in collaboration with its independent compensation consultant, identified no material risks in AbbVie’s compensation programs in 2023.</w:t>
      </w:r>
    </w:p>
    <w:p>
      <w:pPr>
        <w:spacing w:after="0" w:line="16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When considering compensation-related risk, the committee is aware of certain risks associated with drug pricing decisions. The committee weighs these, as well as other risks material to the company, when designing AbbVie’s compensation programs. In addition, the committee, comprised entirely of independent directors, has discretion to adjust incentive payments, if needed, including to reflect decisions executives make that may impact AbbVie’s reputation and long-term sustainability.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071D49"/>
        </w:rPr>
        <w:t>Compensation Plan Elements</w:t>
      </w:r>
    </w:p>
    <w:p>
      <w:pPr>
        <w:spacing w:after="0" w:line="205"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color w:val="auto"/>
        </w:rPr>
        <w:t>As referenced on page 40, three primary components make up AbbVie’s executive pay program: (1) base salary, (2) short-term incentives and (3) long-term incentives. The structure of each component is tailored to serve a specific function and purpose.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their market benchmark based on the NEO’s performance, experience, unique skills, internal equity with others at AbbVie, and the company’s operating budget.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INCENTIVES AND 2023 RESULTS</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This section describes the structure of our short-term incentive program for NEOs and provides further details about the ways the committee’s pay decisions in 2023 reflected the impact of U.S. Humira LOE, both in terms of the headwinds it created for our growth objectives as well as our significant efforts to minimize its effect, as evidenced by our strong execution against targets.</w:t>
      </w:r>
    </w:p>
    <w:p>
      <w:pPr>
        <w:spacing w:after="0" w:line="16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Annual cash incentives are paid to NEOs through AbbVie’s Performance Incentive Plan (PIP), which rewards executives for achieving key financial and non-financial goals measured at the company and individual levels. AbbVie’s PIP structure is designed to align NEOs’ interests directly with AbbVie’s annual operating strategies to advance our mission, financial goals, and leadership behaviors. In doing so, it provides a direct link between the NEOs’ short-term incentives and the company’s and the NEOs’ annual performance results through measurable financial and operational performance followed by qualitative assessments of clearly defined strategic progress and leadership behaviors.</w:t>
      </w:r>
    </w:p>
    <w:p>
      <w:pPr>
        <w:spacing w:after="0" w:line="168"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color w:val="auto"/>
        </w:rPr>
        <w:t>NEO target incentive amounts are set as a percentage of base salary. Mr. Gonzalez’s target is 165% of base salary. The targets for the other NEOs range from 110% to 135% of base salary.</w:t>
      </w:r>
    </w:p>
    <w:p>
      <w:pPr>
        <w:spacing w:after="0" w:line="150"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The performance targets established under our annual incentive plan are rigorous and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were carried by all of the NEOs as part of their 2023 performance goals.</w:t>
      </w:r>
    </w:p>
    <w:p>
      <w:pPr>
        <w:spacing w:after="0" w:line="200" w:lineRule="exact"/>
        <w:rPr>
          <w:sz w:val="20"/>
          <w:szCs w:val="20"/>
          <w:color w:val="auto"/>
        </w:rPr>
      </w:pPr>
    </w:p>
    <w:p>
      <w:pPr>
        <w:spacing w:after="0" w:line="361"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42</w:t>
      </w:r>
      <w:r>
        <w:rPr>
          <w:sz w:val="20"/>
          <w:szCs w:val="20"/>
          <w:color w:val="auto"/>
        </w:rPr>
        <w:tab/>
      </w:r>
      <w:r>
        <w:rPr>
          <w:sz w:val="1"/>
          <w:szCs w:val="1"/>
          <w:color w:val="auto"/>
        </w:rPr>
        <w:drawing>
          <wp:inline distT="0" distB="0" distL="0" distR="0">
            <wp:extent cx="810260" cy="15113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bookmarkStart w:id="45" w:name="page46"/>
    <w:bookmarkEnd w:id="4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right="100"/>
        <w:spacing w:after="0" w:line="246" w:lineRule="auto"/>
        <w:rPr>
          <w:sz w:val="20"/>
          <w:szCs w:val="20"/>
          <w:color w:val="auto"/>
        </w:rPr>
      </w:pPr>
      <w:r>
        <w:rPr>
          <w:rFonts w:ascii="Arial" w:cs="Arial" w:eastAsia="Arial" w:hAnsi="Arial"/>
          <w:sz w:val="17"/>
          <w:szCs w:val="17"/>
          <w:color w:val="auto"/>
        </w:rPr>
        <w:t>The short-term incentive goals and their respective weightings are summarized in the chart below. The specific goals and weightings for each NEO (including the CEO) are established at the start of each performance year based on the NEO’s role and anticipated contributions to the company’s annual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00" w:type="dxa"/>
            <w:vAlign w:val="bottom"/>
          </w:tcPr>
          <w:p>
            <w:pPr>
              <w:jc w:val="right"/>
              <w:ind w:right="249"/>
              <w:spacing w:after="0"/>
              <w:rPr>
                <w:sz w:val="20"/>
                <w:szCs w:val="20"/>
                <w:color w:val="auto"/>
              </w:rPr>
            </w:pPr>
            <w:r>
              <w:rPr>
                <w:rFonts w:ascii="Arial" w:cs="Arial" w:eastAsia="Arial" w:hAnsi="Arial"/>
                <w:sz w:val="13"/>
                <w:szCs w:val="13"/>
                <w:b w:val="1"/>
                <w:bCs w:val="1"/>
                <w:color w:val="071D49"/>
              </w:rPr>
              <w:t>Platform Revenue,</w:t>
            </w: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0"/>
        </w:trPr>
        <w:tc>
          <w:tcPr>
            <w:tcW w:w="1940" w:type="dxa"/>
            <w:vAlign w:val="bottom"/>
          </w:tcPr>
          <w:p>
            <w:pPr>
              <w:spacing w:after="0"/>
              <w:rPr>
                <w:sz w:val="13"/>
                <w:szCs w:val="13"/>
                <w:color w:val="auto"/>
              </w:rPr>
            </w:pPr>
          </w:p>
        </w:tc>
        <w:tc>
          <w:tcPr>
            <w:tcW w:w="1340" w:type="dxa"/>
            <w:vAlign w:val="bottom"/>
          </w:tcPr>
          <w:p>
            <w:pPr>
              <w:jc w:val="right"/>
              <w:ind w:right="288"/>
              <w:spacing w:after="0"/>
              <w:rPr>
                <w:sz w:val="20"/>
                <w:szCs w:val="20"/>
                <w:color w:val="auto"/>
              </w:rPr>
            </w:pPr>
            <w:r>
              <w:rPr>
                <w:rFonts w:ascii="Arial" w:cs="Arial" w:eastAsia="Arial" w:hAnsi="Arial"/>
                <w:sz w:val="13"/>
                <w:szCs w:val="13"/>
                <w:b w:val="1"/>
                <w:bCs w:val="1"/>
                <w:color w:val="071D49"/>
              </w:rPr>
              <w:t>Income</w:t>
            </w:r>
          </w:p>
        </w:tc>
        <w:tc>
          <w:tcPr>
            <w:tcW w:w="1700" w:type="dxa"/>
            <w:vAlign w:val="bottom"/>
          </w:tcPr>
          <w:p>
            <w:pPr>
              <w:jc w:val="right"/>
              <w:ind w:right="249"/>
              <w:spacing w:after="0"/>
              <w:rPr>
                <w:sz w:val="20"/>
                <w:szCs w:val="20"/>
                <w:color w:val="auto"/>
              </w:rPr>
            </w:pPr>
            <w:r>
              <w:rPr>
                <w:rFonts w:ascii="Arial" w:cs="Arial" w:eastAsia="Arial" w:hAnsi="Arial"/>
                <w:sz w:val="13"/>
                <w:szCs w:val="13"/>
                <w:b w:val="1"/>
                <w:bCs w:val="1"/>
                <w:color w:val="071D49"/>
              </w:rPr>
              <w:t>Operating Margin,</w:t>
            </w: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1940" w:type="dxa"/>
            <w:vAlign w:val="bottom"/>
          </w:tcPr>
          <w:p>
            <w:pPr>
              <w:spacing w:after="0"/>
              <w:rPr>
                <w:sz w:val="11"/>
                <w:szCs w:val="11"/>
                <w:color w:val="auto"/>
              </w:rPr>
            </w:pPr>
          </w:p>
        </w:tc>
        <w:tc>
          <w:tcPr>
            <w:tcW w:w="1340" w:type="dxa"/>
            <w:vAlign w:val="bottom"/>
          </w:tcPr>
          <w:p>
            <w:pPr>
              <w:jc w:val="right"/>
              <w:ind w:right="288"/>
              <w:spacing w:after="0" w:line="135" w:lineRule="exact"/>
              <w:rPr>
                <w:sz w:val="20"/>
                <w:szCs w:val="20"/>
                <w:color w:val="auto"/>
              </w:rPr>
            </w:pPr>
            <w:r>
              <w:rPr>
                <w:rFonts w:ascii="Arial" w:cs="Arial" w:eastAsia="Arial" w:hAnsi="Arial"/>
                <w:sz w:val="13"/>
                <w:szCs w:val="13"/>
                <w:b w:val="1"/>
                <w:bCs w:val="1"/>
                <w:color w:val="071D49"/>
              </w:rPr>
              <w:t>Before</w:t>
            </w:r>
          </w:p>
        </w:tc>
        <w:tc>
          <w:tcPr>
            <w:tcW w:w="1700" w:type="dxa"/>
            <w:vAlign w:val="bottom"/>
          </w:tcPr>
          <w:p>
            <w:pPr>
              <w:jc w:val="right"/>
              <w:ind w:right="249"/>
              <w:spacing w:after="0" w:line="135" w:lineRule="exact"/>
              <w:rPr>
                <w:sz w:val="20"/>
                <w:szCs w:val="20"/>
                <w:color w:val="auto"/>
              </w:rPr>
            </w:pPr>
            <w:r>
              <w:rPr>
                <w:rFonts w:ascii="Arial" w:cs="Arial" w:eastAsia="Arial" w:hAnsi="Arial"/>
                <w:sz w:val="13"/>
                <w:szCs w:val="13"/>
                <w:b w:val="1"/>
                <w:bCs w:val="1"/>
                <w:color w:val="071D49"/>
              </w:rPr>
              <w:t>and Return on</w:t>
            </w:r>
          </w:p>
        </w:tc>
        <w:tc>
          <w:tcPr>
            <w:tcW w:w="1220" w:type="dxa"/>
            <w:vAlign w:val="bottom"/>
          </w:tcPr>
          <w:p>
            <w:pPr>
              <w:jc w:val="right"/>
              <w:ind w:right="309"/>
              <w:spacing w:after="0" w:line="135" w:lineRule="exact"/>
              <w:rPr>
                <w:sz w:val="20"/>
                <w:szCs w:val="20"/>
                <w:color w:val="auto"/>
              </w:rPr>
            </w:pPr>
            <w:r>
              <w:rPr>
                <w:rFonts w:ascii="Arial" w:cs="Arial" w:eastAsia="Arial" w:hAnsi="Arial"/>
                <w:sz w:val="13"/>
                <w:szCs w:val="13"/>
                <w:b w:val="1"/>
                <w:bCs w:val="1"/>
                <w:color w:val="071D49"/>
              </w:rPr>
              <w:t>R&amp;D/</w:t>
            </w:r>
          </w:p>
        </w:tc>
        <w:tc>
          <w:tcPr>
            <w:tcW w:w="126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071D49"/>
              </w:rPr>
              <w:t>Business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5"/>
        </w:trPr>
        <w:tc>
          <w:tcPr>
            <w:tcW w:w="1940" w:type="dxa"/>
            <w:vAlign w:val="bottom"/>
            <w:tcBorders>
              <w:bottom w:val="single" w:sz="8" w:color="071D49"/>
            </w:tcBorders>
          </w:tcPr>
          <w:p>
            <w:pPr>
              <w:spacing w:after="0"/>
              <w:rPr>
                <w:sz w:val="15"/>
                <w:szCs w:val="15"/>
                <w:color w:val="auto"/>
              </w:rPr>
            </w:pPr>
          </w:p>
        </w:tc>
        <w:tc>
          <w:tcPr>
            <w:tcW w:w="1340" w:type="dxa"/>
            <w:vAlign w:val="bottom"/>
            <w:tcBorders>
              <w:bottom w:val="single" w:sz="8" w:color="071D49"/>
            </w:tcBorders>
          </w:tcPr>
          <w:p>
            <w:pPr>
              <w:jc w:val="right"/>
              <w:ind w:right="288"/>
              <w:spacing w:after="0"/>
              <w:rPr>
                <w:sz w:val="20"/>
                <w:szCs w:val="20"/>
                <w:color w:val="auto"/>
              </w:rPr>
            </w:pPr>
            <w:r>
              <w:rPr>
                <w:rFonts w:ascii="Arial" w:cs="Arial" w:eastAsia="Arial" w:hAnsi="Arial"/>
                <w:sz w:val="13"/>
                <w:szCs w:val="13"/>
                <w:b w:val="1"/>
                <w:bCs w:val="1"/>
                <w:color w:val="071D49"/>
              </w:rPr>
              <w:t>Taxes</w:t>
            </w:r>
          </w:p>
        </w:tc>
        <w:tc>
          <w:tcPr>
            <w:tcW w:w="1700" w:type="dxa"/>
            <w:vAlign w:val="bottom"/>
            <w:tcBorders>
              <w:bottom w:val="single" w:sz="8" w:color="071D49"/>
            </w:tcBorders>
          </w:tcPr>
          <w:p>
            <w:pPr>
              <w:jc w:val="right"/>
              <w:ind w:right="249"/>
              <w:spacing w:after="0" w:line="175" w:lineRule="exact"/>
              <w:rPr>
                <w:sz w:val="20"/>
                <w:szCs w:val="20"/>
                <w:color w:val="auto"/>
              </w:rPr>
            </w:pPr>
            <w:r>
              <w:rPr>
                <w:rFonts w:ascii="Arial" w:cs="Arial" w:eastAsia="Arial" w:hAnsi="Arial"/>
                <w:sz w:val="13"/>
                <w:szCs w:val="13"/>
                <w:b w:val="1"/>
                <w:bCs w:val="1"/>
                <w:color w:val="071D49"/>
              </w:rPr>
              <w:t>Assets</w:t>
            </w:r>
            <w:r>
              <w:rPr>
                <w:rFonts w:ascii="Arial" w:cs="Arial" w:eastAsia="Arial" w:hAnsi="Arial"/>
                <w:sz w:val="20"/>
                <w:szCs w:val="20"/>
                <w:b w:val="1"/>
                <w:bCs w:val="1"/>
                <w:color w:val="071D49"/>
                <w:vertAlign w:val="superscript"/>
              </w:rPr>
              <w:t>(1)</w:t>
            </w:r>
          </w:p>
        </w:tc>
        <w:tc>
          <w:tcPr>
            <w:tcW w:w="1220" w:type="dxa"/>
            <w:vAlign w:val="bottom"/>
            <w:tcBorders>
              <w:bottom w:val="single" w:sz="8" w:color="071D49"/>
            </w:tcBorders>
          </w:tcPr>
          <w:p>
            <w:pPr>
              <w:jc w:val="right"/>
              <w:ind w:right="309"/>
              <w:spacing w:after="0"/>
              <w:rPr>
                <w:sz w:val="20"/>
                <w:szCs w:val="20"/>
                <w:color w:val="auto"/>
              </w:rPr>
            </w:pPr>
            <w:r>
              <w:rPr>
                <w:rFonts w:ascii="Arial" w:cs="Arial" w:eastAsia="Arial" w:hAnsi="Arial"/>
                <w:sz w:val="13"/>
                <w:szCs w:val="13"/>
                <w:b w:val="1"/>
                <w:bCs w:val="1"/>
                <w:color w:val="071D49"/>
              </w:rPr>
              <w:t>Innovation</w:t>
            </w:r>
          </w:p>
        </w:tc>
        <w:tc>
          <w:tcPr>
            <w:tcW w:w="1260" w:type="dxa"/>
            <w:vAlign w:val="bottom"/>
            <w:tcBorders>
              <w:bottom w:val="single" w:sz="8" w:color="071D49"/>
            </w:tcBorders>
          </w:tcPr>
          <w:p>
            <w:pPr>
              <w:jc w:val="right"/>
              <w:ind w:right="171"/>
              <w:spacing w:after="0"/>
              <w:rPr>
                <w:sz w:val="20"/>
                <w:szCs w:val="20"/>
                <w:color w:val="auto"/>
              </w:rPr>
            </w:pPr>
            <w:r>
              <w:rPr>
                <w:rFonts w:ascii="Arial" w:cs="Arial" w:eastAsia="Arial" w:hAnsi="Arial"/>
                <w:sz w:val="13"/>
                <w:szCs w:val="13"/>
                <w:b w:val="1"/>
                <w:bCs w:val="1"/>
                <w:color w:val="071D49"/>
              </w:rPr>
              <w:t>Development</w:t>
            </w:r>
          </w:p>
        </w:tc>
        <w:tc>
          <w:tcPr>
            <w:tcW w:w="940" w:type="dxa"/>
            <w:vAlign w:val="bottom"/>
            <w:tcBorders>
              <w:bottom w:val="single" w:sz="8" w:color="071D49"/>
            </w:tcBorders>
          </w:tcPr>
          <w:p>
            <w:pPr>
              <w:jc w:val="right"/>
              <w:ind w:right="346"/>
              <w:spacing w:after="0"/>
              <w:rPr>
                <w:sz w:val="20"/>
                <w:szCs w:val="20"/>
                <w:color w:val="auto"/>
              </w:rPr>
            </w:pPr>
            <w:r>
              <w:rPr>
                <w:rFonts w:ascii="Arial" w:cs="Arial" w:eastAsia="Arial" w:hAnsi="Arial"/>
                <w:sz w:val="13"/>
                <w:szCs w:val="13"/>
                <w:b w:val="1"/>
                <w:bCs w:val="1"/>
                <w:color w:val="071D49"/>
              </w:rPr>
              <w:t>ESG</w:t>
            </w:r>
          </w:p>
        </w:tc>
        <w:tc>
          <w:tcPr>
            <w:tcW w:w="860" w:type="dxa"/>
            <w:vAlign w:val="bottom"/>
            <w:tcBorders>
              <w:bottom w:val="single" w:sz="8" w:color="071D49"/>
            </w:tcBorders>
          </w:tcPr>
          <w:p>
            <w:pPr>
              <w:jc w:val="right"/>
              <w:ind w:right="187"/>
              <w:spacing w:after="0"/>
              <w:rPr>
                <w:sz w:val="20"/>
                <w:szCs w:val="20"/>
                <w:color w:val="auto"/>
              </w:rPr>
            </w:pPr>
            <w:r>
              <w:rPr>
                <w:rFonts w:ascii="Arial" w:cs="Arial" w:eastAsia="Arial" w:hAnsi="Arial"/>
                <w:sz w:val="13"/>
                <w:szCs w:val="13"/>
                <w:b w:val="1"/>
                <w:bCs w:val="1"/>
                <w:color w:val="071D49"/>
              </w:rPr>
              <w:t>Other</w:t>
            </w:r>
          </w:p>
        </w:tc>
      </w:tr>
      <w:tr>
        <w:trPr>
          <w:trHeight w:val="168"/>
        </w:trPr>
        <w:tc>
          <w:tcPr>
            <w:tcW w:w="1940" w:type="dxa"/>
            <w:vAlign w:val="bottom"/>
            <w:shd w:val="clear" w:color="auto" w:fill="D9D9D9"/>
          </w:tcPr>
          <w:p>
            <w:pPr>
              <w:ind w:left="20"/>
              <w:spacing w:after="0" w:line="168" w:lineRule="exact"/>
              <w:rPr>
                <w:sz w:val="20"/>
                <w:szCs w:val="20"/>
                <w:color w:val="auto"/>
              </w:rPr>
            </w:pPr>
            <w:r>
              <w:rPr>
                <w:rFonts w:ascii="Arial" w:cs="Arial" w:eastAsia="Arial" w:hAnsi="Arial"/>
                <w:sz w:val="15"/>
                <w:szCs w:val="15"/>
                <w:color w:val="auto"/>
              </w:rPr>
              <w:t>Richard A. Gonzalez</w:t>
            </w:r>
          </w:p>
        </w:tc>
        <w:tc>
          <w:tcPr>
            <w:tcW w:w="1340" w:type="dxa"/>
            <w:vAlign w:val="bottom"/>
            <w:shd w:val="clear" w:color="auto" w:fill="D9D9D9"/>
          </w:tcPr>
          <w:p>
            <w:pPr>
              <w:jc w:val="right"/>
              <w:ind w:right="108"/>
              <w:spacing w:after="0" w:line="168" w:lineRule="exact"/>
              <w:rPr>
                <w:sz w:val="20"/>
                <w:szCs w:val="20"/>
                <w:color w:val="auto"/>
              </w:rPr>
            </w:pPr>
            <w:r>
              <w:rPr>
                <w:rFonts w:ascii="Arial" w:cs="Arial" w:eastAsia="Arial" w:hAnsi="Arial"/>
                <w:sz w:val="15"/>
                <w:szCs w:val="15"/>
                <w:color w:val="auto"/>
              </w:rPr>
              <w:t>20 %</w:t>
            </w:r>
          </w:p>
        </w:tc>
        <w:tc>
          <w:tcPr>
            <w:tcW w:w="1700" w:type="dxa"/>
            <w:vAlign w:val="bottom"/>
            <w:shd w:val="clear" w:color="auto" w:fill="D9D9D9"/>
          </w:tcPr>
          <w:p>
            <w:pPr>
              <w:jc w:val="right"/>
              <w:ind w:right="89"/>
              <w:spacing w:after="0" w:line="168" w:lineRule="exact"/>
              <w:rPr>
                <w:sz w:val="20"/>
                <w:szCs w:val="20"/>
                <w:color w:val="auto"/>
              </w:rPr>
            </w:pPr>
            <w:r>
              <w:rPr>
                <w:rFonts w:ascii="Arial" w:cs="Arial" w:eastAsia="Arial" w:hAnsi="Arial"/>
                <w:sz w:val="15"/>
                <w:szCs w:val="15"/>
                <w:color w:val="auto"/>
              </w:rPr>
              <w:t>60 %</w:t>
            </w:r>
          </w:p>
        </w:tc>
        <w:tc>
          <w:tcPr>
            <w:tcW w:w="1220" w:type="dxa"/>
            <w:vAlign w:val="bottom"/>
            <w:shd w:val="clear" w:color="auto" w:fill="D9D9D9"/>
          </w:tcPr>
          <w:p>
            <w:pPr>
              <w:jc w:val="right"/>
              <w:ind w:right="129"/>
              <w:spacing w:after="0" w:line="168" w:lineRule="exact"/>
              <w:rPr>
                <w:sz w:val="20"/>
                <w:szCs w:val="20"/>
                <w:color w:val="auto"/>
              </w:rPr>
            </w:pPr>
            <w:r>
              <w:rPr>
                <w:rFonts w:ascii="Arial" w:cs="Arial" w:eastAsia="Arial" w:hAnsi="Arial"/>
                <w:sz w:val="15"/>
                <w:szCs w:val="15"/>
                <w:color w:val="auto"/>
              </w:rPr>
              <w:t>10 %</w:t>
            </w:r>
          </w:p>
        </w:tc>
        <w:tc>
          <w:tcPr>
            <w:tcW w:w="1260" w:type="dxa"/>
            <w:vAlign w:val="bottom"/>
            <w:shd w:val="clear" w:color="auto" w:fill="D9D9D9"/>
          </w:tcPr>
          <w:p>
            <w:pPr>
              <w:spacing w:after="0"/>
              <w:rPr>
                <w:sz w:val="14"/>
                <w:szCs w:val="14"/>
                <w:color w:val="auto"/>
              </w:rPr>
            </w:pPr>
          </w:p>
        </w:tc>
        <w:tc>
          <w:tcPr>
            <w:tcW w:w="940" w:type="dxa"/>
            <w:vAlign w:val="bottom"/>
            <w:shd w:val="clear" w:color="auto" w:fill="D9D9D9"/>
          </w:tcPr>
          <w:p>
            <w:pPr>
              <w:jc w:val="right"/>
              <w:ind w:right="166"/>
              <w:spacing w:after="0" w:line="168" w:lineRule="exact"/>
              <w:rPr>
                <w:sz w:val="20"/>
                <w:szCs w:val="20"/>
                <w:color w:val="auto"/>
              </w:rPr>
            </w:pPr>
            <w:r>
              <w:rPr>
                <w:rFonts w:ascii="Arial" w:cs="Arial" w:eastAsia="Arial" w:hAnsi="Arial"/>
                <w:sz w:val="15"/>
                <w:szCs w:val="15"/>
                <w:color w:val="auto"/>
              </w:rPr>
              <w:t>10 %</w:t>
            </w:r>
          </w:p>
        </w:tc>
        <w:tc>
          <w:tcPr>
            <w:tcW w:w="860" w:type="dxa"/>
            <w:vAlign w:val="bottom"/>
            <w:shd w:val="clear" w:color="auto" w:fill="D9D9D9"/>
          </w:tcPr>
          <w:p>
            <w:pPr>
              <w:spacing w:after="0"/>
              <w:rPr>
                <w:sz w:val="14"/>
                <w:szCs w:val="14"/>
                <w:color w:val="auto"/>
              </w:rPr>
            </w:pPr>
          </w:p>
        </w:tc>
      </w:tr>
      <w:tr>
        <w:trPr>
          <w:trHeight w:val="175"/>
        </w:trPr>
        <w:tc>
          <w:tcPr>
            <w:tcW w:w="1940" w:type="dxa"/>
            <w:vAlign w:val="bottom"/>
          </w:tcPr>
          <w:p>
            <w:pPr>
              <w:ind w:left="20"/>
              <w:spacing w:after="0"/>
              <w:rPr>
                <w:sz w:val="20"/>
                <w:szCs w:val="20"/>
                <w:color w:val="auto"/>
              </w:rPr>
            </w:pPr>
            <w:r>
              <w:rPr>
                <w:rFonts w:ascii="Arial" w:cs="Arial" w:eastAsia="Arial" w:hAnsi="Arial"/>
                <w:sz w:val="15"/>
                <w:szCs w:val="15"/>
                <w:color w:val="auto"/>
              </w:rPr>
              <w:t>Robert A. Michael</w:t>
            </w:r>
          </w:p>
        </w:tc>
        <w:tc>
          <w:tcPr>
            <w:tcW w:w="1340" w:type="dxa"/>
            <w:vAlign w:val="bottom"/>
          </w:tcPr>
          <w:p>
            <w:pPr>
              <w:jc w:val="right"/>
              <w:ind w:right="108"/>
              <w:spacing w:after="0"/>
              <w:rPr>
                <w:sz w:val="20"/>
                <w:szCs w:val="20"/>
                <w:color w:val="auto"/>
              </w:rPr>
            </w:pPr>
            <w:r>
              <w:rPr>
                <w:rFonts w:ascii="Arial" w:cs="Arial" w:eastAsia="Arial" w:hAnsi="Arial"/>
                <w:sz w:val="15"/>
                <w:szCs w:val="15"/>
                <w:color w:val="auto"/>
              </w:rPr>
              <w:t>20 %</w:t>
            </w:r>
          </w:p>
        </w:tc>
        <w:tc>
          <w:tcPr>
            <w:tcW w:w="1700" w:type="dxa"/>
            <w:vAlign w:val="bottom"/>
          </w:tcPr>
          <w:p>
            <w:pPr>
              <w:jc w:val="right"/>
              <w:ind w:right="89"/>
              <w:spacing w:after="0"/>
              <w:rPr>
                <w:sz w:val="20"/>
                <w:szCs w:val="20"/>
                <w:color w:val="auto"/>
              </w:rPr>
            </w:pPr>
            <w:r>
              <w:rPr>
                <w:rFonts w:ascii="Arial" w:cs="Arial" w:eastAsia="Arial" w:hAnsi="Arial"/>
                <w:sz w:val="15"/>
                <w:szCs w:val="15"/>
                <w:color w:val="auto"/>
              </w:rPr>
              <w:t>60 %</w:t>
            </w:r>
          </w:p>
        </w:tc>
        <w:tc>
          <w:tcPr>
            <w:tcW w:w="1220" w:type="dxa"/>
            <w:vAlign w:val="bottom"/>
          </w:tcPr>
          <w:p>
            <w:pPr>
              <w:spacing w:after="0"/>
              <w:rPr>
                <w:sz w:val="15"/>
                <w:szCs w:val="15"/>
                <w:color w:val="auto"/>
              </w:rPr>
            </w:pPr>
          </w:p>
        </w:tc>
        <w:tc>
          <w:tcPr>
            <w:tcW w:w="1260" w:type="dxa"/>
            <w:vAlign w:val="bottom"/>
          </w:tcPr>
          <w:p>
            <w:pPr>
              <w:jc w:val="right"/>
              <w:ind w:right="191"/>
              <w:spacing w:after="0"/>
              <w:rPr>
                <w:sz w:val="20"/>
                <w:szCs w:val="20"/>
                <w:color w:val="auto"/>
              </w:rPr>
            </w:pPr>
            <w:r>
              <w:rPr>
                <w:rFonts w:ascii="Arial" w:cs="Arial" w:eastAsia="Arial" w:hAnsi="Arial"/>
                <w:sz w:val="15"/>
                <w:szCs w:val="15"/>
                <w:color w:val="auto"/>
              </w:rPr>
              <w:t>10 %</w:t>
            </w: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10 %</w:t>
            </w:r>
          </w:p>
        </w:tc>
        <w:tc>
          <w:tcPr>
            <w:tcW w:w="860" w:type="dxa"/>
            <w:vAlign w:val="bottom"/>
          </w:tcPr>
          <w:p>
            <w:pPr>
              <w:spacing w:after="0"/>
              <w:rPr>
                <w:sz w:val="15"/>
                <w:szCs w:val="15"/>
                <w:color w:val="auto"/>
              </w:rPr>
            </w:pPr>
          </w:p>
        </w:tc>
      </w:tr>
      <w:tr>
        <w:trPr>
          <w:trHeight w:val="175"/>
        </w:trPr>
        <w:tc>
          <w:tcPr>
            <w:tcW w:w="1940" w:type="dxa"/>
            <w:vAlign w:val="bottom"/>
            <w:shd w:val="clear" w:color="auto" w:fill="D9D9D9"/>
          </w:tcPr>
          <w:p>
            <w:pPr>
              <w:ind w:left="20"/>
              <w:spacing w:after="0"/>
              <w:rPr>
                <w:sz w:val="20"/>
                <w:szCs w:val="20"/>
                <w:color w:val="auto"/>
              </w:rPr>
            </w:pPr>
            <w:r>
              <w:rPr>
                <w:rFonts w:ascii="Arial" w:cs="Arial" w:eastAsia="Arial" w:hAnsi="Arial"/>
                <w:sz w:val="15"/>
                <w:szCs w:val="15"/>
                <w:color w:val="auto"/>
              </w:rPr>
              <w:t>Scott T. Reents</w:t>
            </w:r>
          </w:p>
        </w:tc>
        <w:tc>
          <w:tcPr>
            <w:tcW w:w="134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20 %</w:t>
            </w:r>
          </w:p>
        </w:tc>
        <w:tc>
          <w:tcPr>
            <w:tcW w:w="1700" w:type="dxa"/>
            <w:vAlign w:val="bottom"/>
            <w:shd w:val="clear" w:color="auto" w:fill="D9D9D9"/>
          </w:tcPr>
          <w:p>
            <w:pPr>
              <w:jc w:val="right"/>
              <w:ind w:right="89"/>
              <w:spacing w:after="0"/>
              <w:rPr>
                <w:sz w:val="20"/>
                <w:szCs w:val="20"/>
                <w:color w:val="auto"/>
              </w:rPr>
            </w:pPr>
            <w:r>
              <w:rPr>
                <w:rFonts w:ascii="Arial" w:cs="Arial" w:eastAsia="Arial" w:hAnsi="Arial"/>
                <w:sz w:val="15"/>
                <w:szCs w:val="15"/>
                <w:color w:val="auto"/>
              </w:rPr>
              <w:t>60 %</w:t>
            </w:r>
          </w:p>
        </w:tc>
        <w:tc>
          <w:tcPr>
            <w:tcW w:w="1220" w:type="dxa"/>
            <w:vAlign w:val="bottom"/>
            <w:shd w:val="clear" w:color="auto" w:fill="D9D9D9"/>
          </w:tcPr>
          <w:p>
            <w:pPr>
              <w:spacing w:after="0"/>
              <w:rPr>
                <w:sz w:val="15"/>
                <w:szCs w:val="15"/>
                <w:color w:val="auto"/>
              </w:rPr>
            </w:pPr>
          </w:p>
        </w:tc>
        <w:tc>
          <w:tcPr>
            <w:tcW w:w="1260" w:type="dxa"/>
            <w:vAlign w:val="bottom"/>
            <w:shd w:val="clear" w:color="auto" w:fill="D9D9D9"/>
          </w:tcPr>
          <w:p>
            <w:pPr>
              <w:spacing w:after="0"/>
              <w:rPr>
                <w:sz w:val="15"/>
                <w:szCs w:val="15"/>
                <w:color w:val="auto"/>
              </w:rPr>
            </w:pPr>
          </w:p>
        </w:tc>
        <w:tc>
          <w:tcPr>
            <w:tcW w:w="940" w:type="dxa"/>
            <w:vAlign w:val="bottom"/>
            <w:shd w:val="clear" w:color="auto" w:fill="D9D9D9"/>
          </w:tcPr>
          <w:p>
            <w:pPr>
              <w:jc w:val="right"/>
              <w:ind w:right="166"/>
              <w:spacing w:after="0"/>
              <w:rPr>
                <w:sz w:val="20"/>
                <w:szCs w:val="20"/>
                <w:color w:val="auto"/>
              </w:rPr>
            </w:pPr>
            <w:r>
              <w:rPr>
                <w:rFonts w:ascii="Arial" w:cs="Arial" w:eastAsia="Arial" w:hAnsi="Arial"/>
                <w:sz w:val="15"/>
                <w:szCs w:val="15"/>
                <w:color w:val="auto"/>
              </w:rPr>
              <w:t>10 %</w:t>
            </w:r>
          </w:p>
        </w:tc>
        <w:tc>
          <w:tcPr>
            <w:tcW w:w="860" w:type="dxa"/>
            <w:vAlign w:val="bottom"/>
            <w:shd w:val="clear" w:color="auto" w:fill="D9D9D9"/>
          </w:tcPr>
          <w:p>
            <w:pPr>
              <w:jc w:val="right"/>
              <w:ind w:right="27"/>
              <w:spacing w:after="0"/>
              <w:rPr>
                <w:sz w:val="20"/>
                <w:szCs w:val="20"/>
                <w:color w:val="auto"/>
              </w:rPr>
            </w:pPr>
            <w:r>
              <w:rPr>
                <w:rFonts w:ascii="Arial" w:cs="Arial" w:eastAsia="Arial" w:hAnsi="Arial"/>
                <w:sz w:val="15"/>
                <w:szCs w:val="15"/>
                <w:color w:val="auto"/>
              </w:rPr>
              <w:t>10 %</w:t>
            </w:r>
          </w:p>
        </w:tc>
      </w:tr>
      <w:tr>
        <w:trPr>
          <w:trHeight w:val="175"/>
        </w:trPr>
        <w:tc>
          <w:tcPr>
            <w:tcW w:w="1940" w:type="dxa"/>
            <w:vAlign w:val="bottom"/>
          </w:tcPr>
          <w:p>
            <w:pPr>
              <w:ind w:left="20"/>
              <w:spacing w:after="0"/>
              <w:rPr>
                <w:sz w:val="20"/>
                <w:szCs w:val="20"/>
                <w:color w:val="auto"/>
              </w:rPr>
            </w:pPr>
            <w:r>
              <w:rPr>
                <w:rFonts w:ascii="Arial" w:cs="Arial" w:eastAsia="Arial" w:hAnsi="Arial"/>
                <w:sz w:val="15"/>
                <w:szCs w:val="15"/>
                <w:color w:val="auto"/>
              </w:rPr>
              <w:t>Jeffrey R. Stewart</w:t>
            </w:r>
          </w:p>
        </w:tc>
        <w:tc>
          <w:tcPr>
            <w:tcW w:w="1340" w:type="dxa"/>
            <w:vAlign w:val="bottom"/>
          </w:tcPr>
          <w:p>
            <w:pPr>
              <w:jc w:val="right"/>
              <w:ind w:right="108"/>
              <w:spacing w:after="0"/>
              <w:rPr>
                <w:sz w:val="20"/>
                <w:szCs w:val="20"/>
                <w:color w:val="auto"/>
              </w:rPr>
            </w:pPr>
            <w:r>
              <w:rPr>
                <w:rFonts w:ascii="Arial" w:cs="Arial" w:eastAsia="Arial" w:hAnsi="Arial"/>
                <w:sz w:val="15"/>
                <w:szCs w:val="15"/>
                <w:color w:val="auto"/>
              </w:rPr>
              <w:t>20 %</w:t>
            </w:r>
          </w:p>
        </w:tc>
        <w:tc>
          <w:tcPr>
            <w:tcW w:w="1700" w:type="dxa"/>
            <w:vAlign w:val="bottom"/>
          </w:tcPr>
          <w:p>
            <w:pPr>
              <w:jc w:val="right"/>
              <w:ind w:right="89"/>
              <w:spacing w:after="0"/>
              <w:rPr>
                <w:sz w:val="20"/>
                <w:szCs w:val="20"/>
                <w:color w:val="auto"/>
              </w:rPr>
            </w:pPr>
            <w:r>
              <w:rPr>
                <w:rFonts w:ascii="Arial" w:cs="Arial" w:eastAsia="Arial" w:hAnsi="Arial"/>
                <w:sz w:val="15"/>
                <w:szCs w:val="15"/>
                <w:color w:val="auto"/>
              </w:rPr>
              <w:t>50 %</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jc w:val="right"/>
              <w:ind w:right="166"/>
              <w:spacing w:after="0"/>
              <w:rPr>
                <w:sz w:val="20"/>
                <w:szCs w:val="20"/>
                <w:color w:val="auto"/>
              </w:rPr>
            </w:pPr>
            <w:r>
              <w:rPr>
                <w:rFonts w:ascii="Arial" w:cs="Arial" w:eastAsia="Arial" w:hAnsi="Arial"/>
                <w:sz w:val="15"/>
                <w:szCs w:val="15"/>
                <w:color w:val="auto"/>
              </w:rPr>
              <w:t>10 %</w:t>
            </w:r>
          </w:p>
        </w:tc>
        <w:tc>
          <w:tcPr>
            <w:tcW w:w="860" w:type="dxa"/>
            <w:vAlign w:val="bottom"/>
          </w:tcPr>
          <w:p>
            <w:pPr>
              <w:jc w:val="right"/>
              <w:ind w:right="27"/>
              <w:spacing w:after="0"/>
              <w:rPr>
                <w:sz w:val="20"/>
                <w:szCs w:val="20"/>
                <w:color w:val="auto"/>
              </w:rPr>
            </w:pPr>
            <w:r>
              <w:rPr>
                <w:rFonts w:ascii="Arial" w:cs="Arial" w:eastAsia="Arial" w:hAnsi="Arial"/>
                <w:sz w:val="15"/>
                <w:szCs w:val="15"/>
                <w:color w:val="auto"/>
              </w:rPr>
              <w:t>20 %</w:t>
            </w:r>
          </w:p>
        </w:tc>
      </w:tr>
      <w:tr>
        <w:trPr>
          <w:trHeight w:val="175"/>
        </w:trPr>
        <w:tc>
          <w:tcPr>
            <w:tcW w:w="1940" w:type="dxa"/>
            <w:vAlign w:val="bottom"/>
            <w:shd w:val="clear" w:color="auto" w:fill="D9D9D9"/>
          </w:tcPr>
          <w:p>
            <w:pPr>
              <w:ind w:left="20"/>
              <w:spacing w:after="0"/>
              <w:rPr>
                <w:sz w:val="20"/>
                <w:szCs w:val="20"/>
                <w:color w:val="auto"/>
              </w:rPr>
            </w:pPr>
            <w:r>
              <w:rPr>
                <w:rFonts w:ascii="Arial" w:cs="Arial" w:eastAsia="Arial" w:hAnsi="Arial"/>
                <w:sz w:val="15"/>
                <w:szCs w:val="15"/>
                <w:color w:val="auto"/>
              </w:rPr>
              <w:t>Azita Saleki-Gerhardt</w:t>
            </w:r>
          </w:p>
        </w:tc>
        <w:tc>
          <w:tcPr>
            <w:tcW w:w="1340" w:type="dxa"/>
            <w:vAlign w:val="bottom"/>
            <w:shd w:val="clear" w:color="auto" w:fill="D9D9D9"/>
          </w:tcPr>
          <w:p>
            <w:pPr>
              <w:jc w:val="right"/>
              <w:ind w:right="108"/>
              <w:spacing w:after="0"/>
              <w:rPr>
                <w:sz w:val="20"/>
                <w:szCs w:val="20"/>
                <w:color w:val="auto"/>
              </w:rPr>
            </w:pPr>
            <w:r>
              <w:rPr>
                <w:rFonts w:ascii="Arial" w:cs="Arial" w:eastAsia="Arial" w:hAnsi="Arial"/>
                <w:sz w:val="15"/>
                <w:szCs w:val="15"/>
                <w:color w:val="auto"/>
              </w:rPr>
              <w:t>20 %</w:t>
            </w:r>
          </w:p>
        </w:tc>
        <w:tc>
          <w:tcPr>
            <w:tcW w:w="1700" w:type="dxa"/>
            <w:vAlign w:val="bottom"/>
            <w:shd w:val="clear" w:color="auto" w:fill="D9D9D9"/>
          </w:tcPr>
          <w:p>
            <w:pPr>
              <w:jc w:val="right"/>
              <w:ind w:right="89"/>
              <w:spacing w:after="0"/>
              <w:rPr>
                <w:sz w:val="20"/>
                <w:szCs w:val="20"/>
                <w:color w:val="auto"/>
              </w:rPr>
            </w:pPr>
            <w:r>
              <w:rPr>
                <w:rFonts w:ascii="Arial" w:cs="Arial" w:eastAsia="Arial" w:hAnsi="Arial"/>
                <w:sz w:val="15"/>
                <w:szCs w:val="15"/>
                <w:color w:val="auto"/>
              </w:rPr>
              <w:t>10 %</w:t>
            </w:r>
          </w:p>
        </w:tc>
        <w:tc>
          <w:tcPr>
            <w:tcW w:w="1220" w:type="dxa"/>
            <w:vAlign w:val="bottom"/>
            <w:shd w:val="clear" w:color="auto" w:fill="D9D9D9"/>
          </w:tcPr>
          <w:p>
            <w:pPr>
              <w:jc w:val="right"/>
              <w:ind w:right="129"/>
              <w:spacing w:after="0"/>
              <w:rPr>
                <w:sz w:val="20"/>
                <w:szCs w:val="20"/>
                <w:color w:val="auto"/>
              </w:rPr>
            </w:pPr>
            <w:r>
              <w:rPr>
                <w:rFonts w:ascii="Arial" w:cs="Arial" w:eastAsia="Arial" w:hAnsi="Arial"/>
                <w:sz w:val="15"/>
                <w:szCs w:val="15"/>
                <w:color w:val="auto"/>
              </w:rPr>
              <w:t>10 %</w:t>
            </w:r>
          </w:p>
        </w:tc>
        <w:tc>
          <w:tcPr>
            <w:tcW w:w="1260" w:type="dxa"/>
            <w:vAlign w:val="bottom"/>
            <w:shd w:val="clear" w:color="auto" w:fill="D9D9D9"/>
          </w:tcPr>
          <w:p>
            <w:pPr>
              <w:spacing w:after="0"/>
              <w:rPr>
                <w:sz w:val="15"/>
                <w:szCs w:val="15"/>
                <w:color w:val="auto"/>
              </w:rPr>
            </w:pPr>
          </w:p>
        </w:tc>
        <w:tc>
          <w:tcPr>
            <w:tcW w:w="940" w:type="dxa"/>
            <w:vAlign w:val="bottom"/>
            <w:shd w:val="clear" w:color="auto" w:fill="D9D9D9"/>
          </w:tcPr>
          <w:p>
            <w:pPr>
              <w:jc w:val="right"/>
              <w:ind w:right="166"/>
              <w:spacing w:after="0"/>
              <w:rPr>
                <w:sz w:val="20"/>
                <w:szCs w:val="20"/>
                <w:color w:val="auto"/>
              </w:rPr>
            </w:pPr>
            <w:r>
              <w:rPr>
                <w:rFonts w:ascii="Arial" w:cs="Arial" w:eastAsia="Arial" w:hAnsi="Arial"/>
                <w:sz w:val="15"/>
                <w:szCs w:val="15"/>
                <w:color w:val="auto"/>
              </w:rPr>
              <w:t>10 %</w:t>
            </w:r>
          </w:p>
        </w:tc>
        <w:tc>
          <w:tcPr>
            <w:tcW w:w="860" w:type="dxa"/>
            <w:vAlign w:val="bottom"/>
            <w:shd w:val="clear" w:color="auto" w:fill="D9D9D9"/>
          </w:tcPr>
          <w:p>
            <w:pPr>
              <w:jc w:val="right"/>
              <w:ind w:right="27"/>
              <w:spacing w:after="0"/>
              <w:rPr>
                <w:sz w:val="20"/>
                <w:szCs w:val="20"/>
                <w:color w:val="auto"/>
              </w:rPr>
            </w:pPr>
            <w:r>
              <w:rPr>
                <w:rFonts w:ascii="Arial" w:cs="Arial" w:eastAsia="Arial" w:hAnsi="Arial"/>
                <w:sz w:val="15"/>
                <w:szCs w:val="15"/>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8788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7883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(1) Financial goals are equally weighted.</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Short-Term Incentive Financial Goals</w:t>
      </w:r>
    </w:p>
    <w:p>
      <w:pPr>
        <w:spacing w:after="0" w:line="92" w:lineRule="exact"/>
        <w:rPr>
          <w:sz w:val="20"/>
          <w:szCs w:val="20"/>
          <w:color w:val="auto"/>
        </w:rPr>
      </w:pPr>
    </w:p>
    <w:p>
      <w:pPr>
        <w:ind w:left="20" w:right="200"/>
        <w:spacing w:after="0" w:line="261" w:lineRule="auto"/>
        <w:rPr>
          <w:sz w:val="20"/>
          <w:szCs w:val="20"/>
          <w:color w:val="auto"/>
        </w:rPr>
      </w:pPr>
      <w:r>
        <w:rPr>
          <w:rFonts w:ascii="Arial" w:cs="Arial" w:eastAsia="Arial" w:hAnsi="Arial"/>
          <w:sz w:val="17"/>
          <w:szCs w:val="17"/>
          <w:color w:val="auto"/>
        </w:rPr>
        <w:t>The committee reviews and ensures all goals are appropriately rigorous and consistent with driving top-tier performance for the sector in both the short and long term.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071D49"/>
              </w:rPr>
              <w:t>Goal</w:t>
            </w:r>
            <w:r>
              <w:rPr>
                <w:rFonts w:ascii="Arial" w:cs="Arial" w:eastAsia="Arial" w:hAnsi="Arial"/>
                <w:sz w:val="20"/>
                <w:szCs w:val="20"/>
                <w:b w:val="1"/>
                <w:bCs w:val="1"/>
                <w:color w:val="071D49"/>
                <w:vertAlign w:val="superscript"/>
              </w:rPr>
              <w:t>(1)</w:t>
            </w: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tcPr>
          <w:p>
            <w:pPr>
              <w:jc w:val="right"/>
              <w:ind w:right="193"/>
              <w:spacing w:after="0"/>
              <w:rPr>
                <w:sz w:val="20"/>
                <w:szCs w:val="20"/>
                <w:color w:val="auto"/>
              </w:rPr>
            </w:pPr>
            <w:r>
              <w:rPr>
                <w:rFonts w:ascii="Arial" w:cs="Arial" w:eastAsia="Arial" w:hAnsi="Arial"/>
                <w:sz w:val="13"/>
                <w:szCs w:val="13"/>
                <w:b w:val="1"/>
                <w:bCs w:val="1"/>
                <w:color w:val="071D49"/>
              </w:rPr>
              <w:t>2023 Target vs.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right"/>
              <w:ind w:right="93"/>
              <w:spacing w:after="0"/>
              <w:rPr>
                <w:sz w:val="20"/>
                <w:szCs w:val="20"/>
                <w:color w:val="auto"/>
              </w:rPr>
            </w:pPr>
            <w:r>
              <w:rPr>
                <w:rFonts w:ascii="Arial" w:cs="Arial" w:eastAsia="Arial" w:hAnsi="Arial"/>
                <w:sz w:val="13"/>
                <w:szCs w:val="13"/>
                <w:b w:val="1"/>
                <w:bCs w:val="1"/>
                <w:color w:val="071D49"/>
              </w:rPr>
              <w:t>2023 Actual vs.</w:t>
            </w:r>
          </w:p>
        </w:tc>
        <w:tc>
          <w:tcPr>
            <w:tcW w:w="0" w:type="dxa"/>
            <w:vAlign w:val="bottom"/>
          </w:tcPr>
          <w:p>
            <w:pPr>
              <w:spacing w:after="0"/>
              <w:rPr>
                <w:sz w:val="1"/>
                <w:szCs w:val="1"/>
                <w:color w:val="auto"/>
              </w:rPr>
            </w:pPr>
          </w:p>
        </w:tc>
      </w:tr>
      <w:tr>
        <w:trPr>
          <w:trHeight w:val="160"/>
        </w:trPr>
        <w:tc>
          <w:tcPr>
            <w:tcW w:w="2700" w:type="dxa"/>
            <w:vAlign w:val="bottom"/>
            <w:tcBorders>
              <w:bottom w:val="single" w:sz="8" w:color="071D49"/>
            </w:tcBorders>
            <w:vMerge w:val="continue"/>
          </w:tcPr>
          <w:p>
            <w:pPr>
              <w:spacing w:after="0"/>
              <w:rPr>
                <w:sz w:val="13"/>
                <w:szCs w:val="13"/>
                <w:color w:val="auto"/>
              </w:rPr>
            </w:pPr>
          </w:p>
        </w:tc>
        <w:tc>
          <w:tcPr>
            <w:tcW w:w="1540" w:type="dxa"/>
            <w:vAlign w:val="bottom"/>
            <w:tcBorders>
              <w:bottom w:val="single" w:sz="8" w:color="071D49"/>
            </w:tcBorders>
            <w:gridSpan w:val="2"/>
          </w:tcPr>
          <w:p>
            <w:pPr>
              <w:jc w:val="right"/>
              <w:ind w:right="118"/>
              <w:spacing w:after="0"/>
              <w:rPr>
                <w:sz w:val="20"/>
                <w:szCs w:val="20"/>
                <w:color w:val="auto"/>
              </w:rPr>
            </w:pPr>
            <w:r>
              <w:rPr>
                <w:rFonts w:ascii="Arial" w:cs="Arial" w:eastAsia="Arial" w:hAnsi="Arial"/>
                <w:sz w:val="13"/>
                <w:szCs w:val="13"/>
                <w:b w:val="1"/>
                <w:bCs w:val="1"/>
                <w:color w:val="071D49"/>
              </w:rPr>
              <w:t>2022 Actual</w:t>
            </w:r>
          </w:p>
        </w:tc>
        <w:tc>
          <w:tcPr>
            <w:tcW w:w="120" w:type="dxa"/>
            <w:vAlign w:val="bottom"/>
            <w:tcBorders>
              <w:bottom w:val="single" w:sz="8" w:color="071D49"/>
            </w:tcBorders>
          </w:tcPr>
          <w:p>
            <w:pPr>
              <w:spacing w:after="0"/>
              <w:rPr>
                <w:sz w:val="13"/>
                <w:szCs w:val="13"/>
                <w:color w:val="auto"/>
              </w:rPr>
            </w:pPr>
          </w:p>
        </w:tc>
        <w:tc>
          <w:tcPr>
            <w:tcW w:w="1040" w:type="dxa"/>
            <w:vAlign w:val="bottom"/>
            <w:tcBorders>
              <w:bottom w:val="single" w:sz="8" w:color="071D49"/>
            </w:tcBorders>
          </w:tcPr>
          <w:p>
            <w:pPr>
              <w:jc w:val="right"/>
              <w:ind w:right="253"/>
              <w:spacing w:after="0"/>
              <w:rPr>
                <w:sz w:val="20"/>
                <w:szCs w:val="20"/>
                <w:color w:val="auto"/>
              </w:rPr>
            </w:pPr>
            <w:r>
              <w:rPr>
                <w:rFonts w:ascii="Arial" w:cs="Arial" w:eastAsia="Arial" w:hAnsi="Arial"/>
                <w:sz w:val="13"/>
                <w:szCs w:val="13"/>
                <w:b w:val="1"/>
                <w:bCs w:val="1"/>
                <w:color w:val="071D49"/>
                <w:w w:val="96"/>
              </w:rPr>
              <w:t>2023 Target</w:t>
            </w:r>
          </w:p>
        </w:tc>
        <w:tc>
          <w:tcPr>
            <w:tcW w:w="1380" w:type="dxa"/>
            <w:vAlign w:val="bottom"/>
            <w:tcBorders>
              <w:bottom w:val="single" w:sz="8" w:color="071D49"/>
            </w:tcBorders>
          </w:tcPr>
          <w:p>
            <w:pPr>
              <w:jc w:val="right"/>
              <w:ind w:right="193"/>
              <w:spacing w:after="0"/>
              <w:rPr>
                <w:sz w:val="20"/>
                <w:szCs w:val="20"/>
                <w:color w:val="auto"/>
              </w:rPr>
            </w:pPr>
            <w:r>
              <w:rPr>
                <w:rFonts w:ascii="Arial" w:cs="Arial" w:eastAsia="Arial" w:hAnsi="Arial"/>
                <w:sz w:val="13"/>
                <w:szCs w:val="13"/>
                <w:b w:val="1"/>
                <w:bCs w:val="1"/>
                <w:color w:val="071D49"/>
              </w:rPr>
              <w:t>2022 Actual</w:t>
            </w:r>
          </w:p>
        </w:tc>
        <w:tc>
          <w:tcPr>
            <w:tcW w:w="1140" w:type="dxa"/>
            <w:vAlign w:val="bottom"/>
            <w:tcBorders>
              <w:bottom w:val="single" w:sz="8" w:color="071D49"/>
            </w:tcBorders>
            <w:gridSpan w:val="2"/>
          </w:tcPr>
          <w:p>
            <w:pPr>
              <w:jc w:val="right"/>
              <w:ind w:right="178"/>
              <w:spacing w:after="0"/>
              <w:rPr>
                <w:sz w:val="20"/>
                <w:szCs w:val="20"/>
                <w:color w:val="auto"/>
              </w:rPr>
            </w:pPr>
            <w:r>
              <w:rPr>
                <w:rFonts w:ascii="Arial" w:cs="Arial" w:eastAsia="Arial" w:hAnsi="Arial"/>
                <w:sz w:val="13"/>
                <w:szCs w:val="13"/>
                <w:b w:val="1"/>
                <w:bCs w:val="1"/>
                <w:color w:val="071D49"/>
              </w:rPr>
              <w:t>2023 Actual</w:t>
            </w:r>
          </w:p>
        </w:tc>
        <w:tc>
          <w:tcPr>
            <w:tcW w:w="1220" w:type="dxa"/>
            <w:vAlign w:val="bottom"/>
            <w:tcBorders>
              <w:bottom w:val="single" w:sz="8" w:color="071D49"/>
            </w:tcBorders>
          </w:tcPr>
          <w:p>
            <w:pPr>
              <w:jc w:val="right"/>
              <w:ind w:right="93"/>
              <w:spacing w:after="0"/>
              <w:rPr>
                <w:sz w:val="20"/>
                <w:szCs w:val="20"/>
                <w:color w:val="auto"/>
              </w:rPr>
            </w:pPr>
            <w:r>
              <w:rPr>
                <w:rFonts w:ascii="Arial" w:cs="Arial" w:eastAsia="Arial" w:hAnsi="Arial"/>
                <w:sz w:val="13"/>
                <w:szCs w:val="13"/>
                <w:b w:val="1"/>
                <w:bCs w:val="1"/>
                <w:color w:val="071D49"/>
              </w:rPr>
              <w:t>2023 Target</w:t>
            </w:r>
          </w:p>
        </w:tc>
        <w:tc>
          <w:tcPr>
            <w:tcW w:w="0" w:type="dxa"/>
            <w:vAlign w:val="bottom"/>
          </w:tcPr>
          <w:p>
            <w:pPr>
              <w:spacing w:after="0"/>
              <w:rPr>
                <w:sz w:val="1"/>
                <w:szCs w:val="1"/>
                <w:color w:val="auto"/>
              </w:rPr>
            </w:pPr>
          </w:p>
        </w:tc>
      </w:tr>
      <w:tr>
        <w:trPr>
          <w:trHeight w:val="143"/>
        </w:trPr>
        <w:tc>
          <w:tcPr>
            <w:tcW w:w="2700" w:type="dxa"/>
            <w:vAlign w:val="bottom"/>
            <w:shd w:val="clear" w:color="auto" w:fill="D9D9D9"/>
          </w:tcPr>
          <w:p>
            <w:pPr>
              <w:ind w:left="20"/>
              <w:spacing w:after="0" w:line="143" w:lineRule="exact"/>
              <w:rPr>
                <w:sz w:val="20"/>
                <w:szCs w:val="20"/>
                <w:color w:val="auto"/>
              </w:rPr>
            </w:pPr>
            <w:r>
              <w:rPr>
                <w:rFonts w:ascii="Arial" w:cs="Arial" w:eastAsia="Arial" w:hAnsi="Arial"/>
                <w:sz w:val="11"/>
                <w:szCs w:val="11"/>
                <w:color w:val="auto"/>
              </w:rPr>
              <w:t>A. Platform Revenue</w:t>
            </w:r>
            <w:r>
              <w:rPr>
                <w:rFonts w:ascii="Arial" w:cs="Arial" w:eastAsia="Arial" w:hAnsi="Arial"/>
                <w:sz w:val="16"/>
                <w:szCs w:val="16"/>
                <w:color w:val="auto"/>
                <w:vertAlign w:val="superscript"/>
              </w:rPr>
              <w:t>(2)</w:t>
            </w:r>
          </w:p>
        </w:tc>
        <w:tc>
          <w:tcPr>
            <w:tcW w:w="740" w:type="dxa"/>
            <w:vAlign w:val="bottom"/>
            <w:shd w:val="clear" w:color="auto" w:fill="D9D9D9"/>
          </w:tcPr>
          <w:p>
            <w:pPr>
              <w:jc w:val="right"/>
              <w:ind w:right="53"/>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9D9D9"/>
          </w:tcPr>
          <w:p>
            <w:pPr>
              <w:jc w:val="right"/>
              <w:spacing w:after="0" w:line="143" w:lineRule="exact"/>
              <w:rPr>
                <w:sz w:val="20"/>
                <w:szCs w:val="20"/>
                <w:color w:val="auto"/>
              </w:rPr>
            </w:pPr>
            <w:r>
              <w:rPr>
                <w:rFonts w:ascii="Arial" w:cs="Arial" w:eastAsia="Arial" w:hAnsi="Arial"/>
                <w:sz w:val="11"/>
                <w:szCs w:val="11"/>
                <w:color w:val="auto"/>
              </w:rPr>
              <w:t xml:space="preserve">37.6 BN </w:t>
            </w:r>
            <w:r>
              <w:rPr>
                <w:rFonts w:ascii="Arial" w:cs="Arial" w:eastAsia="Arial" w:hAnsi="Arial"/>
                <w:sz w:val="16"/>
                <w:szCs w:val="16"/>
                <w:color w:val="auto"/>
                <w:vertAlign w:val="superscript"/>
              </w:rPr>
              <w:t>(2)</w:t>
            </w:r>
          </w:p>
        </w:tc>
        <w:tc>
          <w:tcPr>
            <w:tcW w:w="1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D9D9D9"/>
          </w:tcPr>
          <w:p>
            <w:pPr>
              <w:jc w:val="right"/>
              <w:ind w:right="253"/>
              <w:spacing w:after="0" w:line="143" w:lineRule="exact"/>
              <w:rPr>
                <w:sz w:val="20"/>
                <w:szCs w:val="20"/>
                <w:color w:val="auto"/>
              </w:rPr>
            </w:pPr>
            <w:r>
              <w:rPr>
                <w:rFonts w:ascii="Arial" w:cs="Arial" w:eastAsia="Arial" w:hAnsi="Arial"/>
                <w:sz w:val="13"/>
                <w:szCs w:val="13"/>
                <w:color w:val="auto"/>
              </w:rPr>
              <w:t>38.8 BN</w:t>
            </w:r>
          </w:p>
        </w:tc>
        <w:tc>
          <w:tcPr>
            <w:tcW w:w="1380" w:type="dxa"/>
            <w:vAlign w:val="bottom"/>
            <w:shd w:val="clear" w:color="auto" w:fill="D9D9D9"/>
          </w:tcPr>
          <w:p>
            <w:pPr>
              <w:jc w:val="right"/>
              <w:ind w:right="33"/>
              <w:spacing w:after="0" w:line="143" w:lineRule="exact"/>
              <w:rPr>
                <w:sz w:val="20"/>
                <w:szCs w:val="20"/>
                <w:color w:val="auto"/>
              </w:rPr>
            </w:pPr>
            <w:r>
              <w:rPr>
                <w:rFonts w:ascii="Arial" w:cs="Arial" w:eastAsia="Arial" w:hAnsi="Arial"/>
                <w:sz w:val="13"/>
                <w:szCs w:val="13"/>
                <w:color w:val="auto"/>
              </w:rPr>
              <w:t>103 %</w:t>
            </w:r>
          </w:p>
        </w:tc>
        <w:tc>
          <w:tcPr>
            <w:tcW w:w="300" w:type="dxa"/>
            <w:vAlign w:val="bottom"/>
            <w:shd w:val="clear" w:color="auto" w:fill="D9D9D9"/>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840" w:type="dxa"/>
            <w:vAlign w:val="bottom"/>
            <w:shd w:val="clear" w:color="auto" w:fill="D9D9D9"/>
          </w:tcPr>
          <w:p>
            <w:pPr>
              <w:jc w:val="right"/>
              <w:ind w:right="18"/>
              <w:spacing w:after="0" w:line="143" w:lineRule="exact"/>
              <w:rPr>
                <w:sz w:val="20"/>
                <w:szCs w:val="20"/>
                <w:color w:val="auto"/>
              </w:rPr>
            </w:pPr>
            <w:r>
              <w:rPr>
                <w:rFonts w:ascii="Arial" w:cs="Arial" w:eastAsia="Arial" w:hAnsi="Arial"/>
                <w:sz w:val="11"/>
                <w:szCs w:val="11"/>
                <w:color w:val="auto"/>
              </w:rPr>
              <w:t xml:space="preserve">40.0 BN </w:t>
            </w:r>
            <w:r>
              <w:rPr>
                <w:rFonts w:ascii="Arial" w:cs="Arial" w:eastAsia="Arial" w:hAnsi="Arial"/>
                <w:sz w:val="16"/>
                <w:szCs w:val="16"/>
                <w:color w:val="auto"/>
                <w:vertAlign w:val="superscript"/>
              </w:rPr>
              <w:t>(2)</w:t>
            </w:r>
          </w:p>
        </w:tc>
        <w:tc>
          <w:tcPr>
            <w:tcW w:w="12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103 %</w:t>
            </w:r>
          </w:p>
        </w:tc>
        <w:tc>
          <w:tcPr>
            <w:tcW w:w="0" w:type="dxa"/>
            <w:vAlign w:val="bottom"/>
          </w:tcPr>
          <w:p>
            <w:pPr>
              <w:spacing w:after="0"/>
              <w:rPr>
                <w:sz w:val="1"/>
                <w:szCs w:val="1"/>
                <w:color w:val="auto"/>
              </w:rPr>
            </w:pPr>
          </w:p>
        </w:tc>
      </w:tr>
      <w:tr>
        <w:trPr>
          <w:trHeight w:val="150"/>
        </w:trPr>
        <w:tc>
          <w:tcPr>
            <w:tcW w:w="2700" w:type="dxa"/>
            <w:vAlign w:val="bottom"/>
          </w:tcPr>
          <w:p>
            <w:pPr>
              <w:ind w:left="20"/>
              <w:spacing w:after="0"/>
              <w:rPr>
                <w:sz w:val="20"/>
                <w:szCs w:val="20"/>
                <w:color w:val="auto"/>
              </w:rPr>
            </w:pPr>
            <w:r>
              <w:rPr>
                <w:rFonts w:ascii="Arial" w:cs="Arial" w:eastAsia="Arial" w:hAnsi="Arial"/>
                <w:sz w:val="13"/>
                <w:szCs w:val="13"/>
                <w:color w:val="auto"/>
              </w:rPr>
              <w:t>B. Non</w:t>
            </w:r>
            <w:r>
              <w:rPr>
                <w:rFonts w:ascii="Times New Roman" w:cs="Times New Roman" w:eastAsia="Times New Roman" w:hAnsi="Times New Roman"/>
                <w:sz w:val="13"/>
                <w:szCs w:val="13"/>
                <w:color w:val="auto"/>
              </w:rPr>
              <w:t>-</w:t>
            </w:r>
            <w:r>
              <w:rPr>
                <w:rFonts w:ascii="Arial" w:cs="Arial" w:eastAsia="Arial" w:hAnsi="Arial"/>
                <w:sz w:val="13"/>
                <w:szCs w:val="13"/>
                <w:color w:val="auto"/>
              </w:rPr>
              <w:t>GAAP Income Before Taxes</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50" w:lineRule="exact"/>
              <w:rPr>
                <w:sz w:val="20"/>
                <w:szCs w:val="20"/>
                <w:color w:val="auto"/>
              </w:rPr>
            </w:pPr>
            <w:r>
              <w:rPr>
                <w:rFonts w:ascii="Arial" w:cs="Arial" w:eastAsia="Arial" w:hAnsi="Arial"/>
                <w:sz w:val="12"/>
                <w:szCs w:val="12"/>
                <w:color w:val="auto"/>
              </w:rPr>
              <w:t xml:space="preserve">29.2 BN </w:t>
            </w:r>
            <w:r>
              <w:rPr>
                <w:rFonts w:ascii="Arial" w:cs="Arial" w:eastAsia="Arial" w:hAnsi="Arial"/>
                <w:sz w:val="17"/>
                <w:szCs w:val="17"/>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53"/>
              <w:spacing w:after="0"/>
              <w:rPr>
                <w:sz w:val="20"/>
                <w:szCs w:val="20"/>
                <w:color w:val="auto"/>
              </w:rPr>
            </w:pPr>
            <w:r>
              <w:rPr>
                <w:rFonts w:ascii="Arial" w:cs="Arial" w:eastAsia="Arial" w:hAnsi="Arial"/>
                <w:sz w:val="13"/>
                <w:szCs w:val="13"/>
                <w:color w:val="auto"/>
              </w:rPr>
              <w:t>23.1 BN</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79 %</w:t>
            </w:r>
          </w:p>
        </w:tc>
        <w:tc>
          <w:tcPr>
            <w:tcW w:w="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8"/>
              <w:spacing w:after="0" w:line="150" w:lineRule="exact"/>
              <w:rPr>
                <w:sz w:val="20"/>
                <w:szCs w:val="20"/>
                <w:color w:val="auto"/>
              </w:rPr>
            </w:pPr>
            <w:r>
              <w:rPr>
                <w:rFonts w:ascii="Arial" w:cs="Arial" w:eastAsia="Arial" w:hAnsi="Arial"/>
                <w:sz w:val="12"/>
                <w:szCs w:val="12"/>
                <w:color w:val="auto"/>
              </w:rPr>
              <w:t xml:space="preserve">24.4 BN </w:t>
            </w:r>
            <w:r>
              <w:rPr>
                <w:rFonts w:ascii="Arial" w:cs="Arial" w:eastAsia="Arial" w:hAnsi="Arial"/>
                <w:sz w:val="17"/>
                <w:szCs w:val="17"/>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50"/>
        </w:trPr>
        <w:tc>
          <w:tcPr>
            <w:tcW w:w="2700" w:type="dxa"/>
            <w:vAlign w:val="bottom"/>
            <w:shd w:val="clear" w:color="auto" w:fill="D9D9D9"/>
          </w:tcPr>
          <w:p>
            <w:pPr>
              <w:ind w:left="20"/>
              <w:spacing w:after="0"/>
              <w:rPr>
                <w:sz w:val="20"/>
                <w:szCs w:val="20"/>
                <w:color w:val="auto"/>
              </w:rPr>
            </w:pPr>
            <w:r>
              <w:rPr>
                <w:rFonts w:ascii="Arial" w:cs="Arial" w:eastAsia="Arial" w:hAnsi="Arial"/>
                <w:sz w:val="13"/>
                <w:szCs w:val="13"/>
                <w:color w:val="auto"/>
              </w:rPr>
              <w:t>C. Adjusted Return on Assets</w:t>
            </w:r>
          </w:p>
        </w:tc>
        <w:tc>
          <w:tcPr>
            <w:tcW w:w="740" w:type="dxa"/>
            <w:vAlign w:val="bottom"/>
            <w:shd w:val="clear" w:color="auto" w:fill="D9D9D9"/>
          </w:tcPr>
          <w:p>
            <w:pPr>
              <w:spacing w:after="0"/>
              <w:rPr>
                <w:sz w:val="13"/>
                <w:szCs w:val="13"/>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3"/>
                <w:szCs w:val="13"/>
                <w:color w:val="auto"/>
              </w:rPr>
              <w:t>23.0 %</w:t>
            </w:r>
          </w:p>
        </w:tc>
        <w:tc>
          <w:tcPr>
            <w:tcW w:w="120" w:type="dxa"/>
            <w:vAlign w:val="bottom"/>
            <w:shd w:val="clear" w:color="auto" w:fill="D9D9D9"/>
          </w:tcPr>
          <w:p>
            <w:pPr>
              <w:spacing w:after="0"/>
              <w:rPr>
                <w:sz w:val="13"/>
                <w:szCs w:val="13"/>
                <w:color w:val="auto"/>
              </w:rPr>
            </w:pPr>
          </w:p>
        </w:tc>
        <w:tc>
          <w:tcPr>
            <w:tcW w:w="1040" w:type="dxa"/>
            <w:vAlign w:val="bottom"/>
            <w:shd w:val="clear" w:color="auto" w:fill="D9D9D9"/>
          </w:tcPr>
          <w:p>
            <w:pPr>
              <w:jc w:val="right"/>
              <w:ind w:right="93"/>
              <w:spacing w:after="0"/>
              <w:rPr>
                <w:sz w:val="20"/>
                <w:szCs w:val="20"/>
                <w:color w:val="auto"/>
              </w:rPr>
            </w:pPr>
            <w:r>
              <w:rPr>
                <w:rFonts w:ascii="Arial" w:cs="Arial" w:eastAsia="Arial" w:hAnsi="Arial"/>
                <w:sz w:val="13"/>
                <w:szCs w:val="13"/>
                <w:color w:val="auto"/>
              </w:rPr>
              <w:t>19.4 %</w:t>
            </w:r>
          </w:p>
        </w:tc>
        <w:tc>
          <w:tcPr>
            <w:tcW w:w="138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84  %</w:t>
            </w:r>
          </w:p>
        </w:tc>
        <w:tc>
          <w:tcPr>
            <w:tcW w:w="300" w:type="dxa"/>
            <w:vAlign w:val="bottom"/>
            <w:shd w:val="clear" w:color="auto" w:fill="D9D9D9"/>
          </w:tcPr>
          <w:p>
            <w:pPr>
              <w:spacing w:after="0"/>
              <w:rPr>
                <w:sz w:val="13"/>
                <w:szCs w:val="13"/>
                <w:color w:val="auto"/>
              </w:rPr>
            </w:pPr>
          </w:p>
        </w:tc>
        <w:tc>
          <w:tcPr>
            <w:tcW w:w="840" w:type="dxa"/>
            <w:vAlign w:val="bottom"/>
            <w:shd w:val="clear" w:color="auto" w:fill="D9D9D9"/>
          </w:tcPr>
          <w:p>
            <w:pPr>
              <w:jc w:val="right"/>
              <w:ind w:right="18"/>
              <w:spacing w:after="0"/>
              <w:rPr>
                <w:sz w:val="20"/>
                <w:szCs w:val="20"/>
                <w:color w:val="auto"/>
              </w:rPr>
            </w:pPr>
            <w:r>
              <w:rPr>
                <w:rFonts w:ascii="Arial" w:cs="Arial" w:eastAsia="Arial" w:hAnsi="Arial"/>
                <w:sz w:val="13"/>
                <w:szCs w:val="13"/>
                <w:color w:val="auto"/>
              </w:rPr>
              <w:t>20.6 %</w:t>
            </w:r>
          </w:p>
        </w:tc>
        <w:tc>
          <w:tcPr>
            <w:tcW w:w="12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268"/>
        </w:trPr>
        <w:tc>
          <w:tcPr>
            <w:tcW w:w="2700" w:type="dxa"/>
            <w:vAlign w:val="bottom"/>
          </w:tcPr>
          <w:p>
            <w:pPr>
              <w:ind w:left="20"/>
              <w:spacing w:after="0" w:line="150" w:lineRule="exact"/>
              <w:rPr>
                <w:sz w:val="20"/>
                <w:szCs w:val="20"/>
                <w:color w:val="auto"/>
              </w:rPr>
            </w:pPr>
            <w:r>
              <w:rPr>
                <w:rFonts w:ascii="Arial" w:cs="Arial" w:eastAsia="Arial" w:hAnsi="Arial"/>
                <w:sz w:val="13"/>
                <w:szCs w:val="13"/>
                <w:color w:val="auto"/>
              </w:rPr>
              <w:t>D. Non</w:t>
            </w:r>
            <w:r>
              <w:rPr>
                <w:rFonts w:ascii="MS PGothic" w:cs="MS PGothic" w:eastAsia="MS PGothic" w:hAnsi="MS PGothic"/>
                <w:sz w:val="13"/>
                <w:szCs w:val="13"/>
                <w:color w:val="auto"/>
              </w:rPr>
              <w:t>‑</w:t>
            </w:r>
            <w:r>
              <w:rPr>
                <w:rFonts w:ascii="Arial" w:cs="Arial" w:eastAsia="Arial" w:hAnsi="Arial"/>
                <w:sz w:val="13"/>
                <w:szCs w:val="13"/>
                <w:color w:val="auto"/>
              </w:rPr>
              <w:t>GAAP Operating Margin</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 xml:space="preserve">31.0 BN </w:t>
            </w:r>
            <w:r>
              <w:rPr>
                <w:rFonts w:ascii="Arial" w:cs="Arial" w:eastAsia="Arial" w:hAnsi="Arial"/>
                <w:sz w:val="20"/>
                <w:szCs w:val="20"/>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53"/>
              <w:spacing w:after="0"/>
              <w:rPr>
                <w:sz w:val="20"/>
                <w:szCs w:val="20"/>
                <w:color w:val="auto"/>
              </w:rPr>
            </w:pPr>
            <w:r>
              <w:rPr>
                <w:rFonts w:ascii="Arial" w:cs="Arial" w:eastAsia="Arial" w:hAnsi="Arial"/>
                <w:sz w:val="13"/>
                <w:szCs w:val="13"/>
                <w:color w:val="auto"/>
              </w:rPr>
              <w:t>24.8 BN</w:t>
            </w:r>
          </w:p>
        </w:tc>
        <w:tc>
          <w:tcPr>
            <w:tcW w:w="1380" w:type="dxa"/>
            <w:vAlign w:val="bottom"/>
          </w:tcPr>
          <w:p>
            <w:pPr>
              <w:jc w:val="right"/>
              <w:ind w:right="33"/>
              <w:spacing w:after="0"/>
              <w:rPr>
                <w:sz w:val="20"/>
                <w:szCs w:val="20"/>
                <w:color w:val="auto"/>
              </w:rPr>
            </w:pPr>
            <w:r>
              <w:rPr>
                <w:rFonts w:ascii="Arial" w:cs="Arial" w:eastAsia="Arial" w:hAnsi="Arial"/>
                <w:sz w:val="13"/>
                <w:szCs w:val="13"/>
                <w:color w:val="auto"/>
              </w:rPr>
              <w:t>80 %</w:t>
            </w:r>
          </w:p>
        </w:tc>
        <w:tc>
          <w:tcPr>
            <w:tcW w:w="3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8"/>
              <w:spacing w:after="0"/>
              <w:rPr>
                <w:sz w:val="20"/>
                <w:szCs w:val="20"/>
                <w:color w:val="auto"/>
              </w:rPr>
            </w:pPr>
            <w:r>
              <w:rPr>
                <w:rFonts w:ascii="Arial" w:cs="Arial" w:eastAsia="Arial" w:hAnsi="Arial"/>
                <w:sz w:val="13"/>
                <w:szCs w:val="13"/>
                <w:color w:val="auto"/>
              </w:rPr>
              <w:t xml:space="preserve">25.7 BN </w:t>
            </w:r>
            <w:r>
              <w:rPr>
                <w:rFonts w:ascii="Arial" w:cs="Arial" w:eastAsia="Arial" w:hAnsi="Arial"/>
                <w:sz w:val="20"/>
                <w:szCs w:val="20"/>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4700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58" w:lineRule="exact"/>
        <w:rPr>
          <w:sz w:val="20"/>
          <w:szCs w:val="20"/>
          <w:color w:val="auto"/>
        </w:rPr>
      </w:pPr>
    </w:p>
    <w:p>
      <w:pPr>
        <w:ind w:left="320" w:hanging="308"/>
        <w:spacing w:after="0"/>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Results achieved reflect certain specified items, which are reconciled in Appendix B.</w:t>
      </w:r>
    </w:p>
    <w:p>
      <w:pPr>
        <w:spacing w:after="0" w:line="92" w:lineRule="exact"/>
        <w:rPr>
          <w:rFonts w:ascii="Arial" w:cs="Arial" w:eastAsia="Arial" w:hAnsi="Arial"/>
          <w:sz w:val="17"/>
          <w:szCs w:val="17"/>
          <w:color w:val="auto"/>
        </w:rPr>
      </w:pPr>
    </w:p>
    <w:p>
      <w:pPr>
        <w:ind w:left="320" w:right="60" w:hanging="308"/>
        <w:spacing w:after="0" w:line="238" w:lineRule="auto"/>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Platform Revenue is a non-GAAP metric comprised of net revenues less total Humira sales and adjusted for foreign exchange, as outlined in Appendix B. The committee retained for 2023 the use of Platform Revenue, first introduced as a performance metric within the PIP in 2022, to reinforce management’s focus on growth opportunities to offset anticipated revenue decline associated with U.S. Humira LOE. The Platform Revenue target and result are adjusted for foreign exchange because it is unpredictable at the time the target is set.</w:t>
      </w:r>
    </w:p>
    <w:p>
      <w:pPr>
        <w:spacing w:after="0" w:line="69" w:lineRule="exact"/>
        <w:rPr>
          <w:rFonts w:ascii="Arial" w:cs="Arial" w:eastAsia="Arial" w:hAnsi="Arial"/>
          <w:sz w:val="17"/>
          <w:szCs w:val="17"/>
          <w:color w:val="auto"/>
        </w:rPr>
      </w:pPr>
    </w:p>
    <w:p>
      <w:pPr>
        <w:ind w:left="320" w:hanging="308"/>
        <w:spacing w:after="0"/>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Evaluated on a constant currency basis.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Short-Term Incentive Strategic and Leadership Goals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Each NEO achieved or exceeded their 2023 strategic and leadership goals, which are listed below:</w:t>
      </w:r>
    </w:p>
    <w:p>
      <w:pPr>
        <w:spacing w:after="0" w:line="192" w:lineRule="exact"/>
        <w:rPr>
          <w:sz w:val="20"/>
          <w:szCs w:val="20"/>
          <w:color w:val="auto"/>
        </w:rPr>
      </w:pPr>
    </w:p>
    <w:p>
      <w:pPr>
        <w:ind w:left="320" w:right="260" w:hanging="308"/>
        <w:spacing w:after="0" w:line="235" w:lineRule="auto"/>
        <w:tabs>
          <w:tab w:leader="none" w:pos="320" w:val="left"/>
        </w:tabs>
        <w:numPr>
          <w:ilvl w:val="0"/>
          <w:numId w:val="69"/>
        </w:numPr>
        <w:rPr>
          <w:rFonts w:ascii="Times New Roman" w:cs="Times New Roman" w:eastAsia="Times New Roman" w:hAnsi="Times New Roman"/>
          <w:sz w:val="17"/>
          <w:szCs w:val="17"/>
          <w:color w:val="071D49"/>
        </w:rPr>
      </w:pPr>
      <w:r>
        <w:rPr>
          <w:rFonts w:ascii="Arial" w:cs="Arial" w:eastAsia="Arial" w:hAnsi="Arial"/>
          <w:sz w:val="17"/>
          <w:szCs w:val="17"/>
          <w:b w:val="1"/>
          <w:bCs w:val="1"/>
          <w:color w:val="auto"/>
        </w:rPr>
        <w:t xml:space="preserve">Richard A. Gonzalez: </w:t>
      </w:r>
      <w:r>
        <w:rPr>
          <w:rFonts w:ascii="Arial" w:cs="Arial" w:eastAsia="Arial" w:hAnsi="Arial"/>
          <w:sz w:val="17"/>
          <w:szCs w:val="17"/>
          <w:color w:val="auto"/>
        </w:rPr>
        <w:t>Drive top-tier business performance; execute key strategic initiatives to drive sustainable long-term business performance; deliver value to our stockholders, building investor confidence and credibility; successfully advance mid- and late-stage pipeline assets; continue to drive employee engagement and motivation around AbbVie’s mission and future prospects; and advance our transformation to a biopharmaceutical culture.</w:t>
      </w:r>
    </w:p>
    <w:p>
      <w:pPr>
        <w:ind w:left="320" w:right="260" w:hanging="308"/>
        <w:spacing w:after="0" w:line="244" w:lineRule="auto"/>
        <w:tabs>
          <w:tab w:leader="none" w:pos="320" w:val="left"/>
        </w:tabs>
        <w:numPr>
          <w:ilvl w:val="0"/>
          <w:numId w:val="69"/>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 xml:space="preserve">Robert A. Michael: </w:t>
      </w:r>
      <w:r>
        <w:rPr>
          <w:rFonts w:ascii="Arial" w:cs="Arial" w:eastAsia="Arial" w:hAnsi="Arial"/>
          <w:sz w:val="16"/>
          <w:szCs w:val="16"/>
          <w:color w:val="auto"/>
        </w:rPr>
        <w:t>Achieve proprietary pharmaceutical pipeline enhancement objectives and key product milestones;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provide support on corporate strategic initiatives and build shareholder value through investor activities.</w:t>
      </w:r>
    </w:p>
    <w:p>
      <w:pPr>
        <w:ind w:left="320" w:right="380" w:hanging="308"/>
        <w:spacing w:after="0" w:line="229" w:lineRule="auto"/>
        <w:tabs>
          <w:tab w:leader="none" w:pos="320" w:val="left"/>
        </w:tabs>
        <w:numPr>
          <w:ilvl w:val="0"/>
          <w:numId w:val="69"/>
        </w:numPr>
        <w:rPr>
          <w:rFonts w:ascii="Times New Roman" w:cs="Times New Roman" w:eastAsia="Times New Roman" w:hAnsi="Times New Roman"/>
          <w:sz w:val="17"/>
          <w:szCs w:val="17"/>
          <w:color w:val="071D49"/>
        </w:rPr>
      </w:pPr>
      <w:r>
        <w:rPr>
          <w:rFonts w:ascii="Arial" w:cs="Arial" w:eastAsia="Arial" w:hAnsi="Arial"/>
          <w:sz w:val="17"/>
          <w:szCs w:val="17"/>
          <w:b w:val="1"/>
          <w:bCs w:val="1"/>
          <w:color w:val="auto"/>
        </w:rPr>
        <w:t xml:space="preserve">Scott T. Reents: </w:t>
      </w:r>
      <w:r>
        <w:rPr>
          <w:rFonts w:ascii="Arial" w:cs="Arial" w:eastAsia="Arial" w:hAnsi="Arial"/>
          <w:sz w:val="17"/>
          <w:szCs w:val="17"/>
          <w:color w:val="auto"/>
        </w:rPr>
        <w:t>Drive enterprise finance strategic initiatives and transformation; and achieve transaction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w:t>
      </w:r>
    </w:p>
    <w:p>
      <w:pPr>
        <w:spacing w:after="0" w:line="1" w:lineRule="exact"/>
        <w:rPr>
          <w:rFonts w:ascii="Times New Roman" w:cs="Times New Roman" w:eastAsia="Times New Roman" w:hAnsi="Times New Roman"/>
          <w:sz w:val="17"/>
          <w:szCs w:val="17"/>
          <w:color w:val="071D49"/>
        </w:rPr>
      </w:pPr>
    </w:p>
    <w:p>
      <w:pPr>
        <w:ind w:left="320" w:right="40" w:hanging="308"/>
        <w:spacing w:after="0" w:line="229" w:lineRule="auto"/>
        <w:tabs>
          <w:tab w:leader="none" w:pos="320" w:val="left"/>
        </w:tabs>
        <w:numPr>
          <w:ilvl w:val="0"/>
          <w:numId w:val="69"/>
        </w:numPr>
        <w:rPr>
          <w:rFonts w:ascii="Times New Roman" w:cs="Times New Roman" w:eastAsia="Times New Roman" w:hAnsi="Times New Roman"/>
          <w:sz w:val="17"/>
          <w:szCs w:val="17"/>
          <w:color w:val="071D49"/>
        </w:rPr>
      </w:pPr>
      <w:r>
        <w:rPr>
          <w:rFonts w:ascii="Arial" w:cs="Arial" w:eastAsia="Arial" w:hAnsi="Arial"/>
          <w:sz w:val="17"/>
          <w:szCs w:val="17"/>
          <w:b w:val="1"/>
          <w:bCs w:val="1"/>
          <w:color w:val="auto"/>
        </w:rPr>
        <w:t xml:space="preserve">Jeffrey R. Stewart: </w:t>
      </w:r>
      <w:r>
        <w:rPr>
          <w:rFonts w:ascii="Arial" w:cs="Arial" w:eastAsia="Arial" w:hAnsi="Arial"/>
          <w:sz w:val="17"/>
          <w:szCs w:val="17"/>
          <w:color w:val="auto"/>
        </w:rPr>
        <w:t>Achieve key product milestones; drive patient access for all therapies across the different franchises;</w:t>
      </w:r>
      <w:r>
        <w:rPr>
          <w:rFonts w:ascii="Arial" w:cs="Arial" w:eastAsia="Arial" w:hAnsi="Arial"/>
          <w:sz w:val="17"/>
          <w:szCs w:val="17"/>
          <w:b w:val="1"/>
          <w:bCs w:val="1"/>
          <w:color w:val="auto"/>
        </w:rPr>
        <w:t xml:space="preserve"> </w:t>
      </w:r>
      <w:r>
        <w:rPr>
          <w:rFonts w:ascii="Arial" w:cs="Arial" w:eastAsia="Arial" w:hAnsi="Arial"/>
          <w:sz w:val="17"/>
          <w:szCs w:val="17"/>
          <w:color w:val="auto"/>
        </w:rPr>
        <w:t>and successfully adapt and execute market strategies relative to external considerations.</w:t>
      </w:r>
    </w:p>
    <w:p>
      <w:pPr>
        <w:spacing w:after="0" w:line="1" w:lineRule="exact"/>
        <w:rPr>
          <w:rFonts w:ascii="Times New Roman" w:cs="Times New Roman" w:eastAsia="Times New Roman" w:hAnsi="Times New Roman"/>
          <w:sz w:val="17"/>
          <w:szCs w:val="17"/>
          <w:color w:val="071D49"/>
        </w:rPr>
      </w:pPr>
    </w:p>
    <w:p>
      <w:pPr>
        <w:ind w:left="320" w:right="520" w:hanging="308"/>
        <w:spacing w:after="0" w:line="271" w:lineRule="auto"/>
        <w:tabs>
          <w:tab w:leader="none" w:pos="320" w:val="left"/>
        </w:tabs>
        <w:numPr>
          <w:ilvl w:val="0"/>
          <w:numId w:val="69"/>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 xml:space="preserve">Azita Saleki-Gerhardt: </w:t>
      </w:r>
      <w:r>
        <w:rPr>
          <w:rFonts w:ascii="Arial" w:cs="Arial" w:eastAsia="Arial" w:hAnsi="Arial"/>
          <w:sz w:val="16"/>
          <w:szCs w:val="16"/>
          <w:color w:val="auto"/>
        </w:rPr>
        <w:t>Successfully drive operations optimization and milestones; execute on objectives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launches and financial goals; and support research and development initiatives per company strategy.</w:t>
      </w:r>
    </w:p>
    <w:p>
      <w:pPr>
        <w:spacing w:after="0" w:line="143" w:lineRule="exact"/>
        <w:rPr>
          <w:sz w:val="20"/>
          <w:szCs w:val="20"/>
          <w:color w:val="auto"/>
        </w:rPr>
      </w:pPr>
    </w:p>
    <w:p>
      <w:pPr>
        <w:ind w:left="20" w:right="20"/>
        <w:spacing w:after="0" w:line="246" w:lineRule="auto"/>
        <w:rPr>
          <w:sz w:val="20"/>
          <w:szCs w:val="20"/>
          <w:color w:val="auto"/>
        </w:rPr>
      </w:pPr>
      <w:r>
        <w:rPr>
          <w:rFonts w:ascii="Arial" w:cs="Arial" w:eastAsia="Arial" w:hAnsi="Arial"/>
          <w:sz w:val="17"/>
          <w:szCs w:val="17"/>
          <w:color w:val="auto"/>
        </w:rPr>
        <w:t>Assessments of performance against financial results consider the effect of foreign exchange and other specified adjustments and/or unusual or unpredictable events, and the appropriateness of these adjustments is reviewed annually by the committee. In 2023, specified adjustments included intangible asset amortization, acquisition and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46" w:name="page47"/>
    <w:bookmarkEnd w:id="4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8" w:right="40"/>
        <w:spacing w:after="0" w:line="261" w:lineRule="auto"/>
        <w:rPr>
          <w:sz w:val="20"/>
          <w:szCs w:val="20"/>
          <w:color w:val="auto"/>
        </w:rPr>
      </w:pPr>
      <w:r>
        <w:rPr>
          <w:rFonts w:ascii="Arial" w:cs="Arial" w:eastAsia="Arial" w:hAnsi="Arial"/>
          <w:sz w:val="17"/>
          <w:szCs w:val="17"/>
          <w:color w:val="auto"/>
        </w:rPr>
        <w:t>integration-related costs, IPR&amp;D and milestones expense, change in fair value of contingent consideration, impacts related to tax law changes, and other items, as described in Appendix B.</w:t>
      </w:r>
    </w:p>
    <w:p>
      <w:pPr>
        <w:spacing w:after="0" w:line="150" w:lineRule="exact"/>
        <w:rPr>
          <w:sz w:val="20"/>
          <w:szCs w:val="20"/>
          <w:color w:val="auto"/>
        </w:rPr>
      </w:pPr>
    </w:p>
    <w:p>
      <w:pPr>
        <w:ind w:left="8" w:right="120"/>
        <w:spacing w:after="0"/>
        <w:rPr>
          <w:sz w:val="20"/>
          <w:szCs w:val="20"/>
          <w:color w:val="auto"/>
        </w:rPr>
      </w:pPr>
      <w:r>
        <w:rPr>
          <w:rFonts w:ascii="Arial" w:cs="Arial" w:eastAsia="Arial" w:hAnsi="Arial"/>
          <w:sz w:val="17"/>
          <w:szCs w:val="17"/>
          <w:color w:val="auto"/>
        </w:rPr>
        <w:t>In 2023, our NEOs continued to take a formal goal aligned to driving AbbVie’s environmental, social, and governance (ESG) framework. The ESG goal was weighted 10% within the short-term incentive program for each NEO. As part of this ESG goal category, all senior leaders, including the NEOs, continued to take a goal aligned to executing the equity, equality, diversity, and inclusion (EEDI) strategy.</w:t>
      </w:r>
    </w:p>
    <w:p>
      <w:pPr>
        <w:spacing w:after="0" w:line="169" w:lineRule="exact"/>
        <w:rPr>
          <w:sz w:val="20"/>
          <w:szCs w:val="20"/>
          <w:color w:val="auto"/>
        </w:rPr>
      </w:pPr>
    </w:p>
    <w:p>
      <w:pPr>
        <w:jc w:val="both"/>
        <w:ind w:left="8" w:right="560"/>
        <w:spacing w:after="0" w:line="246" w:lineRule="auto"/>
        <w:rPr>
          <w:sz w:val="20"/>
          <w:szCs w:val="20"/>
          <w:color w:val="auto"/>
        </w:rPr>
      </w:pPr>
      <w:r>
        <w:rPr>
          <w:rFonts w:ascii="Arial" w:cs="Arial" w:eastAsia="Arial" w:hAnsi="Arial"/>
          <w:sz w:val="17"/>
          <w:szCs w:val="17"/>
          <w:color w:val="auto"/>
        </w:rPr>
        <w:t>AbbVie’s senior executives have different areas of focus when it comes to driving the company’s ESG framework, and together, the executives’ ESG accomplishments under this goal cover all of AbbVie’s material ESG drivers (which are discussed in more detail on page 8 of this proxy statement).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7"/>
          <w:szCs w:val="17"/>
          <w:color w:val="auto"/>
        </w:rPr>
        <w:t>Example achievements under the ESG goal category in 2023 by AbbVie’s senior executives included, for example:</w:t>
      </w:r>
    </w:p>
    <w:p>
      <w:pPr>
        <w:spacing w:after="0" w:line="8" w:lineRule="exact"/>
        <w:rPr>
          <w:sz w:val="20"/>
          <w:szCs w:val="20"/>
          <w:color w:val="auto"/>
        </w:rPr>
      </w:pPr>
    </w:p>
    <w:p>
      <w:pPr>
        <w:ind w:left="308" w:hanging="308"/>
        <w:spacing w:after="0"/>
        <w:tabs>
          <w:tab w:leader="none" w:pos="308"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Over 218,000 U.S. patients were provided medicine at no cost through our patient assistance program in 2023.</w:t>
      </w:r>
    </w:p>
    <w:p>
      <w:pPr>
        <w:spacing w:after="0" w:line="3" w:lineRule="exact"/>
        <w:rPr>
          <w:rFonts w:ascii="Times New Roman" w:cs="Times New Roman" w:eastAsia="Times New Roman" w:hAnsi="Times New Roman"/>
          <w:sz w:val="17"/>
          <w:szCs w:val="17"/>
          <w:color w:val="auto"/>
        </w:rPr>
      </w:pPr>
    </w:p>
    <w:p>
      <w:pPr>
        <w:ind w:left="308" w:right="80" w:hanging="308"/>
        <w:spacing w:after="0" w:line="229" w:lineRule="auto"/>
        <w:tabs>
          <w:tab w:leader="none" w:pos="308"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AbbVie’s science-based targets were validated by SBTi in 2023 and include a Scope 1 and 2 emissions reduction target, a 100% renewable electricity target and a supplier engagement target for AbbVie’s largest scope 3 categories.</w:t>
      </w:r>
    </w:p>
    <w:p>
      <w:pPr>
        <w:spacing w:after="0" w:line="1" w:lineRule="exact"/>
        <w:rPr>
          <w:rFonts w:ascii="Times New Roman" w:cs="Times New Roman" w:eastAsia="Times New Roman" w:hAnsi="Times New Roman"/>
          <w:sz w:val="17"/>
          <w:szCs w:val="17"/>
          <w:color w:val="auto"/>
        </w:rPr>
      </w:pPr>
    </w:p>
    <w:p>
      <w:pPr>
        <w:ind w:left="308" w:hanging="308"/>
        <w:spacing w:after="0" w:line="241" w:lineRule="auto"/>
        <w:tabs>
          <w:tab w:leader="none" w:pos="308"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In the United States, we held our first Ethics and Compliance Week in 2023, including multiple informational sessions and interviews with senior leaders about the importance of acting with integrity.</w:t>
      </w:r>
    </w:p>
    <w:p>
      <w:pPr>
        <w:spacing w:after="0" w:line="154" w:lineRule="exact"/>
        <w:rPr>
          <w:sz w:val="20"/>
          <w:szCs w:val="20"/>
          <w:color w:val="auto"/>
        </w:rPr>
      </w:pPr>
    </w:p>
    <w:p>
      <w:pPr>
        <w:ind w:left="8" w:right="120"/>
        <w:spacing w:after="0"/>
        <w:rPr>
          <w:sz w:val="20"/>
          <w:szCs w:val="20"/>
          <w:color w:val="auto"/>
        </w:rPr>
      </w:pPr>
      <w:r>
        <w:rPr>
          <w:rFonts w:ascii="Arial" w:cs="Arial" w:eastAsia="Arial" w:hAnsi="Arial"/>
          <w:sz w:val="17"/>
          <w:szCs w:val="17"/>
          <w:color w:val="auto"/>
        </w:rPr>
        <w:t>Our EEDI strategy includes specific priority areas to ensure AbbVie fosters a community that is inclusive and working for our people, patients and business. 2023 progress on this strategy includes:</w:t>
      </w:r>
    </w:p>
    <w:p>
      <w:pPr>
        <w:ind w:left="308" w:hanging="308"/>
        <w:spacing w:after="0" w:line="230" w:lineRule="auto"/>
        <w:tabs>
          <w:tab w:leader="none" w:pos="308"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Fostering a diverse workforce</w:t>
      </w:r>
      <w:r>
        <w:rPr>
          <w:rFonts w:ascii="Arial" w:cs="Arial" w:eastAsia="Arial" w:hAnsi="Arial"/>
          <w:sz w:val="17"/>
          <w:szCs w:val="17"/>
          <w:color w:val="auto"/>
        </w:rPr>
        <w:t>. Developing and delivering innovative life-changing medicines for our diverse patient</w:t>
      </w:r>
      <w:r>
        <w:rPr>
          <w:rFonts w:ascii="Arial" w:cs="Arial" w:eastAsia="Arial" w:hAnsi="Arial"/>
          <w:sz w:val="17"/>
          <w:szCs w:val="17"/>
          <w:i w:val="1"/>
          <w:iCs w:val="1"/>
          <w:color w:val="auto"/>
        </w:rPr>
        <w:t xml:space="preserve"> </w:t>
      </w:r>
      <w:r>
        <w:rPr>
          <w:rFonts w:ascii="Arial" w:cs="Arial" w:eastAsia="Arial" w:hAnsi="Arial"/>
          <w:sz w:val="17"/>
          <w:szCs w:val="17"/>
          <w:color w:val="auto"/>
        </w:rPr>
        <w:t>population with unique health challenges, requiring thoughtfulness and creativity that comes from a wide range of inputs. With this viewpoint in mind, we continued to design and implement talent attraction, sourcing, and hiring solutions, as well as talent development and management approaches, that meet our employees’ talent and career needs. The diversity we seek is broad and includes many unique life experiences and factors. We are proud of our ability to hire and promote based on merit and qualification while still fostering a diverse and inclusive workforce.</w:t>
      </w:r>
    </w:p>
    <w:p>
      <w:pPr>
        <w:spacing w:after="0" w:line="1" w:lineRule="exact"/>
        <w:rPr>
          <w:rFonts w:ascii="Times New Roman" w:cs="Times New Roman" w:eastAsia="Times New Roman" w:hAnsi="Times New Roman"/>
          <w:sz w:val="17"/>
          <w:szCs w:val="17"/>
          <w:color w:val="auto"/>
        </w:rPr>
      </w:pPr>
    </w:p>
    <w:p>
      <w:pPr>
        <w:ind w:left="308" w:right="20" w:hanging="308"/>
        <w:spacing w:after="0" w:line="230" w:lineRule="auto"/>
        <w:tabs>
          <w:tab w:leader="none" w:pos="308"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Building inclusive leadership and belonging</w:t>
      </w:r>
      <w:r>
        <w:rPr>
          <w:rFonts w:ascii="Arial" w:cs="Arial" w:eastAsia="Arial" w:hAnsi="Arial"/>
          <w:sz w:val="17"/>
          <w:szCs w:val="17"/>
          <w:color w:val="auto"/>
        </w:rPr>
        <w:t>. We continued our focus on enhancing the inclusive-leader competency in</w:t>
      </w:r>
      <w:r>
        <w:rPr>
          <w:rFonts w:ascii="Arial" w:cs="Arial" w:eastAsia="Arial" w:hAnsi="Arial"/>
          <w:sz w:val="17"/>
          <w:szCs w:val="17"/>
          <w:i w:val="1"/>
          <w:iCs w:val="1"/>
          <w:color w:val="auto"/>
        </w:rPr>
        <w:t xml:space="preserve"> </w:t>
      </w:r>
      <w:r>
        <w:rPr>
          <w:rFonts w:ascii="Arial" w:cs="Arial" w:eastAsia="Arial" w:hAnsi="Arial"/>
          <w:sz w:val="17"/>
          <w:szCs w:val="17"/>
          <w:color w:val="auto"/>
        </w:rPr>
        <w:t>our people leaders, with emphasis on understanding, skill building, ownership and accountability. We continued to build more equitable and inclusive leadership behaviors related to how leaders operate themselves and how they develop their teams.</w:t>
      </w:r>
    </w:p>
    <w:p>
      <w:pPr>
        <w:ind w:left="308" w:right="140" w:hanging="308"/>
        <w:spacing w:after="0" w:line="235" w:lineRule="auto"/>
        <w:tabs>
          <w:tab w:leader="none" w:pos="308"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Strengthening community, well-being and belonging</w:t>
      </w:r>
      <w:r>
        <w:rPr>
          <w:rFonts w:ascii="Arial" w:cs="Arial" w:eastAsia="Arial" w:hAnsi="Arial"/>
          <w:sz w:val="17"/>
          <w:szCs w:val="17"/>
          <w:color w:val="auto"/>
        </w:rPr>
        <w:t>. We continued to enhance the impact of our inclusive culture by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addressing opportunities for belonging and well-being. This includes continuing our series of employee voice sessions, focused on enhancing workplace culture and advancing inclusion, and introducing new resources, such as our Inclusive Benefits Guide.</w:t>
      </w:r>
    </w:p>
    <w:p>
      <w:pPr>
        <w:spacing w:after="0" w:line="25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Annual Incentive Payout Matrix</w:t>
      </w:r>
    </w:p>
    <w:p>
      <w:pPr>
        <w:spacing w:after="0" w:line="92" w:lineRule="exact"/>
        <w:rPr>
          <w:sz w:val="20"/>
          <w:szCs w:val="20"/>
          <w:color w:val="auto"/>
        </w:rPr>
      </w:pPr>
    </w:p>
    <w:p>
      <w:pPr>
        <w:jc w:val="both"/>
        <w:ind w:left="8"/>
        <w:spacing w:after="0" w:line="246" w:lineRule="auto"/>
        <w:rPr>
          <w:sz w:val="20"/>
          <w:szCs w:val="20"/>
          <w:color w:val="auto"/>
        </w:rPr>
      </w:pPr>
      <w:r>
        <w:rPr>
          <w:rFonts w:ascii="Arial" w:cs="Arial" w:eastAsia="Arial" w:hAnsi="Arial"/>
          <w:sz w:val="17"/>
          <w:szCs w:val="17"/>
          <w:color w:val="auto"/>
        </w:rPr>
        <w:t>Determining actual incentive amounts is a multi-step process. A formal payout matrix based on platform revenue and income before taxes guides the committee by capping the range of final awards at or below the plan maximum of 200% of target. The matrix is used to ensure alignment between PIP payout outcomes and company financial performance.</w:t>
      </w:r>
    </w:p>
    <w:p>
      <w:pPr>
        <w:spacing w:after="0" w:line="162" w:lineRule="exact"/>
        <w:rPr>
          <w:sz w:val="20"/>
          <w:szCs w:val="20"/>
          <w:color w:val="auto"/>
        </w:rPr>
      </w:pPr>
    </w:p>
    <w:p>
      <w:pPr>
        <w:ind w:left="8" w:right="40"/>
        <w:spacing w:after="0"/>
        <w:rPr>
          <w:sz w:val="20"/>
          <w:szCs w:val="20"/>
          <w:color w:val="auto"/>
        </w:rPr>
      </w:pPr>
      <w:r>
        <w:rPr>
          <w:rFonts w:ascii="Arial" w:cs="Arial" w:eastAsia="Arial" w:hAnsi="Arial"/>
          <w:sz w:val="17"/>
          <w:szCs w:val="17"/>
          <w:color w:val="auto"/>
        </w:rPr>
        <w:t>In light of the U.S. Humira LOE, in early 2023, the compensation committee reduced the payout matrix 10% across all payout ranges. For example, a payout range of 90%-140% instead of 100%-150%. The committee considers this design change to be temporary and expects to transition back to typical ranges as AbbVie absorbs the impact of U.S. Humira LOE and returns to robust growth.</w:t>
      </w:r>
    </w:p>
    <w:p>
      <w:pPr>
        <w:spacing w:after="0" w:line="169" w:lineRule="exact"/>
        <w:rPr>
          <w:sz w:val="20"/>
          <w:szCs w:val="20"/>
          <w:color w:val="auto"/>
        </w:rPr>
      </w:pPr>
    </w:p>
    <w:p>
      <w:pPr>
        <w:ind w:left="8" w:right="400"/>
        <w:spacing w:after="0" w:line="261" w:lineRule="auto"/>
        <w:rPr>
          <w:sz w:val="20"/>
          <w:szCs w:val="20"/>
          <w:color w:val="auto"/>
        </w:rPr>
      </w:pPr>
      <w:r>
        <w:rPr>
          <w:rFonts w:ascii="Arial" w:cs="Arial" w:eastAsia="Arial" w:hAnsi="Arial"/>
          <w:sz w:val="17"/>
          <w:szCs w:val="17"/>
          <w:color w:val="auto"/>
        </w:rPr>
        <w:t>In determining individual awards, an initial performance score is calculated for each NEO based on performance against weighted financial and strategic/leadership goals. This performance score results in a preliminary award</w:t>
      </w:r>
    </w:p>
    <w:p>
      <w:pPr>
        <w:spacing w:after="0" w:line="34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44</w:t>
      </w:r>
      <w:r>
        <w:rPr>
          <w:sz w:val="20"/>
          <w:szCs w:val="20"/>
          <w:color w:val="auto"/>
        </w:rPr>
        <w:tab/>
      </w:r>
      <w:r>
        <w:rPr>
          <w:sz w:val="1"/>
          <w:szCs w:val="1"/>
          <w:color w:val="auto"/>
        </w:rPr>
        <w:drawing>
          <wp:inline distT="0" distB="0" distL="0" distR="0">
            <wp:extent cx="810260" cy="15113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8"/>
          </w:cols>
          <w:pgMar w:left="1312" w:top="486" w:right="1339" w:bottom="1440" w:gutter="0" w:footer="0" w:header="0"/>
        </w:sectPr>
      </w:pPr>
    </w:p>
    <w:bookmarkStart w:id="47" w:name="page48"/>
    <w:bookmarkEnd w:id="4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right="360"/>
        <w:spacing w:after="0" w:line="261" w:lineRule="auto"/>
        <w:rPr>
          <w:sz w:val="20"/>
          <w:szCs w:val="20"/>
          <w:color w:val="auto"/>
        </w:rPr>
      </w:pPr>
      <w:r>
        <w:rPr>
          <w:rFonts w:ascii="Arial" w:cs="Arial" w:eastAsia="Arial" w:hAnsi="Arial"/>
          <w:sz w:val="17"/>
          <w:szCs w:val="17"/>
          <w:color w:val="auto"/>
        </w:rPr>
        <w:t>amount of up to 100% of target only. Final awards are determined by the compensation committee based on a qualitative assessment of holistic performance and within the cap established from the matrix.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Illustration of 2023 Incentive Calculation</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1340" w:type="dxa"/>
            <w:vAlign w:val="bottom"/>
            <w:tcBorders>
              <w:top w:val="single" w:sz="8" w:color="071D49"/>
              <w:left w:val="single" w:sz="8" w:color="071D49"/>
              <w:right w:val="single" w:sz="8" w:color="071D49"/>
            </w:tcBorders>
          </w:tcPr>
          <w:p>
            <w:pPr>
              <w:ind w:left="480"/>
              <w:spacing w:after="0"/>
              <w:rPr>
                <w:sz w:val="20"/>
                <w:szCs w:val="20"/>
                <w:color w:val="auto"/>
              </w:rPr>
            </w:pPr>
            <w:r>
              <w:rPr>
                <w:rFonts w:ascii="Arial" w:cs="Arial" w:eastAsia="Arial" w:hAnsi="Arial"/>
                <w:sz w:val="13"/>
                <w:szCs w:val="13"/>
                <w:b w:val="1"/>
                <w:bCs w:val="1"/>
                <w:color w:val="5F5F5F"/>
              </w:rPr>
              <w:t>Target</w:t>
            </w:r>
          </w:p>
        </w:tc>
        <w:tc>
          <w:tcPr>
            <w:tcW w:w="380" w:type="dxa"/>
            <w:vAlign w:val="bottom"/>
            <w:tcBorders>
              <w:right w:val="single" w:sz="8" w:color="071D49"/>
            </w:tcBorders>
          </w:tcPr>
          <w:p>
            <w:pPr>
              <w:ind w:left="140"/>
              <w:spacing w:after="0"/>
              <w:rPr>
                <w:sz w:val="20"/>
                <w:szCs w:val="20"/>
                <w:color w:val="auto"/>
              </w:rPr>
            </w:pPr>
            <w:r>
              <w:rPr>
                <w:rFonts w:ascii="Arial" w:cs="Arial" w:eastAsia="Arial" w:hAnsi="Arial"/>
                <w:sz w:val="13"/>
                <w:szCs w:val="13"/>
                <w:b w:val="1"/>
                <w:bCs w:val="1"/>
                <w:color w:val="5F5F5F"/>
              </w:rPr>
              <w:t>x</w:t>
            </w:r>
          </w:p>
        </w:tc>
        <w:tc>
          <w:tcPr>
            <w:tcW w:w="132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Performance</w:t>
            </w:r>
          </w:p>
        </w:tc>
        <w:tc>
          <w:tcPr>
            <w:tcW w:w="360" w:type="dxa"/>
            <w:vAlign w:val="bottom"/>
            <w:tcBorders>
              <w:right w:val="single" w:sz="8" w:color="071D49"/>
            </w:tcBorders>
          </w:tcPr>
          <w:p>
            <w:pPr>
              <w:jc w:val="right"/>
              <w:ind w:right="93"/>
              <w:spacing w:after="0"/>
              <w:rPr>
                <w:sz w:val="20"/>
                <w:szCs w:val="20"/>
                <w:color w:val="auto"/>
              </w:rPr>
            </w:pPr>
            <w:r>
              <w:rPr>
                <w:rFonts w:ascii="Arial" w:cs="Arial" w:eastAsia="Arial" w:hAnsi="Arial"/>
                <w:sz w:val="13"/>
                <w:szCs w:val="13"/>
                <w:b w:val="1"/>
                <w:bCs w:val="1"/>
                <w:color w:val="5F5F5F"/>
              </w:rPr>
              <w:t>=</w:t>
            </w:r>
          </w:p>
        </w:tc>
        <w:tc>
          <w:tcPr>
            <w:tcW w:w="134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Preliminary</w:t>
            </w:r>
          </w:p>
        </w:tc>
        <w:tc>
          <w:tcPr>
            <w:tcW w:w="360" w:type="dxa"/>
            <w:vAlign w:val="bottom"/>
            <w:tcBorders>
              <w:right w:val="single" w:sz="8" w:color="071D49"/>
            </w:tcBorders>
          </w:tcPr>
          <w:p>
            <w:pPr>
              <w:ind w:left="80"/>
              <w:spacing w:after="0"/>
              <w:rPr>
                <w:sz w:val="20"/>
                <w:szCs w:val="20"/>
                <w:color w:val="auto"/>
              </w:rPr>
            </w:pPr>
            <w:r>
              <w:rPr>
                <w:rFonts w:ascii="Arial" w:cs="Arial" w:eastAsia="Arial" w:hAnsi="Arial"/>
                <w:sz w:val="17"/>
                <w:szCs w:val="17"/>
                <w:b w:val="1"/>
                <w:bCs w:val="1"/>
                <w:color w:val="5F5F5F"/>
              </w:rPr>
              <w:t>→</w:t>
            </w:r>
          </w:p>
        </w:tc>
        <w:tc>
          <w:tcPr>
            <w:tcW w:w="1900" w:type="dxa"/>
            <w:vAlign w:val="bottom"/>
            <w:tcBorders>
              <w:top w:val="single" w:sz="8" w:color="071D49"/>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Final Committee</w:t>
            </w:r>
          </w:p>
        </w:tc>
        <w:tc>
          <w:tcPr>
            <w:tcW w:w="38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w:t>
            </w:r>
          </w:p>
        </w:tc>
        <w:tc>
          <w:tcPr>
            <w:tcW w:w="680" w:type="dxa"/>
            <w:vAlign w:val="bottom"/>
            <w:tcBorders>
              <w:top w:val="single" w:sz="8" w:color="071D49"/>
            </w:tcBorders>
          </w:tcPr>
          <w:p>
            <w:pPr>
              <w:spacing w:after="0"/>
              <w:rPr>
                <w:sz w:val="24"/>
                <w:szCs w:val="24"/>
                <w:color w:val="auto"/>
              </w:rPr>
            </w:pPr>
          </w:p>
        </w:tc>
        <w:tc>
          <w:tcPr>
            <w:tcW w:w="1220" w:type="dxa"/>
            <w:vAlign w:val="bottom"/>
            <w:tcBorders>
              <w:top w:val="single" w:sz="8" w:color="071D49"/>
              <w:right w:val="single" w:sz="8" w:color="071D49"/>
            </w:tcBorders>
          </w:tcPr>
          <w:p>
            <w:pPr>
              <w:jc w:val="center"/>
              <w:ind w:right="653"/>
              <w:spacing w:after="0"/>
              <w:rPr>
                <w:sz w:val="20"/>
                <w:szCs w:val="20"/>
                <w:color w:val="auto"/>
              </w:rPr>
            </w:pPr>
            <w:r>
              <w:rPr>
                <w:rFonts w:ascii="Arial" w:cs="Arial" w:eastAsia="Arial" w:hAnsi="Arial"/>
                <w:sz w:val="13"/>
                <w:szCs w:val="13"/>
                <w:b w:val="1"/>
                <w:bCs w:val="1"/>
                <w:color w:val="5F5F5F"/>
                <w:w w:val="98"/>
              </w:rPr>
              <w:t>Final</w:t>
            </w:r>
          </w:p>
        </w:tc>
        <w:tc>
          <w:tcPr>
            <w:tcW w:w="0" w:type="dxa"/>
            <w:vAlign w:val="bottom"/>
          </w:tcPr>
          <w:p>
            <w:pPr>
              <w:spacing w:after="0"/>
              <w:rPr>
                <w:sz w:val="1"/>
                <w:szCs w:val="1"/>
                <w:color w:val="auto"/>
              </w:rPr>
            </w:pPr>
          </w:p>
        </w:tc>
      </w:tr>
      <w:tr>
        <w:trPr>
          <w:trHeight w:val="185"/>
        </w:trPr>
        <w:tc>
          <w:tcPr>
            <w:tcW w:w="1340" w:type="dxa"/>
            <w:vAlign w:val="bottom"/>
            <w:tcBorders>
              <w:left w:val="single" w:sz="8" w:color="071D49"/>
              <w:right w:val="single" w:sz="8" w:color="071D49"/>
            </w:tcBorders>
          </w:tcPr>
          <w:p>
            <w:pPr>
              <w:ind w:left="460"/>
              <w:spacing w:after="0"/>
              <w:rPr>
                <w:sz w:val="20"/>
                <w:szCs w:val="20"/>
                <w:color w:val="auto"/>
              </w:rPr>
            </w:pPr>
            <w:r>
              <w:rPr>
                <w:rFonts w:ascii="Arial" w:cs="Arial" w:eastAsia="Arial" w:hAnsi="Arial"/>
                <w:sz w:val="13"/>
                <w:szCs w:val="13"/>
                <w:b w:val="1"/>
                <w:bCs w:val="1"/>
                <w:color w:val="5F5F5F"/>
              </w:rPr>
              <w:t>Award</w:t>
            </w:r>
          </w:p>
        </w:tc>
        <w:tc>
          <w:tcPr>
            <w:tcW w:w="380" w:type="dxa"/>
            <w:vAlign w:val="bottom"/>
            <w:tcBorders>
              <w:right w:val="single" w:sz="8" w:color="071D49"/>
            </w:tcBorders>
          </w:tcPr>
          <w:p>
            <w:pPr>
              <w:spacing w:after="0"/>
              <w:rPr>
                <w:sz w:val="16"/>
                <w:szCs w:val="16"/>
                <w:color w:val="auto"/>
              </w:rPr>
            </w:pPr>
          </w:p>
        </w:tc>
        <w:tc>
          <w:tcPr>
            <w:tcW w:w="132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w w:val="99"/>
              </w:rPr>
              <w:t>Score</w:t>
            </w:r>
          </w:p>
        </w:tc>
        <w:tc>
          <w:tcPr>
            <w:tcW w:w="360" w:type="dxa"/>
            <w:vAlign w:val="bottom"/>
            <w:tcBorders>
              <w:right w:val="single" w:sz="8" w:color="071D49"/>
            </w:tcBorders>
          </w:tcPr>
          <w:p>
            <w:pPr>
              <w:spacing w:after="0"/>
              <w:rPr>
                <w:sz w:val="16"/>
                <w:szCs w:val="16"/>
                <w:color w:val="auto"/>
              </w:rPr>
            </w:pPr>
          </w:p>
        </w:tc>
        <w:tc>
          <w:tcPr>
            <w:tcW w:w="134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Award</w:t>
            </w:r>
          </w:p>
        </w:tc>
        <w:tc>
          <w:tcPr>
            <w:tcW w:w="360" w:type="dxa"/>
            <w:vAlign w:val="bottom"/>
            <w:tcBorders>
              <w:right w:val="single" w:sz="8" w:color="071D49"/>
            </w:tcBorders>
          </w:tcPr>
          <w:p>
            <w:pPr>
              <w:spacing w:after="0"/>
              <w:rPr>
                <w:sz w:val="16"/>
                <w:szCs w:val="16"/>
                <w:color w:val="auto"/>
              </w:rPr>
            </w:pPr>
          </w:p>
        </w:tc>
        <w:tc>
          <w:tcPr>
            <w:tcW w:w="1900" w:type="dxa"/>
            <w:vAlign w:val="bottom"/>
            <w:tcBorders>
              <w:right w:val="single" w:sz="8" w:color="071D49"/>
            </w:tcBorders>
          </w:tcPr>
          <w:p>
            <w:pPr>
              <w:jc w:val="center"/>
              <w:spacing w:after="0"/>
              <w:rPr>
                <w:sz w:val="20"/>
                <w:szCs w:val="20"/>
                <w:color w:val="auto"/>
              </w:rPr>
            </w:pPr>
            <w:r>
              <w:rPr>
                <w:rFonts w:ascii="Arial" w:cs="Arial" w:eastAsia="Arial" w:hAnsi="Arial"/>
                <w:sz w:val="13"/>
                <w:szCs w:val="13"/>
                <w:b w:val="1"/>
                <w:bCs w:val="1"/>
                <w:color w:val="5F5F5F"/>
              </w:rPr>
              <w:t>Decision</w:t>
            </w:r>
          </w:p>
        </w:tc>
        <w:tc>
          <w:tcPr>
            <w:tcW w:w="380" w:type="dxa"/>
            <w:vAlign w:val="bottom"/>
            <w:tcBorders>
              <w:right w:val="single" w:sz="8" w:color="071D49"/>
            </w:tcBorders>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Borders>
              <w:right w:val="single" w:sz="8" w:color="071D49"/>
            </w:tcBorders>
          </w:tcPr>
          <w:p>
            <w:pPr>
              <w:jc w:val="center"/>
              <w:ind w:right="633"/>
              <w:spacing w:after="0"/>
              <w:rPr>
                <w:sz w:val="20"/>
                <w:szCs w:val="20"/>
                <w:color w:val="auto"/>
              </w:rPr>
            </w:pPr>
            <w:r>
              <w:rPr>
                <w:rFonts w:ascii="Arial" w:cs="Arial" w:eastAsia="Arial" w:hAnsi="Arial"/>
                <w:sz w:val="13"/>
                <w:szCs w:val="13"/>
                <w:b w:val="1"/>
                <w:bCs w:val="1"/>
                <w:color w:val="5F5F5F"/>
              </w:rPr>
              <w:t>Award</w:t>
            </w:r>
          </w:p>
        </w:tc>
        <w:tc>
          <w:tcPr>
            <w:tcW w:w="0" w:type="dxa"/>
            <w:vAlign w:val="bottom"/>
          </w:tcPr>
          <w:p>
            <w:pPr>
              <w:spacing w:after="0"/>
              <w:rPr>
                <w:sz w:val="1"/>
                <w:szCs w:val="1"/>
                <w:color w:val="auto"/>
              </w:rPr>
            </w:pPr>
          </w:p>
        </w:tc>
      </w:tr>
      <w:tr>
        <w:trPr>
          <w:trHeight w:val="111"/>
        </w:trPr>
        <w:tc>
          <w:tcPr>
            <w:tcW w:w="1340" w:type="dxa"/>
            <w:vAlign w:val="bottom"/>
            <w:tcBorders>
              <w:left w:val="single" w:sz="8" w:color="071D49"/>
              <w:bottom w:val="single" w:sz="8" w:color="071D49"/>
              <w:right w:val="single" w:sz="8" w:color="071D49"/>
            </w:tcBorders>
          </w:tcPr>
          <w:p>
            <w:pPr>
              <w:spacing w:after="0"/>
              <w:rPr>
                <w:sz w:val="9"/>
                <w:szCs w:val="9"/>
                <w:color w:val="auto"/>
              </w:rPr>
            </w:pPr>
          </w:p>
        </w:tc>
        <w:tc>
          <w:tcPr>
            <w:tcW w:w="380" w:type="dxa"/>
            <w:vAlign w:val="bottom"/>
            <w:tcBorders>
              <w:right w:val="single" w:sz="8" w:color="071D49"/>
            </w:tcBorders>
          </w:tcPr>
          <w:p>
            <w:pPr>
              <w:spacing w:after="0"/>
              <w:rPr>
                <w:sz w:val="9"/>
                <w:szCs w:val="9"/>
                <w:color w:val="auto"/>
              </w:rPr>
            </w:pPr>
          </w:p>
        </w:tc>
        <w:tc>
          <w:tcPr>
            <w:tcW w:w="1320" w:type="dxa"/>
            <w:vAlign w:val="bottom"/>
            <w:tcBorders>
              <w:bottom w:val="single" w:sz="8" w:color="071D49"/>
              <w:right w:val="single" w:sz="8" w:color="071D49"/>
            </w:tcBorders>
          </w:tcPr>
          <w:p>
            <w:pPr>
              <w:spacing w:after="0"/>
              <w:rPr>
                <w:sz w:val="9"/>
                <w:szCs w:val="9"/>
                <w:color w:val="auto"/>
              </w:rPr>
            </w:pPr>
          </w:p>
        </w:tc>
        <w:tc>
          <w:tcPr>
            <w:tcW w:w="360" w:type="dxa"/>
            <w:vAlign w:val="bottom"/>
            <w:tcBorders>
              <w:right w:val="single" w:sz="8" w:color="071D49"/>
            </w:tcBorders>
          </w:tcPr>
          <w:p>
            <w:pPr>
              <w:spacing w:after="0"/>
              <w:rPr>
                <w:sz w:val="9"/>
                <w:szCs w:val="9"/>
                <w:color w:val="auto"/>
              </w:rPr>
            </w:pPr>
          </w:p>
        </w:tc>
        <w:tc>
          <w:tcPr>
            <w:tcW w:w="1340" w:type="dxa"/>
            <w:vAlign w:val="bottom"/>
            <w:tcBorders>
              <w:bottom w:val="single" w:sz="8" w:color="071D49"/>
              <w:right w:val="single" w:sz="8" w:color="071D49"/>
            </w:tcBorders>
          </w:tcPr>
          <w:p>
            <w:pPr>
              <w:spacing w:after="0"/>
              <w:rPr>
                <w:sz w:val="9"/>
                <w:szCs w:val="9"/>
                <w:color w:val="auto"/>
              </w:rPr>
            </w:pPr>
          </w:p>
        </w:tc>
        <w:tc>
          <w:tcPr>
            <w:tcW w:w="360" w:type="dxa"/>
            <w:vAlign w:val="bottom"/>
            <w:tcBorders>
              <w:right w:val="single" w:sz="8" w:color="071D49"/>
            </w:tcBorders>
          </w:tcPr>
          <w:p>
            <w:pPr>
              <w:spacing w:after="0"/>
              <w:rPr>
                <w:sz w:val="9"/>
                <w:szCs w:val="9"/>
                <w:color w:val="auto"/>
              </w:rPr>
            </w:pPr>
          </w:p>
        </w:tc>
        <w:tc>
          <w:tcPr>
            <w:tcW w:w="1900" w:type="dxa"/>
            <w:vAlign w:val="bottom"/>
            <w:tcBorders>
              <w:bottom w:val="single" w:sz="8" w:color="071D49"/>
              <w:right w:val="single" w:sz="8" w:color="071D49"/>
            </w:tcBorders>
          </w:tcPr>
          <w:p>
            <w:pPr>
              <w:spacing w:after="0"/>
              <w:rPr>
                <w:sz w:val="9"/>
                <w:szCs w:val="9"/>
                <w:color w:val="auto"/>
              </w:rPr>
            </w:pPr>
          </w:p>
        </w:tc>
        <w:tc>
          <w:tcPr>
            <w:tcW w:w="380" w:type="dxa"/>
            <w:vAlign w:val="bottom"/>
            <w:tcBorders>
              <w:right w:val="single" w:sz="8" w:color="071D49"/>
            </w:tcBorders>
          </w:tcPr>
          <w:p>
            <w:pPr>
              <w:spacing w:after="0"/>
              <w:rPr>
                <w:sz w:val="9"/>
                <w:szCs w:val="9"/>
                <w:color w:val="auto"/>
              </w:rPr>
            </w:pPr>
          </w:p>
        </w:tc>
        <w:tc>
          <w:tcPr>
            <w:tcW w:w="680" w:type="dxa"/>
            <w:vAlign w:val="bottom"/>
            <w:tcBorders>
              <w:bottom w:val="single" w:sz="8" w:color="071D49"/>
            </w:tcBorders>
          </w:tcPr>
          <w:p>
            <w:pPr>
              <w:spacing w:after="0"/>
              <w:rPr>
                <w:sz w:val="9"/>
                <w:szCs w:val="9"/>
                <w:color w:val="auto"/>
              </w:rPr>
            </w:pPr>
          </w:p>
        </w:tc>
        <w:tc>
          <w:tcPr>
            <w:tcW w:w="1220" w:type="dxa"/>
            <w:vAlign w:val="bottom"/>
            <w:tcBorders>
              <w:bottom w:val="single" w:sz="8" w:color="071D49"/>
              <w:right w:val="single" w:sz="8" w:color="071D49"/>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340" w:type="dxa"/>
            <w:vAlign w:val="bottom"/>
            <w:tcBorders>
              <w:bottom w:val="single" w:sz="8" w:color="F2F2F2"/>
            </w:tcBorders>
          </w:tcPr>
          <w:p>
            <w:pPr>
              <w:spacing w:after="0"/>
              <w:rPr>
                <w:sz w:val="17"/>
                <w:szCs w:val="17"/>
                <w:color w:val="auto"/>
              </w:rPr>
            </w:pPr>
          </w:p>
        </w:tc>
        <w:tc>
          <w:tcPr>
            <w:tcW w:w="380" w:type="dxa"/>
            <w:vAlign w:val="bottom"/>
            <w:tcBorders>
              <w:bottom w:val="single" w:sz="8" w:color="F2F2F2"/>
            </w:tcBorders>
          </w:tcPr>
          <w:p>
            <w:pPr>
              <w:spacing w:after="0"/>
              <w:rPr>
                <w:sz w:val="17"/>
                <w:szCs w:val="17"/>
                <w:color w:val="auto"/>
              </w:rPr>
            </w:pPr>
          </w:p>
        </w:tc>
        <w:tc>
          <w:tcPr>
            <w:tcW w:w="1320" w:type="dxa"/>
            <w:vAlign w:val="bottom"/>
            <w:tcBorders>
              <w:bottom w:val="single" w:sz="8" w:color="F2F2F2"/>
            </w:tcBorders>
          </w:tcPr>
          <w:p>
            <w:pPr>
              <w:spacing w:after="0"/>
              <w:rPr>
                <w:sz w:val="17"/>
                <w:szCs w:val="17"/>
                <w:color w:val="auto"/>
              </w:rPr>
            </w:pPr>
          </w:p>
        </w:tc>
        <w:tc>
          <w:tcPr>
            <w:tcW w:w="360" w:type="dxa"/>
            <w:vAlign w:val="bottom"/>
            <w:tcBorders>
              <w:bottom w:val="single" w:sz="8" w:color="F2F2F2"/>
            </w:tcBorders>
          </w:tcPr>
          <w:p>
            <w:pPr>
              <w:spacing w:after="0"/>
              <w:rPr>
                <w:sz w:val="17"/>
                <w:szCs w:val="17"/>
                <w:color w:val="auto"/>
              </w:rPr>
            </w:pPr>
          </w:p>
        </w:tc>
        <w:tc>
          <w:tcPr>
            <w:tcW w:w="1340" w:type="dxa"/>
            <w:vAlign w:val="bottom"/>
            <w:tcBorders>
              <w:bottom w:val="single" w:sz="8" w:color="071D49"/>
            </w:tcBorders>
          </w:tcPr>
          <w:p>
            <w:pPr>
              <w:spacing w:after="0"/>
              <w:rPr>
                <w:sz w:val="17"/>
                <w:szCs w:val="17"/>
                <w:color w:val="auto"/>
              </w:rPr>
            </w:pPr>
          </w:p>
        </w:tc>
        <w:tc>
          <w:tcPr>
            <w:tcW w:w="360" w:type="dxa"/>
            <w:vAlign w:val="bottom"/>
            <w:tcBorders>
              <w:bottom w:val="single" w:sz="8" w:color="F2F2F2"/>
            </w:tcBorders>
          </w:tcPr>
          <w:p>
            <w:pPr>
              <w:spacing w:after="0"/>
              <w:rPr>
                <w:sz w:val="17"/>
                <w:szCs w:val="17"/>
                <w:color w:val="auto"/>
              </w:rPr>
            </w:pPr>
          </w:p>
        </w:tc>
        <w:tc>
          <w:tcPr>
            <w:tcW w:w="1900" w:type="dxa"/>
            <w:vAlign w:val="bottom"/>
            <w:tcBorders>
              <w:bottom w:val="single" w:sz="8" w:color="071D49"/>
            </w:tcBorders>
          </w:tcPr>
          <w:p>
            <w:pPr>
              <w:spacing w:after="0"/>
              <w:rPr>
                <w:sz w:val="17"/>
                <w:szCs w:val="17"/>
                <w:color w:val="auto"/>
              </w:rPr>
            </w:pPr>
          </w:p>
        </w:tc>
        <w:tc>
          <w:tcPr>
            <w:tcW w:w="380" w:type="dxa"/>
            <w:vAlign w:val="bottom"/>
            <w:tcBorders>
              <w:bottom w:val="single" w:sz="8" w:color="071D49"/>
            </w:tcBorders>
          </w:tcPr>
          <w:p>
            <w:pPr>
              <w:spacing w:after="0"/>
              <w:rPr>
                <w:sz w:val="17"/>
                <w:szCs w:val="17"/>
                <w:color w:val="auto"/>
              </w:rPr>
            </w:pPr>
          </w:p>
        </w:tc>
        <w:tc>
          <w:tcPr>
            <w:tcW w:w="680" w:type="dxa"/>
            <w:vAlign w:val="bottom"/>
            <w:tcBorders>
              <w:bottom w:val="single" w:sz="8" w:color="071D49"/>
            </w:tcBorders>
          </w:tcPr>
          <w:p>
            <w:pPr>
              <w:spacing w:after="0"/>
              <w:rPr>
                <w:sz w:val="17"/>
                <w:szCs w:val="17"/>
                <w:color w:val="auto"/>
              </w:rPr>
            </w:pPr>
          </w:p>
        </w:tc>
        <w:tc>
          <w:tcPr>
            <w:tcW w:w="1220" w:type="dxa"/>
            <w:vAlign w:val="bottom"/>
            <w:tcBorders>
              <w:bottom w:val="single" w:sz="8" w:color="071D49"/>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40" w:type="dxa"/>
            <w:vAlign w:val="bottom"/>
            <w:tcBorders>
              <w:top w:val="single" w:sz="8" w:color="F2F2F2"/>
              <w:left w:val="single" w:sz="8" w:color="F2F2F2"/>
              <w:right w:val="single" w:sz="8" w:color="F2F2F2"/>
            </w:tcBorders>
            <w:shd w:val="clear" w:color="auto" w:fill="F2F2F2"/>
          </w:tcPr>
          <w:p>
            <w:pPr>
              <w:spacing w:after="0"/>
              <w:rPr>
                <w:sz w:val="16"/>
                <w:szCs w:val="16"/>
                <w:color w:val="auto"/>
              </w:rPr>
            </w:pPr>
          </w:p>
        </w:tc>
        <w:tc>
          <w:tcPr>
            <w:tcW w:w="380" w:type="dxa"/>
            <w:vAlign w:val="bottom"/>
            <w:tcBorders>
              <w:top w:val="single" w:sz="8" w:color="F2F2F2"/>
              <w:right w:val="single" w:sz="8" w:color="F2F2F2"/>
            </w:tcBorders>
            <w:shd w:val="clear" w:color="auto" w:fill="F2F2F2"/>
          </w:tcPr>
          <w:p>
            <w:pPr>
              <w:spacing w:after="0"/>
              <w:rPr>
                <w:sz w:val="16"/>
                <w:szCs w:val="16"/>
                <w:color w:val="auto"/>
              </w:rPr>
            </w:pPr>
          </w:p>
        </w:tc>
        <w:tc>
          <w:tcPr>
            <w:tcW w:w="1320" w:type="dxa"/>
            <w:vAlign w:val="bottom"/>
            <w:tcBorders>
              <w:top w:val="single" w:sz="8" w:color="F2F2F2"/>
              <w:right w:val="single" w:sz="8" w:color="F2F2F2"/>
            </w:tcBorders>
            <w:shd w:val="clear" w:color="auto" w:fill="F2F2F2"/>
          </w:tcPr>
          <w:p>
            <w:pPr>
              <w:spacing w:after="0"/>
              <w:rPr>
                <w:sz w:val="16"/>
                <w:szCs w:val="16"/>
                <w:color w:val="auto"/>
              </w:rPr>
            </w:pPr>
          </w:p>
        </w:tc>
        <w:tc>
          <w:tcPr>
            <w:tcW w:w="360" w:type="dxa"/>
            <w:vAlign w:val="bottom"/>
            <w:tcBorders>
              <w:top w:val="single" w:sz="8" w:color="F2F2F2"/>
              <w:right w:val="single" w:sz="8" w:color="071D49"/>
            </w:tcBorders>
            <w:shd w:val="clear" w:color="auto" w:fill="F2F2F2"/>
          </w:tcPr>
          <w:p>
            <w:pPr>
              <w:spacing w:after="0"/>
              <w:rPr>
                <w:sz w:val="16"/>
                <w:szCs w:val="16"/>
                <w:color w:val="auto"/>
              </w:rPr>
            </w:pPr>
          </w:p>
        </w:tc>
        <w:tc>
          <w:tcPr>
            <w:tcW w:w="1340" w:type="dxa"/>
            <w:vAlign w:val="bottom"/>
            <w:tcBorders>
              <w:top w:val="single" w:sz="8" w:color="071D49"/>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360" w:type="dxa"/>
            <w:vAlign w:val="bottom"/>
            <w:tcBorders>
              <w:top w:val="single" w:sz="8" w:color="F2F2F2"/>
              <w:right w:val="single" w:sz="8" w:color="071D49"/>
            </w:tcBorders>
            <w:shd w:val="clear" w:color="auto" w:fill="F2F2F2"/>
          </w:tcPr>
          <w:p>
            <w:pPr>
              <w:spacing w:after="0"/>
              <w:rPr>
                <w:sz w:val="16"/>
                <w:szCs w:val="16"/>
                <w:color w:val="auto"/>
              </w:rPr>
            </w:pPr>
          </w:p>
        </w:tc>
        <w:tc>
          <w:tcPr>
            <w:tcW w:w="2960" w:type="dxa"/>
            <w:vAlign w:val="bottom"/>
            <w:tcBorders>
              <w:top w:val="single" w:sz="8" w:color="F2F2F2"/>
            </w:tcBorders>
            <w:gridSpan w:val="3"/>
            <w:shd w:val="clear" w:color="auto" w:fill="F2F2F2"/>
          </w:tcPr>
          <w:p>
            <w:pPr>
              <w:jc w:val="center"/>
              <w:ind w:left="1133"/>
              <w:spacing w:after="0"/>
              <w:rPr>
                <w:sz w:val="20"/>
                <w:szCs w:val="20"/>
                <w:color w:val="auto"/>
              </w:rPr>
            </w:pPr>
            <w:r>
              <w:rPr>
                <w:rFonts w:ascii="Arial" w:cs="Arial" w:eastAsia="Arial" w:hAnsi="Arial"/>
                <w:sz w:val="13"/>
                <w:szCs w:val="13"/>
                <w:b w:val="1"/>
                <w:bCs w:val="1"/>
                <w:color w:val="auto"/>
              </w:rPr>
              <w:t>2023 Performance results:</w:t>
            </w:r>
          </w:p>
        </w:tc>
        <w:tc>
          <w:tcPr>
            <w:tcW w:w="1220" w:type="dxa"/>
            <w:vAlign w:val="bottom"/>
            <w:tcBorders>
              <w:top w:val="single" w:sz="8" w:color="F2F2F2"/>
              <w:right w:val="single" w:sz="8" w:color="071D49"/>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340" w:type="dxa"/>
            <w:vAlign w:val="bottom"/>
            <w:tcBorders>
              <w:left w:val="single" w:sz="8" w:color="F2F2F2"/>
              <w:right w:val="single" w:sz="8" w:color="F2F2F2"/>
            </w:tcBorders>
            <w:vMerge w:val="restart"/>
            <w:shd w:val="clear" w:color="auto" w:fill="F2F2F2"/>
          </w:tcPr>
          <w:p>
            <w:pPr>
              <w:ind w:left="120"/>
              <w:spacing w:after="0"/>
              <w:rPr>
                <w:sz w:val="20"/>
                <w:szCs w:val="20"/>
                <w:color w:val="auto"/>
              </w:rPr>
            </w:pPr>
            <w:r>
              <w:rPr>
                <w:rFonts w:ascii="Arial" w:cs="Arial" w:eastAsia="Arial" w:hAnsi="Arial"/>
                <w:sz w:val="13"/>
                <w:szCs w:val="13"/>
                <w:b w:val="1"/>
                <w:bCs w:val="1"/>
                <w:color w:val="auto"/>
              </w:rPr>
              <w:t>Plan Governance:</w:t>
            </w:r>
          </w:p>
        </w:tc>
        <w:tc>
          <w:tcPr>
            <w:tcW w:w="38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continue"/>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4180" w:type="dxa"/>
            <w:vAlign w:val="bottom"/>
            <w:tcBorders>
              <w:right w:val="single" w:sz="8" w:color="071D49"/>
            </w:tcBorders>
            <w:gridSpan w:val="4"/>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Capped at 190% of Target per payout matrix, further reduced to</w:t>
            </w:r>
          </w:p>
        </w:tc>
        <w:tc>
          <w:tcPr>
            <w:tcW w:w="0" w:type="dxa"/>
            <w:vAlign w:val="bottom"/>
          </w:tcPr>
          <w:p>
            <w:pPr>
              <w:spacing w:after="0"/>
              <w:rPr>
                <w:sz w:val="1"/>
                <w:szCs w:val="1"/>
                <w:color w:val="auto"/>
              </w:rPr>
            </w:pPr>
          </w:p>
        </w:tc>
      </w:tr>
      <w:tr>
        <w:trPr>
          <w:trHeight w:val="75"/>
        </w:trPr>
        <w:tc>
          <w:tcPr>
            <w:tcW w:w="1340" w:type="dxa"/>
            <w:vAlign w:val="bottom"/>
            <w:tcBorders>
              <w:left w:val="single" w:sz="8" w:color="F2F2F2"/>
              <w:right w:val="single" w:sz="8" w:color="F2F2F2"/>
            </w:tcBorders>
            <w:vMerge w:val="continue"/>
            <w:shd w:val="clear" w:color="auto" w:fill="F2F2F2"/>
          </w:tcPr>
          <w:p>
            <w:pPr>
              <w:spacing w:after="0"/>
              <w:rPr>
                <w:sz w:val="6"/>
                <w:szCs w:val="6"/>
                <w:color w:val="auto"/>
              </w:rPr>
            </w:pPr>
          </w:p>
        </w:tc>
        <w:tc>
          <w:tcPr>
            <w:tcW w:w="38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w w:val="99"/>
              </w:rPr>
              <w:t>100% of Target</w:t>
            </w:r>
          </w:p>
        </w:tc>
        <w:tc>
          <w:tcPr>
            <w:tcW w:w="360" w:type="dxa"/>
            <w:vAlign w:val="bottom"/>
            <w:tcBorders>
              <w:right w:val="single" w:sz="8" w:color="071D49"/>
            </w:tcBorders>
            <w:shd w:val="clear" w:color="auto" w:fill="F2F2F2"/>
          </w:tcPr>
          <w:p>
            <w:pPr>
              <w:spacing w:after="0"/>
              <w:rPr>
                <w:sz w:val="6"/>
                <w:szCs w:val="6"/>
                <w:color w:val="auto"/>
              </w:rPr>
            </w:pPr>
          </w:p>
        </w:tc>
        <w:tc>
          <w:tcPr>
            <w:tcW w:w="4180" w:type="dxa"/>
            <w:vAlign w:val="bottom"/>
            <w:tcBorders>
              <w:right w:val="single" w:sz="8" w:color="071D49"/>
            </w:tcBorders>
            <w:gridSpan w:val="4"/>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340" w:type="dxa"/>
            <w:vAlign w:val="bottom"/>
            <w:tcBorders>
              <w:left w:val="single" w:sz="8" w:color="F2F2F2"/>
              <w:right w:val="single" w:sz="8" w:color="F2F2F2"/>
            </w:tcBorders>
            <w:vMerge w:val="continue"/>
            <w:shd w:val="clear" w:color="auto" w:fill="F2F2F2"/>
          </w:tcPr>
          <w:p>
            <w:pPr>
              <w:spacing w:after="0"/>
              <w:rPr>
                <w:sz w:val="6"/>
                <w:szCs w:val="6"/>
                <w:color w:val="auto"/>
              </w:rPr>
            </w:pPr>
          </w:p>
        </w:tc>
        <w:tc>
          <w:tcPr>
            <w:tcW w:w="38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continue"/>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4180" w:type="dxa"/>
            <w:vAlign w:val="bottom"/>
            <w:tcBorders>
              <w:right w:val="single" w:sz="8" w:color="071D49"/>
            </w:tcBorders>
            <w:gridSpan w:val="4"/>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170% after the committee’s application of downward discretion</w:t>
            </w:r>
          </w:p>
        </w:tc>
        <w:tc>
          <w:tcPr>
            <w:tcW w:w="0" w:type="dxa"/>
            <w:vAlign w:val="bottom"/>
          </w:tcPr>
          <w:p>
            <w:pPr>
              <w:spacing w:after="0"/>
              <w:rPr>
                <w:sz w:val="1"/>
                <w:szCs w:val="1"/>
                <w:color w:val="auto"/>
              </w:rPr>
            </w:pPr>
          </w:p>
        </w:tc>
      </w:tr>
      <w:tr>
        <w:trPr>
          <w:trHeight w:val="75"/>
        </w:trPr>
        <w:tc>
          <w:tcPr>
            <w:tcW w:w="1340" w:type="dxa"/>
            <w:vAlign w:val="bottom"/>
            <w:tcBorders>
              <w:left w:val="single" w:sz="8" w:color="F2F2F2"/>
              <w:right w:val="single" w:sz="8" w:color="F2F2F2"/>
            </w:tcBorders>
            <w:shd w:val="clear" w:color="auto" w:fill="F2F2F2"/>
          </w:tcPr>
          <w:p>
            <w:pPr>
              <w:spacing w:after="0"/>
              <w:rPr>
                <w:sz w:val="6"/>
                <w:szCs w:val="6"/>
                <w:color w:val="auto"/>
              </w:rPr>
            </w:pPr>
          </w:p>
        </w:tc>
        <w:tc>
          <w:tcPr>
            <w:tcW w:w="380" w:type="dxa"/>
            <w:vAlign w:val="bottom"/>
            <w:tcBorders>
              <w:right w:val="single" w:sz="8" w:color="F2F2F2"/>
            </w:tcBorders>
            <w:shd w:val="clear" w:color="auto" w:fill="F2F2F2"/>
          </w:tcPr>
          <w:p>
            <w:pPr>
              <w:spacing w:after="0"/>
              <w:rPr>
                <w:sz w:val="6"/>
                <w:szCs w:val="6"/>
                <w:color w:val="auto"/>
              </w:rPr>
            </w:pPr>
          </w:p>
        </w:tc>
        <w:tc>
          <w:tcPr>
            <w:tcW w:w="1320" w:type="dxa"/>
            <w:vAlign w:val="bottom"/>
            <w:tcBorders>
              <w:right w:val="single" w:sz="8" w:color="F2F2F2"/>
            </w:tcBorders>
            <w:shd w:val="clear" w:color="auto" w:fill="F2F2F2"/>
          </w:tcPr>
          <w:p>
            <w:pPr>
              <w:spacing w:after="0"/>
              <w:rPr>
                <w:sz w:val="6"/>
                <w:szCs w:val="6"/>
                <w:color w:val="auto"/>
              </w:rPr>
            </w:pPr>
          </w:p>
        </w:tc>
        <w:tc>
          <w:tcPr>
            <w:tcW w:w="360" w:type="dxa"/>
            <w:vAlign w:val="bottom"/>
            <w:tcBorders>
              <w:right w:val="single" w:sz="8" w:color="071D49"/>
            </w:tcBorders>
            <w:shd w:val="clear" w:color="auto" w:fill="F2F2F2"/>
          </w:tcPr>
          <w:p>
            <w:pPr>
              <w:spacing w:after="0"/>
              <w:rPr>
                <w:sz w:val="6"/>
                <w:szCs w:val="6"/>
                <w:color w:val="auto"/>
              </w:rPr>
            </w:pPr>
          </w:p>
        </w:tc>
        <w:tc>
          <w:tcPr>
            <w:tcW w:w="1340" w:type="dxa"/>
            <w:vAlign w:val="bottom"/>
            <w:tcBorders>
              <w:right w:val="single" w:sz="8" w:color="071D49"/>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per plan design</w:t>
            </w:r>
          </w:p>
        </w:tc>
        <w:tc>
          <w:tcPr>
            <w:tcW w:w="360" w:type="dxa"/>
            <w:vAlign w:val="bottom"/>
            <w:tcBorders>
              <w:right w:val="single" w:sz="8" w:color="071D49"/>
            </w:tcBorders>
            <w:shd w:val="clear" w:color="auto" w:fill="F2F2F2"/>
          </w:tcPr>
          <w:p>
            <w:pPr>
              <w:spacing w:after="0"/>
              <w:rPr>
                <w:sz w:val="6"/>
                <w:szCs w:val="6"/>
                <w:color w:val="auto"/>
              </w:rPr>
            </w:pPr>
          </w:p>
        </w:tc>
        <w:tc>
          <w:tcPr>
            <w:tcW w:w="4180" w:type="dxa"/>
            <w:vAlign w:val="bottom"/>
            <w:tcBorders>
              <w:right w:val="single" w:sz="8" w:color="071D49"/>
            </w:tcBorders>
            <w:gridSpan w:val="4"/>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340" w:type="dxa"/>
            <w:vAlign w:val="bottom"/>
            <w:tcBorders>
              <w:left w:val="single" w:sz="8" w:color="F2F2F2"/>
              <w:right w:val="single" w:sz="8" w:color="F2F2F2"/>
            </w:tcBorders>
            <w:shd w:val="clear" w:color="auto" w:fill="F2F2F2"/>
          </w:tcPr>
          <w:p>
            <w:pPr>
              <w:spacing w:after="0"/>
              <w:rPr>
                <w:sz w:val="9"/>
                <w:szCs w:val="9"/>
                <w:color w:val="auto"/>
              </w:rPr>
            </w:pPr>
          </w:p>
        </w:tc>
        <w:tc>
          <w:tcPr>
            <w:tcW w:w="380" w:type="dxa"/>
            <w:vAlign w:val="bottom"/>
            <w:tcBorders>
              <w:right w:val="single" w:sz="8" w:color="F2F2F2"/>
            </w:tcBorders>
            <w:shd w:val="clear" w:color="auto" w:fill="F2F2F2"/>
          </w:tcPr>
          <w:p>
            <w:pPr>
              <w:spacing w:after="0"/>
              <w:rPr>
                <w:sz w:val="9"/>
                <w:szCs w:val="9"/>
                <w:color w:val="auto"/>
              </w:rPr>
            </w:pPr>
          </w:p>
        </w:tc>
        <w:tc>
          <w:tcPr>
            <w:tcW w:w="1320" w:type="dxa"/>
            <w:vAlign w:val="bottom"/>
            <w:tcBorders>
              <w:right w:val="single" w:sz="8" w:color="F2F2F2"/>
            </w:tcBorders>
            <w:shd w:val="clear" w:color="auto" w:fill="F2F2F2"/>
          </w:tcPr>
          <w:p>
            <w:pPr>
              <w:spacing w:after="0"/>
              <w:rPr>
                <w:sz w:val="9"/>
                <w:szCs w:val="9"/>
                <w:color w:val="auto"/>
              </w:rPr>
            </w:pPr>
          </w:p>
        </w:tc>
        <w:tc>
          <w:tcPr>
            <w:tcW w:w="360" w:type="dxa"/>
            <w:vAlign w:val="bottom"/>
            <w:tcBorders>
              <w:right w:val="single" w:sz="8" w:color="071D49"/>
            </w:tcBorders>
            <w:shd w:val="clear" w:color="auto" w:fill="F2F2F2"/>
          </w:tcPr>
          <w:p>
            <w:pPr>
              <w:spacing w:after="0"/>
              <w:rPr>
                <w:sz w:val="9"/>
                <w:szCs w:val="9"/>
                <w:color w:val="auto"/>
              </w:rPr>
            </w:pPr>
          </w:p>
        </w:tc>
        <w:tc>
          <w:tcPr>
            <w:tcW w:w="1340" w:type="dxa"/>
            <w:vAlign w:val="bottom"/>
            <w:tcBorders>
              <w:right w:val="single" w:sz="8" w:color="071D49"/>
            </w:tcBorders>
            <w:vMerge w:val="continue"/>
            <w:shd w:val="clear" w:color="auto" w:fill="F2F2F2"/>
          </w:tcPr>
          <w:p>
            <w:pPr>
              <w:spacing w:after="0"/>
              <w:rPr>
                <w:sz w:val="9"/>
                <w:szCs w:val="9"/>
                <w:color w:val="auto"/>
              </w:rPr>
            </w:pPr>
          </w:p>
        </w:tc>
        <w:tc>
          <w:tcPr>
            <w:tcW w:w="360" w:type="dxa"/>
            <w:vAlign w:val="bottom"/>
            <w:tcBorders>
              <w:right w:val="single" w:sz="8" w:color="071D49"/>
            </w:tcBorders>
            <w:shd w:val="clear" w:color="auto" w:fill="F2F2F2"/>
          </w:tcPr>
          <w:p>
            <w:pPr>
              <w:spacing w:after="0"/>
              <w:rPr>
                <w:sz w:val="9"/>
                <w:szCs w:val="9"/>
                <w:color w:val="auto"/>
              </w:rPr>
            </w:pPr>
          </w:p>
        </w:tc>
        <w:tc>
          <w:tcPr>
            <w:tcW w:w="2960" w:type="dxa"/>
            <w:vAlign w:val="bottom"/>
            <w:gridSpan w:val="3"/>
            <w:vMerge w:val="restart"/>
            <w:shd w:val="clear" w:color="auto" w:fill="F2F2F2"/>
          </w:tcPr>
          <w:p>
            <w:pPr>
              <w:jc w:val="center"/>
              <w:ind w:left="1133"/>
              <w:spacing w:after="0"/>
              <w:rPr>
                <w:sz w:val="20"/>
                <w:szCs w:val="20"/>
                <w:color w:val="auto"/>
              </w:rPr>
            </w:pPr>
            <w:r>
              <w:rPr>
                <w:rFonts w:ascii="Arial" w:cs="Arial" w:eastAsia="Arial" w:hAnsi="Arial"/>
                <w:sz w:val="13"/>
                <w:szCs w:val="13"/>
                <w:b w:val="1"/>
                <w:bCs w:val="1"/>
                <w:color w:val="auto"/>
              </w:rPr>
              <w:t>(plan maximum is 200%)</w:t>
            </w:r>
          </w:p>
        </w:tc>
        <w:tc>
          <w:tcPr>
            <w:tcW w:w="1220" w:type="dxa"/>
            <w:vAlign w:val="bottom"/>
            <w:tcBorders>
              <w:right w:val="single" w:sz="8" w:color="071D49"/>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340" w:type="dxa"/>
            <w:vAlign w:val="bottom"/>
            <w:tcBorders>
              <w:left w:val="single" w:sz="8" w:color="F2F2F2"/>
              <w:bottom w:val="single" w:sz="8" w:color="F2F2F2"/>
              <w:right w:val="single" w:sz="8" w:color="F2F2F2"/>
            </w:tcBorders>
            <w:shd w:val="clear" w:color="auto" w:fill="F2F2F2"/>
          </w:tcPr>
          <w:p>
            <w:pPr>
              <w:spacing w:after="0"/>
              <w:rPr>
                <w:sz w:val="9"/>
                <w:szCs w:val="9"/>
                <w:color w:val="auto"/>
              </w:rPr>
            </w:pPr>
          </w:p>
        </w:tc>
        <w:tc>
          <w:tcPr>
            <w:tcW w:w="380" w:type="dxa"/>
            <w:vAlign w:val="bottom"/>
            <w:tcBorders>
              <w:bottom w:val="single" w:sz="8" w:color="F2F2F2"/>
              <w:right w:val="single" w:sz="8" w:color="F2F2F2"/>
            </w:tcBorders>
            <w:shd w:val="clear" w:color="auto" w:fill="F2F2F2"/>
          </w:tcPr>
          <w:p>
            <w:pPr>
              <w:spacing w:after="0"/>
              <w:rPr>
                <w:sz w:val="9"/>
                <w:szCs w:val="9"/>
                <w:color w:val="auto"/>
              </w:rPr>
            </w:pPr>
          </w:p>
        </w:tc>
        <w:tc>
          <w:tcPr>
            <w:tcW w:w="1320" w:type="dxa"/>
            <w:vAlign w:val="bottom"/>
            <w:tcBorders>
              <w:bottom w:val="single" w:sz="8" w:color="F2F2F2"/>
              <w:right w:val="single" w:sz="8" w:color="F2F2F2"/>
            </w:tcBorders>
            <w:shd w:val="clear" w:color="auto" w:fill="F2F2F2"/>
          </w:tcPr>
          <w:p>
            <w:pPr>
              <w:spacing w:after="0"/>
              <w:rPr>
                <w:sz w:val="9"/>
                <w:szCs w:val="9"/>
                <w:color w:val="auto"/>
              </w:rPr>
            </w:pPr>
          </w:p>
        </w:tc>
        <w:tc>
          <w:tcPr>
            <w:tcW w:w="360" w:type="dxa"/>
            <w:vAlign w:val="bottom"/>
            <w:tcBorders>
              <w:bottom w:val="single" w:sz="8" w:color="F2F2F2"/>
              <w:right w:val="single" w:sz="8" w:color="071D49"/>
            </w:tcBorders>
            <w:shd w:val="clear" w:color="auto" w:fill="F2F2F2"/>
          </w:tcPr>
          <w:p>
            <w:pPr>
              <w:spacing w:after="0"/>
              <w:rPr>
                <w:sz w:val="9"/>
                <w:szCs w:val="9"/>
                <w:color w:val="auto"/>
              </w:rPr>
            </w:pPr>
          </w:p>
        </w:tc>
        <w:tc>
          <w:tcPr>
            <w:tcW w:w="1340" w:type="dxa"/>
            <w:vAlign w:val="bottom"/>
            <w:tcBorders>
              <w:bottom w:val="single" w:sz="8" w:color="F2F2F2"/>
              <w:right w:val="single" w:sz="8" w:color="071D49"/>
            </w:tcBorders>
            <w:shd w:val="clear" w:color="auto" w:fill="F2F2F2"/>
          </w:tcPr>
          <w:p>
            <w:pPr>
              <w:spacing w:after="0"/>
              <w:rPr>
                <w:sz w:val="9"/>
                <w:szCs w:val="9"/>
                <w:color w:val="auto"/>
              </w:rPr>
            </w:pPr>
          </w:p>
        </w:tc>
        <w:tc>
          <w:tcPr>
            <w:tcW w:w="360" w:type="dxa"/>
            <w:vAlign w:val="bottom"/>
            <w:tcBorders>
              <w:bottom w:val="single" w:sz="8" w:color="F2F2F2"/>
              <w:right w:val="single" w:sz="8" w:color="071D49"/>
            </w:tcBorders>
            <w:shd w:val="clear" w:color="auto" w:fill="F2F2F2"/>
          </w:tcPr>
          <w:p>
            <w:pPr>
              <w:spacing w:after="0"/>
              <w:rPr>
                <w:sz w:val="9"/>
                <w:szCs w:val="9"/>
                <w:color w:val="auto"/>
              </w:rPr>
            </w:pPr>
          </w:p>
        </w:tc>
        <w:tc>
          <w:tcPr>
            <w:tcW w:w="2960" w:type="dxa"/>
            <w:vAlign w:val="bottom"/>
            <w:tcBorders>
              <w:bottom w:val="single" w:sz="8" w:color="F2F2F2"/>
            </w:tcBorders>
            <w:gridSpan w:val="3"/>
            <w:vMerge w:val="continue"/>
            <w:shd w:val="clear" w:color="auto" w:fill="F2F2F2"/>
          </w:tcPr>
          <w:p>
            <w:pPr>
              <w:spacing w:after="0"/>
              <w:rPr>
                <w:sz w:val="9"/>
                <w:szCs w:val="9"/>
                <w:color w:val="auto"/>
              </w:rPr>
            </w:pPr>
          </w:p>
        </w:tc>
        <w:tc>
          <w:tcPr>
            <w:tcW w:w="1220" w:type="dxa"/>
            <w:vAlign w:val="bottom"/>
            <w:tcBorders>
              <w:bottom w:val="single" w:sz="8" w:color="F2F2F2"/>
              <w:right w:val="single" w:sz="8" w:color="071D49"/>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Borders>
              <w:right w:val="single" w:sz="8" w:color="071D49"/>
            </w:tcBorders>
          </w:tcPr>
          <w:p>
            <w:pPr>
              <w:spacing w:after="0" w:line="20" w:lineRule="exact"/>
              <w:rPr>
                <w:sz w:val="1"/>
                <w:szCs w:val="1"/>
                <w:color w:val="auto"/>
              </w:rPr>
            </w:pPr>
          </w:p>
        </w:tc>
        <w:tc>
          <w:tcPr>
            <w:tcW w:w="1340" w:type="dxa"/>
            <w:vAlign w:val="bottom"/>
            <w:tcBorders>
              <w:right w:val="single" w:sz="8" w:color="071D49"/>
            </w:tcBorders>
            <w:shd w:val="clear" w:color="auto" w:fill="071D49"/>
          </w:tcPr>
          <w:p>
            <w:pPr>
              <w:spacing w:after="0" w:line="20" w:lineRule="exact"/>
              <w:rPr>
                <w:sz w:val="1"/>
                <w:szCs w:val="1"/>
                <w:color w:val="auto"/>
              </w:rPr>
            </w:pPr>
          </w:p>
        </w:tc>
        <w:tc>
          <w:tcPr>
            <w:tcW w:w="360" w:type="dxa"/>
            <w:vAlign w:val="bottom"/>
            <w:tcBorders>
              <w:right w:val="single" w:sz="8" w:color="071D49"/>
            </w:tcBorders>
          </w:tcPr>
          <w:p>
            <w:pPr>
              <w:spacing w:after="0" w:line="20" w:lineRule="exact"/>
              <w:rPr>
                <w:sz w:val="1"/>
                <w:szCs w:val="1"/>
                <w:color w:val="auto"/>
              </w:rPr>
            </w:pPr>
          </w:p>
        </w:tc>
        <w:tc>
          <w:tcPr>
            <w:tcW w:w="1900" w:type="dxa"/>
            <w:vAlign w:val="bottom"/>
            <w:tcBorders>
              <w:right w:val="single" w:sz="8" w:color="071D49"/>
            </w:tcBorders>
            <w:shd w:val="clear" w:color="auto" w:fill="071D49"/>
          </w:tcPr>
          <w:p>
            <w:pPr>
              <w:spacing w:after="0" w:line="20" w:lineRule="exact"/>
              <w:rPr>
                <w:sz w:val="1"/>
                <w:szCs w:val="1"/>
                <w:color w:val="auto"/>
              </w:rPr>
            </w:pPr>
          </w:p>
        </w:tc>
        <w:tc>
          <w:tcPr>
            <w:tcW w:w="380" w:type="dxa"/>
            <w:vAlign w:val="bottom"/>
            <w:tcBorders>
              <w:right w:val="single" w:sz="8" w:color="071D49"/>
            </w:tcBorders>
            <w:shd w:val="clear" w:color="auto" w:fill="071D49"/>
          </w:tcPr>
          <w:p>
            <w:pPr>
              <w:spacing w:after="0" w:line="20" w:lineRule="exact"/>
              <w:rPr>
                <w:sz w:val="1"/>
                <w:szCs w:val="1"/>
                <w:color w:val="auto"/>
              </w:rPr>
            </w:pPr>
          </w:p>
        </w:tc>
        <w:tc>
          <w:tcPr>
            <w:tcW w:w="680" w:type="dxa"/>
            <w:vAlign w:val="bottom"/>
            <w:shd w:val="clear" w:color="auto" w:fill="071D49"/>
          </w:tcPr>
          <w:p>
            <w:pPr>
              <w:spacing w:after="0" w:line="20" w:lineRule="exact"/>
              <w:rPr>
                <w:sz w:val="1"/>
                <w:szCs w:val="1"/>
                <w:color w:val="auto"/>
              </w:rPr>
            </w:pPr>
          </w:p>
        </w:tc>
        <w:tc>
          <w:tcPr>
            <w:tcW w:w="1220" w:type="dxa"/>
            <w:vAlign w:val="bottom"/>
            <w:tcBorders>
              <w:right w:val="single" w:sz="8" w:color="071D49"/>
            </w:tcBorders>
            <w:shd w:val="clear" w:color="auto" w:fill="071D4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As noted, the annual incentive payout matrix establishes a potential range of incentive outcomes based on platform revenue and income before taxes. In light of the expected financial implications in 2023 directly related to U.S. Humira LOE, the committee set rigorous financial targets for the year but also reduced corresponding payouts by 10% recognizing that the U.S. Humira LOE was a hinderance toward year-over-year growth. For 2023, actual platform revenue performance was 103% compared to target, while actual income before taxes was 106% compared to target.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ind w:left="20"/>
              <w:spacing w:after="0"/>
              <w:rPr>
                <w:sz w:val="20"/>
                <w:szCs w:val="20"/>
                <w:color w:val="auto"/>
              </w:rPr>
            </w:pPr>
            <w:r>
              <w:rPr>
                <w:rFonts w:ascii="Arial" w:cs="Arial" w:eastAsia="Arial" w:hAnsi="Arial"/>
                <w:sz w:val="13"/>
                <w:szCs w:val="13"/>
                <w:b w:val="1"/>
                <w:bCs w:val="1"/>
                <w:color w:val="071D49"/>
              </w:rPr>
              <w:t>Annual Incentive</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2"/>
          </w:tcPr>
          <w:p>
            <w:pPr>
              <w:jc w:val="right"/>
              <w:ind w:right="292"/>
              <w:spacing w:after="0"/>
              <w:rPr>
                <w:sz w:val="20"/>
                <w:szCs w:val="20"/>
                <w:color w:val="auto"/>
              </w:rPr>
            </w:pPr>
            <w:r>
              <w:rPr>
                <w:rFonts w:ascii="Arial" w:cs="Arial" w:eastAsia="Arial" w:hAnsi="Arial"/>
                <w:sz w:val="13"/>
                <w:szCs w:val="13"/>
                <w:b w:val="1"/>
                <w:bCs w:val="1"/>
                <w:color w:val="071D49"/>
              </w:rPr>
              <w:t>2023 Target vs.</w:t>
            </w:r>
          </w:p>
        </w:tc>
        <w:tc>
          <w:tcPr>
            <w:tcW w:w="960" w:type="dxa"/>
            <w:vAlign w:val="bottom"/>
          </w:tcPr>
          <w:p>
            <w:pPr>
              <w:spacing w:after="0"/>
              <w:rPr>
                <w:sz w:val="13"/>
                <w:szCs w:val="13"/>
                <w:color w:val="auto"/>
              </w:rPr>
            </w:pPr>
          </w:p>
        </w:tc>
        <w:tc>
          <w:tcPr>
            <w:tcW w:w="1260" w:type="dxa"/>
            <w:vAlign w:val="bottom"/>
          </w:tcPr>
          <w:p>
            <w:pPr>
              <w:jc w:val="right"/>
              <w:ind w:right="105"/>
              <w:spacing w:after="0"/>
              <w:rPr>
                <w:sz w:val="20"/>
                <w:szCs w:val="20"/>
                <w:color w:val="auto"/>
              </w:rPr>
            </w:pPr>
            <w:r>
              <w:rPr>
                <w:rFonts w:ascii="Arial" w:cs="Arial" w:eastAsia="Arial" w:hAnsi="Arial"/>
                <w:sz w:val="13"/>
                <w:szCs w:val="13"/>
                <w:b w:val="1"/>
                <w:bCs w:val="1"/>
                <w:color w:val="071D49"/>
              </w:rPr>
              <w:t>2023 Actual vs.</w:t>
            </w:r>
          </w:p>
        </w:tc>
      </w:tr>
      <w:tr>
        <w:trPr>
          <w:trHeight w:val="175"/>
        </w:trPr>
        <w:tc>
          <w:tcPr>
            <w:tcW w:w="2840" w:type="dxa"/>
            <w:vAlign w:val="bottom"/>
            <w:tcBorders>
              <w:bottom w:val="single" w:sz="8" w:color="071D49"/>
            </w:tcBorders>
          </w:tcPr>
          <w:p>
            <w:pPr>
              <w:ind w:left="20"/>
              <w:spacing w:after="0" w:line="175" w:lineRule="exact"/>
              <w:rPr>
                <w:sz w:val="20"/>
                <w:szCs w:val="20"/>
                <w:color w:val="auto"/>
              </w:rPr>
            </w:pPr>
            <w:r>
              <w:rPr>
                <w:rFonts w:ascii="Arial" w:cs="Arial" w:eastAsia="Arial" w:hAnsi="Arial"/>
                <w:sz w:val="13"/>
                <w:szCs w:val="13"/>
                <w:b w:val="1"/>
                <w:bCs w:val="1"/>
                <w:color w:val="071D49"/>
              </w:rPr>
              <w:t>Payout Matrix</w:t>
            </w:r>
            <w:r>
              <w:rPr>
                <w:rFonts w:ascii="Arial" w:cs="Arial" w:eastAsia="Arial" w:hAnsi="Arial"/>
                <w:sz w:val="20"/>
                <w:szCs w:val="20"/>
                <w:b w:val="1"/>
                <w:bCs w:val="1"/>
                <w:color w:val="071D49"/>
                <w:vertAlign w:val="superscript"/>
              </w:rPr>
              <w:t>(1)</w:t>
            </w:r>
          </w:p>
        </w:tc>
        <w:tc>
          <w:tcPr>
            <w:tcW w:w="540" w:type="dxa"/>
            <w:vAlign w:val="bottom"/>
            <w:tcBorders>
              <w:bottom w:val="single" w:sz="8" w:color="071D49"/>
            </w:tcBorders>
          </w:tcPr>
          <w:p>
            <w:pPr>
              <w:spacing w:after="0"/>
              <w:rPr>
                <w:sz w:val="15"/>
                <w:szCs w:val="15"/>
                <w:color w:val="auto"/>
              </w:rPr>
            </w:pPr>
          </w:p>
        </w:tc>
        <w:tc>
          <w:tcPr>
            <w:tcW w:w="1020" w:type="dxa"/>
            <w:vAlign w:val="bottom"/>
            <w:tcBorders>
              <w:bottom w:val="single" w:sz="8" w:color="071D49"/>
            </w:tcBorders>
          </w:tcPr>
          <w:p>
            <w:pPr>
              <w:ind w:left="40"/>
              <w:spacing w:after="0"/>
              <w:rPr>
                <w:sz w:val="20"/>
                <w:szCs w:val="20"/>
                <w:color w:val="auto"/>
              </w:rPr>
            </w:pPr>
            <w:r>
              <w:rPr>
                <w:rFonts w:ascii="Arial" w:cs="Arial" w:eastAsia="Arial" w:hAnsi="Arial"/>
                <w:sz w:val="13"/>
                <w:szCs w:val="13"/>
                <w:b w:val="1"/>
                <w:bCs w:val="1"/>
                <w:color w:val="071D49"/>
              </w:rPr>
              <w:t>2022 Actual</w:t>
            </w:r>
          </w:p>
        </w:tc>
        <w:tc>
          <w:tcPr>
            <w:tcW w:w="1020" w:type="dxa"/>
            <w:vAlign w:val="bottom"/>
            <w:tcBorders>
              <w:bottom w:val="single" w:sz="8" w:color="071D49"/>
            </w:tcBorders>
            <w:gridSpan w:val="2"/>
          </w:tcPr>
          <w:p>
            <w:pPr>
              <w:ind w:left="140"/>
              <w:spacing w:after="0"/>
              <w:rPr>
                <w:sz w:val="20"/>
                <w:szCs w:val="20"/>
                <w:color w:val="auto"/>
              </w:rPr>
            </w:pPr>
            <w:r>
              <w:rPr>
                <w:rFonts w:ascii="Arial" w:cs="Arial" w:eastAsia="Arial" w:hAnsi="Arial"/>
                <w:sz w:val="13"/>
                <w:szCs w:val="13"/>
                <w:b w:val="1"/>
                <w:bCs w:val="1"/>
                <w:color w:val="071D49"/>
              </w:rPr>
              <w:t>2023 Target</w:t>
            </w:r>
          </w:p>
        </w:tc>
        <w:tc>
          <w:tcPr>
            <w:tcW w:w="2440" w:type="dxa"/>
            <w:vAlign w:val="bottom"/>
            <w:tcBorders>
              <w:bottom w:val="single" w:sz="8" w:color="071D49"/>
            </w:tcBorders>
            <w:gridSpan w:val="3"/>
          </w:tcPr>
          <w:p>
            <w:pPr>
              <w:ind w:left="360"/>
              <w:spacing w:after="0"/>
              <w:rPr>
                <w:sz w:val="20"/>
                <w:szCs w:val="20"/>
                <w:color w:val="auto"/>
              </w:rPr>
            </w:pPr>
            <w:r>
              <w:rPr>
                <w:rFonts w:ascii="Arial" w:cs="Arial" w:eastAsia="Arial" w:hAnsi="Arial"/>
                <w:sz w:val="13"/>
                <w:szCs w:val="13"/>
                <w:b w:val="1"/>
                <w:bCs w:val="1"/>
                <w:color w:val="071D49"/>
              </w:rPr>
              <w:t>2022 Actual2023 Actual</w:t>
            </w:r>
          </w:p>
        </w:tc>
        <w:tc>
          <w:tcPr>
            <w:tcW w:w="1260" w:type="dxa"/>
            <w:vAlign w:val="bottom"/>
            <w:tcBorders>
              <w:bottom w:val="single" w:sz="8" w:color="071D49"/>
            </w:tcBorders>
          </w:tcPr>
          <w:p>
            <w:pPr>
              <w:jc w:val="right"/>
              <w:ind w:right="105"/>
              <w:spacing w:after="0"/>
              <w:rPr>
                <w:sz w:val="20"/>
                <w:szCs w:val="20"/>
                <w:color w:val="auto"/>
              </w:rPr>
            </w:pPr>
            <w:r>
              <w:rPr>
                <w:rFonts w:ascii="Arial" w:cs="Arial" w:eastAsia="Arial" w:hAnsi="Arial"/>
                <w:sz w:val="13"/>
                <w:szCs w:val="13"/>
                <w:b w:val="1"/>
                <w:bCs w:val="1"/>
                <w:color w:val="071D49"/>
              </w:rPr>
              <w:t>2023 Target</w:t>
            </w:r>
          </w:p>
        </w:tc>
      </w:tr>
      <w:tr>
        <w:trPr>
          <w:trHeight w:val="180"/>
        </w:trPr>
        <w:tc>
          <w:tcPr>
            <w:tcW w:w="2840" w:type="dxa"/>
            <w:vAlign w:val="bottom"/>
            <w:shd w:val="clear" w:color="auto" w:fill="D9D9D9"/>
          </w:tcPr>
          <w:p>
            <w:pPr>
              <w:ind w:left="20"/>
              <w:spacing w:after="0" w:line="181" w:lineRule="exact"/>
              <w:rPr>
                <w:sz w:val="20"/>
                <w:szCs w:val="20"/>
                <w:color w:val="auto"/>
              </w:rPr>
            </w:pPr>
            <w:r>
              <w:rPr>
                <w:rFonts w:ascii="Arial" w:cs="Arial" w:eastAsia="Arial" w:hAnsi="Arial"/>
                <w:sz w:val="14"/>
                <w:szCs w:val="14"/>
                <w:color w:val="auto"/>
              </w:rPr>
              <w:t>Platform Revenue</w:t>
            </w:r>
            <w:r>
              <w:rPr>
                <w:rFonts w:ascii="Arial" w:cs="Arial" w:eastAsia="Arial" w:hAnsi="Arial"/>
                <w:sz w:val="20"/>
                <w:szCs w:val="20"/>
                <w:color w:val="auto"/>
                <w:vertAlign w:val="superscript"/>
              </w:rPr>
              <w:t>(2)</w:t>
            </w:r>
          </w:p>
        </w:tc>
        <w:tc>
          <w:tcPr>
            <w:tcW w:w="54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w:t>
            </w:r>
          </w:p>
        </w:tc>
        <w:tc>
          <w:tcPr>
            <w:tcW w:w="1020" w:type="dxa"/>
            <w:vAlign w:val="bottom"/>
            <w:shd w:val="clear" w:color="auto" w:fill="D9D9D9"/>
          </w:tcPr>
          <w:p>
            <w:pPr>
              <w:ind w:left="160"/>
              <w:spacing w:after="0" w:line="181" w:lineRule="exact"/>
              <w:rPr>
                <w:sz w:val="20"/>
                <w:szCs w:val="20"/>
                <w:color w:val="auto"/>
              </w:rPr>
            </w:pPr>
            <w:r>
              <w:rPr>
                <w:rFonts w:ascii="Arial" w:cs="Arial" w:eastAsia="Arial" w:hAnsi="Arial"/>
                <w:sz w:val="14"/>
                <w:szCs w:val="14"/>
                <w:color w:val="auto"/>
              </w:rPr>
              <w:t xml:space="preserve">37.6 BN </w:t>
            </w:r>
            <w:r>
              <w:rPr>
                <w:rFonts w:ascii="Arial" w:cs="Arial" w:eastAsia="Arial" w:hAnsi="Arial"/>
                <w:sz w:val="20"/>
                <w:szCs w:val="20"/>
                <w:color w:val="auto"/>
                <w:vertAlign w:val="superscript"/>
              </w:rPr>
              <w:t>(2)</w:t>
            </w:r>
          </w:p>
        </w:tc>
        <w:tc>
          <w:tcPr>
            <w:tcW w:w="20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w:t>
            </w:r>
          </w:p>
        </w:tc>
        <w:tc>
          <w:tcPr>
            <w:tcW w:w="820" w:type="dxa"/>
            <w:vAlign w:val="bottom"/>
            <w:shd w:val="clear" w:color="auto" w:fill="D9D9D9"/>
          </w:tcPr>
          <w:p>
            <w:pPr>
              <w:ind w:left="40"/>
              <w:spacing w:after="0" w:line="180" w:lineRule="exact"/>
              <w:rPr>
                <w:sz w:val="20"/>
                <w:szCs w:val="20"/>
                <w:color w:val="auto"/>
              </w:rPr>
            </w:pPr>
            <w:r>
              <w:rPr>
                <w:rFonts w:ascii="Arial" w:cs="Arial" w:eastAsia="Arial" w:hAnsi="Arial"/>
                <w:sz w:val="17"/>
                <w:szCs w:val="17"/>
                <w:color w:val="auto"/>
              </w:rPr>
              <w:t>38.8 BN</w:t>
            </w:r>
          </w:p>
        </w:tc>
        <w:tc>
          <w:tcPr>
            <w:tcW w:w="60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103 % $</w:t>
            </w:r>
          </w:p>
        </w:tc>
        <w:tc>
          <w:tcPr>
            <w:tcW w:w="960" w:type="dxa"/>
            <w:vAlign w:val="bottom"/>
            <w:shd w:val="clear" w:color="auto" w:fill="D9D9D9"/>
          </w:tcPr>
          <w:p>
            <w:pPr>
              <w:ind w:left="60"/>
              <w:spacing w:after="0" w:line="181" w:lineRule="exact"/>
              <w:rPr>
                <w:sz w:val="20"/>
                <w:szCs w:val="20"/>
                <w:color w:val="auto"/>
              </w:rPr>
            </w:pPr>
            <w:r>
              <w:rPr>
                <w:rFonts w:ascii="Arial" w:cs="Arial" w:eastAsia="Arial" w:hAnsi="Arial"/>
                <w:sz w:val="14"/>
                <w:szCs w:val="14"/>
                <w:color w:val="auto"/>
              </w:rPr>
              <w:t xml:space="preserve">40.0 BN </w:t>
            </w:r>
            <w:r>
              <w:rPr>
                <w:rFonts w:ascii="Arial" w:cs="Arial" w:eastAsia="Arial" w:hAnsi="Arial"/>
                <w:sz w:val="20"/>
                <w:szCs w:val="20"/>
                <w:color w:val="auto"/>
                <w:vertAlign w:val="superscript"/>
              </w:rPr>
              <w:t>(2)</w:t>
            </w:r>
          </w:p>
        </w:tc>
        <w:tc>
          <w:tcPr>
            <w:tcW w:w="126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103 %</w:t>
            </w:r>
          </w:p>
        </w:tc>
      </w:tr>
      <w:tr>
        <w:trPr>
          <w:trHeight w:val="200"/>
        </w:trPr>
        <w:tc>
          <w:tcPr>
            <w:tcW w:w="2840" w:type="dxa"/>
            <w:vAlign w:val="bottom"/>
            <w:tcBorders>
              <w:bottom w:val="single" w:sz="8" w:color="071D49"/>
            </w:tcBorders>
          </w:tcPr>
          <w:p>
            <w:pPr>
              <w:ind w:left="20"/>
              <w:spacing w:after="0"/>
              <w:rPr>
                <w:sz w:val="20"/>
                <w:szCs w:val="20"/>
                <w:color w:val="auto"/>
              </w:rPr>
            </w:pPr>
            <w:r>
              <w:rPr>
                <w:rFonts w:ascii="Arial" w:cs="Arial" w:eastAsia="Arial" w:hAnsi="Arial"/>
                <w:sz w:val="17"/>
                <w:szCs w:val="17"/>
                <w:color w:val="auto"/>
              </w:rPr>
              <w:t>Non</w:t>
            </w:r>
            <w:r>
              <w:rPr>
                <w:rFonts w:ascii="Times New Roman" w:cs="Times New Roman" w:eastAsia="Times New Roman" w:hAnsi="Times New Roman"/>
                <w:sz w:val="17"/>
                <w:szCs w:val="17"/>
                <w:color w:val="auto"/>
              </w:rPr>
              <w:t>-</w:t>
            </w:r>
            <w:r>
              <w:rPr>
                <w:rFonts w:ascii="Arial" w:cs="Arial" w:eastAsia="Arial" w:hAnsi="Arial"/>
                <w:sz w:val="17"/>
                <w:szCs w:val="17"/>
                <w:color w:val="auto"/>
              </w:rPr>
              <w:t>GAAP Income Before Taxes</w:t>
            </w:r>
          </w:p>
        </w:tc>
        <w:tc>
          <w:tcPr>
            <w:tcW w:w="540" w:type="dxa"/>
            <w:vAlign w:val="bottom"/>
            <w:tcBorders>
              <w:bottom w:val="single" w:sz="8" w:color="071D49"/>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71D49"/>
            </w:tcBorders>
          </w:tcPr>
          <w:p>
            <w:pPr>
              <w:ind w:left="160"/>
              <w:spacing w:after="0" w:line="200" w:lineRule="exact"/>
              <w:rPr>
                <w:sz w:val="20"/>
                <w:szCs w:val="20"/>
                <w:color w:val="auto"/>
              </w:rPr>
            </w:pPr>
            <w:r>
              <w:rPr>
                <w:rFonts w:ascii="Arial" w:cs="Arial" w:eastAsia="Arial" w:hAnsi="Arial"/>
                <w:sz w:val="16"/>
                <w:szCs w:val="16"/>
                <w:color w:val="auto"/>
              </w:rPr>
              <w:t xml:space="preserve">29.2 BN </w:t>
            </w:r>
            <w:r>
              <w:rPr>
                <w:rFonts w:ascii="Arial" w:cs="Arial" w:eastAsia="Arial" w:hAnsi="Arial"/>
                <w:sz w:val="23"/>
                <w:szCs w:val="23"/>
                <w:color w:val="auto"/>
                <w:vertAlign w:val="superscript"/>
              </w:rPr>
              <w:t>(3)</w:t>
            </w:r>
          </w:p>
        </w:tc>
        <w:tc>
          <w:tcPr>
            <w:tcW w:w="200" w:type="dxa"/>
            <w:vAlign w:val="bottom"/>
            <w:tcBorders>
              <w:bottom w:val="single" w:sz="8" w:color="071D49"/>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071D49"/>
            </w:tcBorders>
          </w:tcPr>
          <w:p>
            <w:pPr>
              <w:ind w:left="40"/>
              <w:spacing w:after="0"/>
              <w:rPr>
                <w:sz w:val="20"/>
                <w:szCs w:val="20"/>
                <w:color w:val="auto"/>
              </w:rPr>
            </w:pPr>
            <w:r>
              <w:rPr>
                <w:rFonts w:ascii="Arial" w:cs="Arial" w:eastAsia="Arial" w:hAnsi="Arial"/>
                <w:sz w:val="17"/>
                <w:szCs w:val="17"/>
                <w:color w:val="auto"/>
              </w:rPr>
              <w:t>23.1 BN</w:t>
            </w:r>
          </w:p>
        </w:tc>
        <w:tc>
          <w:tcPr>
            <w:tcW w:w="600" w:type="dxa"/>
            <w:vAlign w:val="bottom"/>
            <w:tcBorders>
              <w:bottom w:val="single" w:sz="8" w:color="071D49"/>
            </w:tcBorders>
          </w:tcPr>
          <w:p>
            <w:pPr>
              <w:spacing w:after="0"/>
              <w:rPr>
                <w:sz w:val="17"/>
                <w:szCs w:val="17"/>
                <w:color w:val="auto"/>
              </w:rPr>
            </w:pP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7"/>
                <w:szCs w:val="17"/>
                <w:color w:val="auto"/>
              </w:rPr>
              <w:t>79 % $</w:t>
            </w:r>
          </w:p>
        </w:tc>
        <w:tc>
          <w:tcPr>
            <w:tcW w:w="960" w:type="dxa"/>
            <w:vAlign w:val="bottom"/>
            <w:tcBorders>
              <w:bottom w:val="single" w:sz="8" w:color="071D49"/>
            </w:tcBorders>
          </w:tcPr>
          <w:p>
            <w:pPr>
              <w:ind w:left="60"/>
              <w:spacing w:after="0" w:line="200" w:lineRule="exact"/>
              <w:rPr>
                <w:sz w:val="20"/>
                <w:szCs w:val="20"/>
                <w:color w:val="auto"/>
              </w:rPr>
            </w:pPr>
            <w:r>
              <w:rPr>
                <w:rFonts w:ascii="Arial" w:cs="Arial" w:eastAsia="Arial" w:hAnsi="Arial"/>
                <w:sz w:val="16"/>
                <w:szCs w:val="16"/>
                <w:color w:val="auto"/>
              </w:rPr>
              <w:t xml:space="preserve">24.4 BN </w:t>
            </w:r>
            <w:r>
              <w:rPr>
                <w:rFonts w:ascii="Arial" w:cs="Arial" w:eastAsia="Arial" w:hAnsi="Arial"/>
                <w:sz w:val="23"/>
                <w:szCs w:val="23"/>
                <w:color w:val="auto"/>
                <w:vertAlign w:val="superscript"/>
              </w:rPr>
              <w:t>(3)</w:t>
            </w:r>
          </w:p>
        </w:tc>
        <w:tc>
          <w:tcPr>
            <w:tcW w:w="1260" w:type="dxa"/>
            <w:vAlign w:val="bottom"/>
            <w:tcBorders>
              <w:bottom w:val="single" w:sz="8" w:color="071D49"/>
            </w:tcBorders>
          </w:tcPr>
          <w:p>
            <w:pPr>
              <w:jc w:val="right"/>
              <w:spacing w:after="0"/>
              <w:rPr>
                <w:sz w:val="20"/>
                <w:szCs w:val="20"/>
                <w:color w:val="auto"/>
              </w:rPr>
            </w:pPr>
            <w:r>
              <w:rPr>
                <w:rFonts w:ascii="Arial" w:cs="Arial" w:eastAsia="Arial" w:hAnsi="Arial"/>
                <w:sz w:val="17"/>
                <w:szCs w:val="17"/>
                <w:color w:val="auto"/>
              </w:rPr>
              <w:t>106 %</w:t>
            </w:r>
          </w:p>
        </w:tc>
      </w:tr>
      <w:tr>
        <w:trPr>
          <w:trHeight w:val="171"/>
        </w:trPr>
        <w:tc>
          <w:tcPr>
            <w:tcW w:w="2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40"/>
              <w:spacing w:after="0" w:line="171" w:lineRule="exact"/>
              <w:rPr>
                <w:sz w:val="20"/>
                <w:szCs w:val="20"/>
                <w:color w:val="auto"/>
              </w:rPr>
            </w:pPr>
            <w:r>
              <w:rPr>
                <w:rFonts w:ascii="Arial" w:cs="Arial" w:eastAsia="Arial" w:hAnsi="Arial"/>
                <w:sz w:val="18"/>
                <w:szCs w:val="18"/>
                <w:b w:val="1"/>
                <w:bCs w:val="1"/>
                <w:color w:val="auto"/>
              </w:rPr>
              <w:t>2023 Payout</w:t>
            </w:r>
          </w:p>
        </w:tc>
        <w:tc>
          <w:tcPr>
            <w:tcW w:w="3100" w:type="dxa"/>
            <w:vAlign w:val="bottom"/>
            <w:gridSpan w:val="3"/>
          </w:tcPr>
          <w:p>
            <w:pPr>
              <w:jc w:val="right"/>
              <w:ind w:right="125"/>
              <w:spacing w:after="0" w:line="171" w:lineRule="exact"/>
              <w:rPr>
                <w:sz w:val="20"/>
                <w:szCs w:val="20"/>
                <w:color w:val="auto"/>
              </w:rPr>
            </w:pPr>
            <w:r>
              <w:rPr>
                <w:rFonts w:ascii="Arial" w:cs="Arial" w:eastAsia="Arial" w:hAnsi="Arial"/>
                <w:sz w:val="18"/>
                <w:szCs w:val="18"/>
                <w:b w:val="1"/>
                <w:bCs w:val="1"/>
                <w:color w:val="auto"/>
              </w:rPr>
              <w:t>Capped at 190% of target</w:t>
            </w:r>
          </w:p>
        </w:tc>
      </w:tr>
      <w:tr>
        <w:trPr>
          <w:trHeight w:val="252"/>
        </w:trPr>
        <w:tc>
          <w:tcPr>
            <w:tcW w:w="2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Matrix Result</w:t>
            </w:r>
          </w:p>
        </w:tc>
        <w:tc>
          <w:tcPr>
            <w:tcW w:w="310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rPr>
              <w:t>(below 200% plan maximum)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4700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33" w:lineRule="exact"/>
        <w:rPr>
          <w:sz w:val="20"/>
          <w:szCs w:val="20"/>
          <w:color w:val="auto"/>
        </w:rPr>
      </w:pPr>
    </w:p>
    <w:p>
      <w:pPr>
        <w:ind w:left="320" w:hanging="308"/>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Results achieved reflect certain specified items, which are reconciled in Appendix B.</w:t>
      </w:r>
    </w:p>
    <w:p>
      <w:pPr>
        <w:spacing w:after="0" w:line="192" w:lineRule="exact"/>
        <w:rPr>
          <w:rFonts w:ascii="Arial" w:cs="Arial" w:eastAsia="Arial" w:hAnsi="Arial"/>
          <w:sz w:val="17"/>
          <w:szCs w:val="17"/>
          <w:color w:val="auto"/>
        </w:rPr>
      </w:pPr>
    </w:p>
    <w:p>
      <w:pPr>
        <w:ind w:left="320" w:right="60" w:hanging="308"/>
        <w:spacing w:after="0" w:line="238" w:lineRule="auto"/>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Platform Revenue is a non-GAAP metric comprised of net revenues less total Humira sales and adjusted for foreign exchange, as outlined in Appendix B. The committee retained for 2023 the use of Platform Revenue, first introduced as a performance metric within the PIP in 2022, to reinforce management’s focus on growth opportunities to offset anticipated revenue decline associated with U.S. Humira LOE. Platform Revenue target and result are adjusted for foreign exchange because it is unpredictable at the time the target is set.</w:t>
      </w:r>
    </w:p>
    <w:p>
      <w:pPr>
        <w:spacing w:after="0" w:line="169" w:lineRule="exact"/>
        <w:rPr>
          <w:rFonts w:ascii="Arial" w:cs="Arial" w:eastAsia="Arial" w:hAnsi="Arial"/>
          <w:sz w:val="17"/>
          <w:szCs w:val="17"/>
          <w:color w:val="auto"/>
        </w:rPr>
      </w:pPr>
    </w:p>
    <w:p>
      <w:pPr>
        <w:ind w:left="360" w:hanging="348"/>
        <w:spacing w:after="0"/>
        <w:tabs>
          <w:tab w:leader="none" w:pos="3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Evaluated on a constant currency basis.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Comments on the PIP Bonus Paid to Richard A. Gonzalez, Chairman and Chief Executive Officer</w:t>
      </w:r>
    </w:p>
    <w:p>
      <w:pPr>
        <w:spacing w:after="0" w:line="84" w:lineRule="exact"/>
        <w:rPr>
          <w:sz w:val="20"/>
          <w:szCs w:val="20"/>
          <w:color w:val="auto"/>
        </w:rPr>
      </w:pPr>
    </w:p>
    <w:p>
      <w:pPr>
        <w:ind w:left="20"/>
        <w:spacing w:after="0" w:line="208" w:lineRule="auto"/>
        <w:rPr>
          <w:sz w:val="20"/>
          <w:szCs w:val="20"/>
          <w:color w:val="auto"/>
        </w:rPr>
      </w:pPr>
      <w:r>
        <w:rPr>
          <w:rFonts w:ascii="Arial" w:cs="Arial" w:eastAsia="Arial" w:hAnsi="Arial"/>
          <w:sz w:val="16"/>
          <w:szCs w:val="16"/>
          <w:color w:val="auto"/>
        </w:rPr>
        <w:t>The committee awarded Mr. Gonzalez a bonus of $3,500,000, positioned at approximately the 50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percentile when compared to peer bonuses paid in 2023 and 125% of his target bonus opportunity, noting that it aligned with the strong execution in</w:t>
      </w:r>
    </w:p>
    <w:p>
      <w:pPr>
        <w:spacing w:after="0" w:line="1" w:lineRule="exact"/>
        <w:rPr>
          <w:sz w:val="20"/>
          <w:szCs w:val="20"/>
          <w:color w:val="auto"/>
        </w:rPr>
      </w:pPr>
    </w:p>
    <w:p>
      <w:pPr>
        <w:ind w:left="20" w:right="20"/>
        <w:spacing w:after="0" w:line="250" w:lineRule="auto"/>
        <w:rPr>
          <w:sz w:val="20"/>
          <w:szCs w:val="20"/>
          <w:color w:val="auto"/>
        </w:rPr>
      </w:pPr>
      <w:r>
        <w:rPr>
          <w:rFonts w:ascii="Arial" w:cs="Arial" w:eastAsia="Arial" w:hAnsi="Arial"/>
          <w:sz w:val="16"/>
          <w:szCs w:val="16"/>
          <w:color w:val="auto"/>
        </w:rPr>
        <w:t>2023 against plan and against the significantly challenging backdrop of U.S. Humira LOE. The committee also noted that Mr. Gonzalez’s bonus was 11% lower than the bonus he earned for 2022, and 29% lower than the bonus he earned for 2021 (see illustration below). The committee believes this outcome appropriately balances the company’s strong achievement against plan with the reduction in actual financial results compared to prior years. It also noted that without the thoughtful strategy to navigate the challenging conditions in 2023 that was conceived, developed, and executed by the senior executive team, led by Mr. Gonzalez, it is highly likely the impact of U.S. Humira LOE on the financial results would have been more significant.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125095</wp:posOffset>
            </wp:positionV>
            <wp:extent cx="4123055" cy="2550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23055" cy="255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Final Committee Decisions</w:t>
      </w:r>
    </w:p>
    <w:p>
      <w:pPr>
        <w:spacing w:after="0" w:line="192" w:lineRule="exact"/>
        <w:rPr>
          <w:sz w:val="20"/>
          <w:szCs w:val="20"/>
          <w:color w:val="auto"/>
        </w:rPr>
      </w:pPr>
    </w:p>
    <w:p>
      <w:pPr>
        <w:ind w:right="19"/>
        <w:spacing w:after="0" w:line="237" w:lineRule="auto"/>
        <w:rPr>
          <w:sz w:val="20"/>
          <w:szCs w:val="20"/>
          <w:color w:val="auto"/>
        </w:rPr>
      </w:pPr>
      <w:r>
        <w:rPr>
          <w:rFonts w:ascii="Arial" w:cs="Arial" w:eastAsia="Arial" w:hAnsi="Arial"/>
          <w:sz w:val="17"/>
          <w:szCs w:val="17"/>
          <w:color w:val="auto"/>
        </w:rPr>
        <w:t>Final awards are determined by the compensation committee and include a qualitative assessment of holistic performance. While the committee relies heavily on objective, quantitative metrics to determine PIP awards, this qualitative element ensures the review is comprehensive and includes all individual, strategic, and leadership goals for which assessment is not dictated solely by numeric or formulaic applications. Moreover, while each participant has predetermined goals, the committee also considers relative achievements and/or developments in the company, the marketplace, and the global economy that could not have been foreseen when individual goals were established.</w:t>
      </w:r>
    </w:p>
    <w:p>
      <w:pPr>
        <w:spacing w:after="0" w:line="156" w:lineRule="exact"/>
        <w:rPr>
          <w:sz w:val="20"/>
          <w:szCs w:val="20"/>
          <w:color w:val="auto"/>
        </w:rPr>
      </w:pPr>
    </w:p>
    <w:p>
      <w:pPr>
        <w:jc w:val="both"/>
        <w:ind w:right="139"/>
        <w:spacing w:after="0" w:line="268" w:lineRule="auto"/>
        <w:rPr>
          <w:sz w:val="20"/>
          <w:szCs w:val="20"/>
          <w:color w:val="auto"/>
        </w:rPr>
      </w:pPr>
      <w:r>
        <w:rPr>
          <w:rFonts w:ascii="Arial" w:cs="Arial" w:eastAsia="Arial" w:hAnsi="Arial"/>
          <w:sz w:val="16"/>
          <w:szCs w:val="16"/>
          <w:color w:val="auto"/>
        </w:rPr>
        <w:t>In determining final bonuses for 2023, the committee first applied downward discretion to reduce the maximum cap on PIP bonus outcomes from 190% suggested by the payout matrix to 170%. This was done primarily in response to lower actual results compared to 2022 and to calibrate overall pay outcomes with performance and governance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95885</wp:posOffset>
            </wp:positionV>
            <wp:extent cx="4488815" cy="14700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488815" cy="147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46</w:t>
      </w:r>
      <w:r>
        <w:rPr>
          <w:sz w:val="20"/>
          <w:szCs w:val="20"/>
          <w:color w:val="auto"/>
        </w:rPr>
        <w:tab/>
      </w:r>
      <w:r>
        <w:rPr>
          <w:sz w:val="1"/>
          <w:szCs w:val="1"/>
          <w:color w:val="auto"/>
        </w:rPr>
        <w:drawing>
          <wp:inline distT="0" distB="0" distL="0" distR="0">
            <wp:extent cx="810260" cy="1511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139"/>
          </w:cols>
          <w:pgMar w:left="1320" w:top="486" w:right="1440" w:bottom="1440" w:gutter="0" w:footer="0" w:header="0"/>
        </w:sectPr>
      </w:pPr>
    </w:p>
    <w:bookmarkStart w:id="49" w:name="page50"/>
    <w:bookmarkEnd w:id="4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results for each of our NEOs are shown below.</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454968"/>
              </w:rPr>
              <w:t>Executive</w:t>
            </w:r>
          </w:p>
        </w:tc>
        <w:tc>
          <w:tcPr>
            <w:tcW w:w="156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Target Award</w:t>
            </w:r>
          </w:p>
        </w:tc>
        <w:tc>
          <w:tcPr>
            <w:tcW w:w="780" w:type="dxa"/>
            <w:vAlign w:val="bottom"/>
            <w:tcBorders>
              <w:bottom w:val="single" w:sz="8" w:color="071D49"/>
            </w:tcBorders>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3"/>
                <w:szCs w:val="13"/>
                <w:b w:val="1"/>
                <w:bCs w:val="1"/>
                <w:color w:val="454968"/>
              </w:rPr>
              <w:t>$ Actual Award Paid</w:t>
            </w:r>
          </w:p>
        </w:tc>
        <w:tc>
          <w:tcPr>
            <w:tcW w:w="0" w:type="dxa"/>
            <w:vAlign w:val="bottom"/>
          </w:tcPr>
          <w:p>
            <w:pPr>
              <w:spacing w:after="0"/>
              <w:rPr>
                <w:sz w:val="1"/>
                <w:szCs w:val="1"/>
                <w:color w:val="auto"/>
              </w:rPr>
            </w:pPr>
          </w:p>
        </w:tc>
      </w:tr>
      <w:tr>
        <w:trPr>
          <w:trHeight w:val="143"/>
        </w:trPr>
        <w:tc>
          <w:tcPr>
            <w:tcW w:w="4900" w:type="dxa"/>
            <w:vAlign w:val="bottom"/>
            <w:tcBorders>
              <w:bottom w:val="single" w:sz="8" w:color="071D49"/>
            </w:tcBorders>
            <w:vMerge w:val="continue"/>
          </w:tcPr>
          <w:p>
            <w:pPr>
              <w:spacing w:after="0"/>
              <w:rPr>
                <w:sz w:val="12"/>
                <w:szCs w:val="12"/>
                <w:color w:val="auto"/>
              </w:rPr>
            </w:pPr>
          </w:p>
        </w:tc>
        <w:tc>
          <w:tcPr>
            <w:tcW w:w="1560" w:type="dxa"/>
            <w:vAlign w:val="bottom"/>
            <w:tcBorders>
              <w:bottom w:val="single" w:sz="8" w:color="071D49"/>
            </w:tcBorders>
          </w:tcPr>
          <w:p>
            <w:pPr>
              <w:jc w:val="right"/>
              <w:ind w:right="381"/>
              <w:spacing w:after="0" w:line="143" w:lineRule="exact"/>
              <w:rPr>
                <w:sz w:val="20"/>
                <w:szCs w:val="20"/>
                <w:color w:val="auto"/>
              </w:rPr>
            </w:pPr>
            <w:r>
              <w:rPr>
                <w:rFonts w:ascii="Arial" w:cs="Arial" w:eastAsia="Arial" w:hAnsi="Arial"/>
                <w:sz w:val="13"/>
                <w:szCs w:val="13"/>
                <w:b w:val="1"/>
                <w:bCs w:val="1"/>
                <w:color w:val="454968"/>
              </w:rPr>
              <w:t>$ Value</w:t>
            </w:r>
          </w:p>
        </w:tc>
        <w:tc>
          <w:tcPr>
            <w:tcW w:w="780" w:type="dxa"/>
            <w:vAlign w:val="bottom"/>
            <w:tcBorders>
              <w:bottom w:val="single" w:sz="8" w:color="071D49"/>
            </w:tcBorders>
          </w:tcPr>
          <w:p>
            <w:pPr>
              <w:ind w:left="20"/>
              <w:spacing w:after="0" w:line="143" w:lineRule="exact"/>
              <w:rPr>
                <w:sz w:val="20"/>
                <w:szCs w:val="20"/>
                <w:color w:val="auto"/>
              </w:rPr>
            </w:pPr>
            <w:r>
              <w:rPr>
                <w:rFonts w:ascii="Arial" w:cs="Arial" w:eastAsia="Arial" w:hAnsi="Arial"/>
                <w:sz w:val="13"/>
                <w:szCs w:val="13"/>
                <w:b w:val="1"/>
                <w:bCs w:val="1"/>
                <w:color w:val="454968"/>
              </w:rPr>
              <w:t>% of Salary</w:t>
            </w:r>
          </w:p>
        </w:tc>
        <w:tc>
          <w:tcPr>
            <w:tcW w:w="420" w:type="dxa"/>
            <w:vAlign w:val="bottom"/>
            <w:tcBorders>
              <w:bottom w:val="single" w:sz="8" w:color="071D49"/>
            </w:tcBorders>
          </w:tcPr>
          <w:p>
            <w:pPr>
              <w:spacing w:after="0"/>
              <w:rPr>
                <w:sz w:val="12"/>
                <w:szCs w:val="12"/>
                <w:color w:val="auto"/>
              </w:rPr>
            </w:pPr>
          </w:p>
        </w:tc>
        <w:tc>
          <w:tcPr>
            <w:tcW w:w="1600" w:type="dxa"/>
            <w:vAlign w:val="bottom"/>
            <w:tcBorders>
              <w:bottom w:val="single" w:sz="8" w:color="071D4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D9D9D9"/>
          </w:tcPr>
          <w:p>
            <w:pPr>
              <w:spacing w:after="0" w:line="180" w:lineRule="exact"/>
              <w:rPr>
                <w:sz w:val="20"/>
                <w:szCs w:val="20"/>
                <w:color w:val="auto"/>
              </w:rPr>
            </w:pPr>
            <w:r>
              <w:rPr>
                <w:rFonts w:ascii="Arial" w:cs="Arial" w:eastAsia="Arial" w:hAnsi="Arial"/>
                <w:sz w:val="17"/>
                <w:szCs w:val="17"/>
                <w:color w:val="auto"/>
              </w:rPr>
              <w:t>Richard A. Gonzalez</w:t>
            </w:r>
          </w:p>
        </w:tc>
        <w:tc>
          <w:tcPr>
            <w:tcW w:w="1560" w:type="dxa"/>
            <w:vAlign w:val="bottom"/>
            <w:shd w:val="clear" w:color="auto" w:fill="D9D9D9"/>
          </w:tcPr>
          <w:p>
            <w:pPr>
              <w:jc w:val="right"/>
              <w:ind w:right="381"/>
              <w:spacing w:after="0" w:line="180" w:lineRule="exact"/>
              <w:rPr>
                <w:sz w:val="20"/>
                <w:szCs w:val="20"/>
                <w:color w:val="auto"/>
              </w:rPr>
            </w:pPr>
            <w:r>
              <w:rPr>
                <w:rFonts w:ascii="Arial" w:cs="Arial" w:eastAsia="Arial" w:hAnsi="Arial"/>
                <w:sz w:val="17"/>
                <w:szCs w:val="17"/>
                <w:color w:val="auto"/>
              </w:rPr>
              <w:t>2,805,000</w:t>
            </w:r>
          </w:p>
        </w:tc>
        <w:tc>
          <w:tcPr>
            <w:tcW w:w="1200" w:type="dxa"/>
            <w:vAlign w:val="bottom"/>
            <w:gridSpan w:val="2"/>
            <w:shd w:val="clear" w:color="auto" w:fill="D9D9D9"/>
          </w:tcPr>
          <w:p>
            <w:pPr>
              <w:jc w:val="right"/>
              <w:ind w:right="280"/>
              <w:spacing w:after="0" w:line="180" w:lineRule="exact"/>
              <w:rPr>
                <w:sz w:val="20"/>
                <w:szCs w:val="20"/>
                <w:color w:val="auto"/>
              </w:rPr>
            </w:pPr>
            <w:r>
              <w:rPr>
                <w:rFonts w:ascii="Arial" w:cs="Arial" w:eastAsia="Arial" w:hAnsi="Arial"/>
                <w:sz w:val="17"/>
                <w:szCs w:val="17"/>
                <w:color w:val="auto"/>
              </w:rPr>
              <w:t>165 %</w:t>
            </w:r>
          </w:p>
        </w:tc>
        <w:tc>
          <w:tcPr>
            <w:tcW w:w="160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3,500,000</w:t>
            </w:r>
          </w:p>
        </w:tc>
        <w:tc>
          <w:tcPr>
            <w:tcW w:w="0" w:type="dxa"/>
            <w:vAlign w:val="bottom"/>
          </w:tcPr>
          <w:p>
            <w:pPr>
              <w:spacing w:after="0"/>
              <w:rPr>
                <w:sz w:val="1"/>
                <w:szCs w:val="1"/>
                <w:color w:val="auto"/>
              </w:rPr>
            </w:pPr>
          </w:p>
        </w:tc>
      </w:tr>
      <w:tr>
        <w:trPr>
          <w:trHeight w:val="188"/>
        </w:trPr>
        <w:tc>
          <w:tcPr>
            <w:tcW w:w="4900" w:type="dxa"/>
            <w:vAlign w:val="bottom"/>
          </w:tcPr>
          <w:p>
            <w:pPr>
              <w:spacing w:after="0" w:line="188" w:lineRule="exact"/>
              <w:rPr>
                <w:sz w:val="20"/>
                <w:szCs w:val="20"/>
                <w:color w:val="auto"/>
              </w:rPr>
            </w:pPr>
            <w:r>
              <w:rPr>
                <w:rFonts w:ascii="Arial" w:cs="Arial" w:eastAsia="Arial" w:hAnsi="Arial"/>
                <w:sz w:val="17"/>
                <w:szCs w:val="17"/>
                <w:color w:val="auto"/>
              </w:rPr>
              <w:t>Robert A. Michael</w:t>
            </w:r>
          </w:p>
        </w:tc>
        <w:tc>
          <w:tcPr>
            <w:tcW w:w="1560" w:type="dxa"/>
            <w:vAlign w:val="bottom"/>
          </w:tcPr>
          <w:p>
            <w:pPr>
              <w:jc w:val="right"/>
              <w:ind w:right="381"/>
              <w:spacing w:after="0" w:line="188" w:lineRule="exact"/>
              <w:rPr>
                <w:sz w:val="20"/>
                <w:szCs w:val="20"/>
                <w:color w:val="auto"/>
              </w:rPr>
            </w:pPr>
            <w:r>
              <w:rPr>
                <w:rFonts w:ascii="Arial" w:cs="Arial" w:eastAsia="Arial" w:hAnsi="Arial"/>
                <w:sz w:val="17"/>
                <w:szCs w:val="17"/>
                <w:color w:val="auto"/>
              </w:rPr>
              <w:t>2,025,000</w:t>
            </w:r>
          </w:p>
        </w:tc>
        <w:tc>
          <w:tcPr>
            <w:tcW w:w="1200" w:type="dxa"/>
            <w:vAlign w:val="bottom"/>
            <w:gridSpan w:val="2"/>
          </w:tcPr>
          <w:p>
            <w:pPr>
              <w:jc w:val="right"/>
              <w:ind w:right="280"/>
              <w:spacing w:after="0" w:line="188" w:lineRule="exact"/>
              <w:rPr>
                <w:sz w:val="20"/>
                <w:szCs w:val="20"/>
                <w:color w:val="auto"/>
              </w:rPr>
            </w:pPr>
            <w:r>
              <w:rPr>
                <w:rFonts w:ascii="Arial" w:cs="Arial" w:eastAsia="Arial" w:hAnsi="Arial"/>
                <w:sz w:val="17"/>
                <w:szCs w:val="17"/>
                <w:color w:val="auto"/>
              </w:rPr>
              <w:t>135 %</w:t>
            </w:r>
          </w:p>
        </w:tc>
        <w:tc>
          <w:tcPr>
            <w:tcW w:w="1600" w:type="dxa"/>
            <w:vAlign w:val="bottom"/>
          </w:tcPr>
          <w:p>
            <w:pPr>
              <w:jc w:val="right"/>
              <w:spacing w:after="0" w:line="188" w:lineRule="exact"/>
              <w:rPr>
                <w:sz w:val="20"/>
                <w:szCs w:val="20"/>
                <w:color w:val="auto"/>
              </w:rPr>
            </w:pPr>
            <w:r>
              <w:rPr>
                <w:rFonts w:ascii="Arial" w:cs="Arial" w:eastAsia="Arial" w:hAnsi="Arial"/>
                <w:sz w:val="17"/>
                <w:szCs w:val="17"/>
                <w:color w:val="auto"/>
              </w:rPr>
              <w:t>3,000,000</w:t>
            </w:r>
          </w:p>
        </w:tc>
        <w:tc>
          <w:tcPr>
            <w:tcW w:w="0" w:type="dxa"/>
            <w:vAlign w:val="bottom"/>
          </w:tcPr>
          <w:p>
            <w:pPr>
              <w:spacing w:after="0"/>
              <w:rPr>
                <w:sz w:val="1"/>
                <w:szCs w:val="1"/>
                <w:color w:val="auto"/>
              </w:rPr>
            </w:pPr>
          </w:p>
        </w:tc>
      </w:tr>
      <w:tr>
        <w:trPr>
          <w:trHeight w:val="188"/>
        </w:trPr>
        <w:tc>
          <w:tcPr>
            <w:tcW w:w="490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Scott T. Reents</w:t>
            </w:r>
          </w:p>
        </w:tc>
        <w:tc>
          <w:tcPr>
            <w:tcW w:w="1560" w:type="dxa"/>
            <w:vAlign w:val="bottom"/>
            <w:shd w:val="clear" w:color="auto" w:fill="D9D9D9"/>
          </w:tcPr>
          <w:p>
            <w:pPr>
              <w:jc w:val="right"/>
              <w:ind w:right="381"/>
              <w:spacing w:after="0" w:line="188" w:lineRule="exact"/>
              <w:rPr>
                <w:sz w:val="20"/>
                <w:szCs w:val="20"/>
                <w:color w:val="auto"/>
              </w:rPr>
            </w:pPr>
            <w:r>
              <w:rPr>
                <w:rFonts w:ascii="Arial" w:cs="Arial" w:eastAsia="Arial" w:hAnsi="Arial"/>
                <w:sz w:val="17"/>
                <w:szCs w:val="17"/>
                <w:color w:val="auto"/>
              </w:rPr>
              <w:t>1,100,000</w:t>
            </w:r>
          </w:p>
        </w:tc>
        <w:tc>
          <w:tcPr>
            <w:tcW w:w="1200" w:type="dxa"/>
            <w:vAlign w:val="bottom"/>
            <w:gridSpan w:val="2"/>
            <w:shd w:val="clear" w:color="auto" w:fill="D9D9D9"/>
          </w:tcPr>
          <w:p>
            <w:pPr>
              <w:jc w:val="right"/>
              <w:ind w:right="280"/>
              <w:spacing w:after="0" w:line="188" w:lineRule="exact"/>
              <w:rPr>
                <w:sz w:val="20"/>
                <w:szCs w:val="20"/>
                <w:color w:val="auto"/>
              </w:rPr>
            </w:pPr>
            <w:r>
              <w:rPr>
                <w:rFonts w:ascii="Arial" w:cs="Arial" w:eastAsia="Arial" w:hAnsi="Arial"/>
                <w:sz w:val="17"/>
                <w:szCs w:val="17"/>
                <w:color w:val="auto"/>
              </w:rPr>
              <w:t>110 %</w:t>
            </w:r>
          </w:p>
        </w:tc>
        <w:tc>
          <w:tcPr>
            <w:tcW w:w="160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1,850,000</w:t>
            </w:r>
          </w:p>
        </w:tc>
        <w:tc>
          <w:tcPr>
            <w:tcW w:w="0" w:type="dxa"/>
            <w:vAlign w:val="bottom"/>
          </w:tcPr>
          <w:p>
            <w:pPr>
              <w:spacing w:after="0"/>
              <w:rPr>
                <w:sz w:val="1"/>
                <w:szCs w:val="1"/>
                <w:color w:val="auto"/>
              </w:rPr>
            </w:pPr>
          </w:p>
        </w:tc>
      </w:tr>
      <w:tr>
        <w:trPr>
          <w:trHeight w:val="188"/>
        </w:trPr>
        <w:tc>
          <w:tcPr>
            <w:tcW w:w="4900" w:type="dxa"/>
            <w:vAlign w:val="bottom"/>
          </w:tcPr>
          <w:p>
            <w:pPr>
              <w:spacing w:after="0" w:line="188" w:lineRule="exact"/>
              <w:rPr>
                <w:sz w:val="20"/>
                <w:szCs w:val="20"/>
                <w:color w:val="auto"/>
              </w:rPr>
            </w:pPr>
            <w:r>
              <w:rPr>
                <w:rFonts w:ascii="Arial" w:cs="Arial" w:eastAsia="Arial" w:hAnsi="Arial"/>
                <w:sz w:val="17"/>
                <w:szCs w:val="17"/>
                <w:color w:val="auto"/>
              </w:rPr>
              <w:t>Jeffrey R. Stewart</w:t>
            </w:r>
          </w:p>
        </w:tc>
        <w:tc>
          <w:tcPr>
            <w:tcW w:w="1560" w:type="dxa"/>
            <w:vAlign w:val="bottom"/>
          </w:tcPr>
          <w:p>
            <w:pPr>
              <w:jc w:val="right"/>
              <w:ind w:right="381"/>
              <w:spacing w:after="0" w:line="188" w:lineRule="exact"/>
              <w:rPr>
                <w:sz w:val="20"/>
                <w:szCs w:val="20"/>
                <w:color w:val="auto"/>
              </w:rPr>
            </w:pPr>
            <w:r>
              <w:rPr>
                <w:rFonts w:ascii="Arial" w:cs="Arial" w:eastAsia="Arial" w:hAnsi="Arial"/>
                <w:sz w:val="17"/>
                <w:szCs w:val="17"/>
                <w:color w:val="auto"/>
              </w:rPr>
              <w:t>1,500,000</w:t>
            </w:r>
          </w:p>
        </w:tc>
        <w:tc>
          <w:tcPr>
            <w:tcW w:w="1200" w:type="dxa"/>
            <w:vAlign w:val="bottom"/>
            <w:gridSpan w:val="2"/>
          </w:tcPr>
          <w:p>
            <w:pPr>
              <w:jc w:val="right"/>
              <w:ind w:right="280"/>
              <w:spacing w:after="0" w:line="188" w:lineRule="exact"/>
              <w:rPr>
                <w:sz w:val="20"/>
                <w:szCs w:val="20"/>
                <w:color w:val="auto"/>
              </w:rPr>
            </w:pPr>
            <w:r>
              <w:rPr>
                <w:rFonts w:ascii="Arial" w:cs="Arial" w:eastAsia="Arial" w:hAnsi="Arial"/>
                <w:sz w:val="17"/>
                <w:szCs w:val="17"/>
                <w:color w:val="auto"/>
              </w:rPr>
              <w:t>120 %</w:t>
            </w:r>
          </w:p>
        </w:tc>
        <w:tc>
          <w:tcPr>
            <w:tcW w:w="1600" w:type="dxa"/>
            <w:vAlign w:val="bottom"/>
          </w:tcPr>
          <w:p>
            <w:pPr>
              <w:jc w:val="right"/>
              <w:spacing w:after="0" w:line="188" w:lineRule="exact"/>
              <w:rPr>
                <w:sz w:val="20"/>
                <w:szCs w:val="20"/>
                <w:color w:val="auto"/>
              </w:rPr>
            </w:pPr>
            <w:r>
              <w:rPr>
                <w:rFonts w:ascii="Arial" w:cs="Arial" w:eastAsia="Arial" w:hAnsi="Arial"/>
                <w:sz w:val="17"/>
                <w:szCs w:val="17"/>
                <w:color w:val="auto"/>
              </w:rPr>
              <w:t>2,525,000</w:t>
            </w:r>
          </w:p>
        </w:tc>
        <w:tc>
          <w:tcPr>
            <w:tcW w:w="0" w:type="dxa"/>
            <w:vAlign w:val="bottom"/>
          </w:tcPr>
          <w:p>
            <w:pPr>
              <w:spacing w:after="0"/>
              <w:rPr>
                <w:sz w:val="1"/>
                <w:szCs w:val="1"/>
                <w:color w:val="auto"/>
              </w:rPr>
            </w:pPr>
          </w:p>
        </w:tc>
      </w:tr>
      <w:tr>
        <w:trPr>
          <w:trHeight w:val="188"/>
        </w:trPr>
        <w:tc>
          <w:tcPr>
            <w:tcW w:w="490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Azita Saleki-Gerhardt</w:t>
            </w:r>
          </w:p>
        </w:tc>
        <w:tc>
          <w:tcPr>
            <w:tcW w:w="1560" w:type="dxa"/>
            <w:vAlign w:val="bottom"/>
            <w:shd w:val="clear" w:color="auto" w:fill="D9D9D9"/>
          </w:tcPr>
          <w:p>
            <w:pPr>
              <w:jc w:val="right"/>
              <w:ind w:right="381"/>
              <w:spacing w:after="0" w:line="188" w:lineRule="exact"/>
              <w:rPr>
                <w:sz w:val="20"/>
                <w:szCs w:val="20"/>
                <w:color w:val="auto"/>
              </w:rPr>
            </w:pPr>
            <w:r>
              <w:rPr>
                <w:rFonts w:ascii="Arial" w:cs="Arial" w:eastAsia="Arial" w:hAnsi="Arial"/>
                <w:sz w:val="17"/>
                <w:szCs w:val="17"/>
                <w:color w:val="auto"/>
              </w:rPr>
              <w:t>1,200,000</w:t>
            </w:r>
          </w:p>
        </w:tc>
        <w:tc>
          <w:tcPr>
            <w:tcW w:w="1200" w:type="dxa"/>
            <w:vAlign w:val="bottom"/>
            <w:gridSpan w:val="2"/>
            <w:shd w:val="clear" w:color="auto" w:fill="D9D9D9"/>
          </w:tcPr>
          <w:p>
            <w:pPr>
              <w:jc w:val="right"/>
              <w:ind w:right="280"/>
              <w:spacing w:after="0" w:line="188" w:lineRule="exact"/>
              <w:rPr>
                <w:sz w:val="20"/>
                <w:szCs w:val="20"/>
                <w:color w:val="auto"/>
              </w:rPr>
            </w:pPr>
            <w:r>
              <w:rPr>
                <w:rFonts w:ascii="Arial" w:cs="Arial" w:eastAsia="Arial" w:hAnsi="Arial"/>
                <w:sz w:val="17"/>
                <w:szCs w:val="17"/>
                <w:color w:val="auto"/>
              </w:rPr>
              <w:t>120 %</w:t>
            </w:r>
          </w:p>
        </w:tc>
        <w:tc>
          <w:tcPr>
            <w:tcW w:w="160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1,850,000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LONG-TERM INCENTIVES AND 2023 RESULTS</w:t>
      </w:r>
    </w:p>
    <w:p>
      <w:pPr>
        <w:spacing w:after="0" w:line="92" w:lineRule="exact"/>
        <w:rPr>
          <w:sz w:val="20"/>
          <w:szCs w:val="20"/>
          <w:color w:val="auto"/>
        </w:rPr>
      </w:pPr>
    </w:p>
    <w:p>
      <w:pPr>
        <w:jc w:val="both"/>
        <w:ind w:left="20" w:right="420"/>
        <w:spacing w:after="0" w:line="246" w:lineRule="auto"/>
        <w:rPr>
          <w:sz w:val="20"/>
          <w:szCs w:val="20"/>
          <w:color w:val="auto"/>
        </w:rPr>
      </w:pPr>
      <w:r>
        <w:rPr>
          <w:rFonts w:ascii="Arial" w:cs="Arial" w:eastAsia="Arial" w:hAnsi="Arial"/>
          <w:sz w:val="17"/>
          <w:szCs w:val="17"/>
          <w:color w:val="auto"/>
        </w:rPr>
        <w:t>The LTI program design aligns AbbVie’s long-term incentive compensation with key operational and financial initiatives, including sustained EPS growth and generation of superior investment returns relative to peers. In 2023, NEOs received annual grant LTI awards with the following characteristics: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Long-Term Incentive Program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40" w:type="dxa"/>
            <w:vAlign w:val="bottom"/>
            <w:tcBorders>
              <w:top w:val="single" w:sz="8" w:color="071D49"/>
              <w:bottom w:val="single" w:sz="8" w:color="071D49"/>
            </w:tcBorders>
            <w:gridSpan w:val="2"/>
          </w:tcPr>
          <w:p>
            <w:pPr>
              <w:ind w:left="120"/>
              <w:spacing w:after="0"/>
              <w:rPr>
                <w:sz w:val="20"/>
                <w:szCs w:val="20"/>
                <w:color w:val="auto"/>
              </w:rPr>
            </w:pPr>
            <w:r>
              <w:rPr>
                <w:rFonts w:ascii="Arial" w:cs="Arial" w:eastAsia="Arial" w:hAnsi="Arial"/>
                <w:sz w:val="17"/>
                <w:szCs w:val="17"/>
                <w:b w:val="1"/>
                <w:bCs w:val="1"/>
                <w:color w:val="071D49"/>
              </w:rPr>
              <w:t>Award Type</w:t>
            </w:r>
          </w:p>
        </w:tc>
        <w:tc>
          <w:tcPr>
            <w:tcW w:w="3260" w:type="dxa"/>
            <w:vAlign w:val="bottom"/>
            <w:tcBorders>
              <w:top w:val="single" w:sz="8" w:color="071D49"/>
              <w:bottom w:val="single" w:sz="8" w:color="071D49"/>
            </w:tcBorders>
          </w:tcPr>
          <w:p>
            <w:pPr>
              <w:jc w:val="center"/>
              <w:ind w:left="117"/>
              <w:spacing w:after="0"/>
              <w:rPr>
                <w:sz w:val="20"/>
                <w:szCs w:val="20"/>
                <w:color w:val="auto"/>
              </w:rPr>
            </w:pPr>
            <w:r>
              <w:rPr>
                <w:rFonts w:ascii="Arial" w:cs="Arial" w:eastAsia="Arial" w:hAnsi="Arial"/>
                <w:sz w:val="17"/>
                <w:szCs w:val="17"/>
                <w:b w:val="1"/>
                <w:bCs w:val="1"/>
                <w:color w:val="071D49"/>
                <w:w w:val="99"/>
              </w:rPr>
              <w:t>Metric</w:t>
            </w:r>
          </w:p>
        </w:tc>
        <w:tc>
          <w:tcPr>
            <w:tcW w:w="1860" w:type="dxa"/>
            <w:vAlign w:val="bottom"/>
            <w:tcBorders>
              <w:top w:val="single" w:sz="8" w:color="071D49"/>
              <w:bottom w:val="single" w:sz="8" w:color="071D49"/>
            </w:tcBorders>
          </w:tcPr>
          <w:p>
            <w:pPr>
              <w:jc w:val="center"/>
              <w:ind w:left="37"/>
              <w:spacing w:after="0"/>
              <w:rPr>
                <w:sz w:val="20"/>
                <w:szCs w:val="20"/>
                <w:color w:val="auto"/>
              </w:rPr>
            </w:pPr>
            <w:r>
              <w:rPr>
                <w:rFonts w:ascii="Arial" w:cs="Arial" w:eastAsia="Arial" w:hAnsi="Arial"/>
                <w:sz w:val="17"/>
                <w:szCs w:val="17"/>
                <w:b w:val="1"/>
                <w:bCs w:val="1"/>
                <w:color w:val="071D49"/>
                <w:w w:val="97"/>
              </w:rPr>
              <w:t>Performance Period</w:t>
            </w:r>
          </w:p>
        </w:tc>
      </w:tr>
      <w:tr>
        <w:trPr>
          <w:trHeight w:val="193"/>
        </w:trPr>
        <w:tc>
          <w:tcPr>
            <w:tcW w:w="460" w:type="dxa"/>
            <w:vAlign w:val="bottom"/>
            <w:shd w:val="clear" w:color="auto" w:fill="D9D9D9"/>
          </w:tcPr>
          <w:p>
            <w:pPr>
              <w:ind w:left="120"/>
              <w:spacing w:after="0" w:line="193" w:lineRule="exact"/>
              <w:rPr>
                <w:sz w:val="20"/>
                <w:szCs w:val="20"/>
                <w:color w:val="auto"/>
              </w:rPr>
            </w:pPr>
            <w:r>
              <w:rPr>
                <w:rFonts w:ascii="Arial" w:cs="Arial" w:eastAsia="Arial" w:hAnsi="Arial"/>
                <w:sz w:val="17"/>
                <w:szCs w:val="17"/>
                <w:color w:val="auto"/>
                <w:w w:val="93"/>
              </w:rPr>
              <w:t>40%</w:t>
            </w:r>
          </w:p>
        </w:tc>
        <w:tc>
          <w:tcPr>
            <w:tcW w:w="3680" w:type="dxa"/>
            <w:vAlign w:val="bottom"/>
            <w:shd w:val="clear" w:color="auto" w:fill="D9D9D9"/>
          </w:tcPr>
          <w:p>
            <w:pPr>
              <w:ind w:left="40"/>
              <w:spacing w:after="0" w:line="193" w:lineRule="exact"/>
              <w:rPr>
                <w:sz w:val="20"/>
                <w:szCs w:val="20"/>
                <w:color w:val="auto"/>
              </w:rPr>
            </w:pPr>
            <w:r>
              <w:rPr>
                <w:rFonts w:ascii="Arial" w:cs="Arial" w:eastAsia="Arial" w:hAnsi="Arial"/>
                <w:sz w:val="17"/>
                <w:szCs w:val="17"/>
                <w:color w:val="auto"/>
              </w:rPr>
              <w:t>Performance Shares</w:t>
            </w:r>
          </w:p>
        </w:tc>
        <w:tc>
          <w:tcPr>
            <w:tcW w:w="3260" w:type="dxa"/>
            <w:vAlign w:val="bottom"/>
            <w:shd w:val="clear" w:color="auto" w:fill="D9D9D9"/>
          </w:tcPr>
          <w:p>
            <w:pPr>
              <w:jc w:val="center"/>
              <w:ind w:left="117"/>
              <w:spacing w:after="0" w:line="193" w:lineRule="exact"/>
              <w:rPr>
                <w:sz w:val="20"/>
                <w:szCs w:val="20"/>
                <w:color w:val="auto"/>
              </w:rPr>
            </w:pPr>
            <w:r>
              <w:rPr>
                <w:rFonts w:ascii="Arial" w:cs="Arial" w:eastAsia="Arial" w:hAnsi="Arial"/>
                <w:sz w:val="17"/>
                <w:szCs w:val="17"/>
                <w:color w:val="auto"/>
                <w:w w:val="97"/>
              </w:rPr>
              <w:t>EPS 3</w:t>
            </w:r>
            <w:r>
              <w:rPr>
                <w:rFonts w:ascii="MS PGothic" w:cs="MS PGothic" w:eastAsia="MS PGothic" w:hAnsi="MS PGothic"/>
                <w:sz w:val="17"/>
                <w:szCs w:val="17"/>
                <w:color w:val="auto"/>
                <w:w w:val="97"/>
              </w:rPr>
              <w:t>‑</w:t>
            </w:r>
            <w:r>
              <w:rPr>
                <w:rFonts w:ascii="Arial" w:cs="Arial" w:eastAsia="Arial" w:hAnsi="Arial"/>
                <w:sz w:val="17"/>
                <w:szCs w:val="17"/>
                <w:color w:val="auto"/>
                <w:w w:val="97"/>
              </w:rPr>
              <w:t>Year Relative TSR Modifier</w:t>
            </w:r>
          </w:p>
        </w:tc>
        <w:tc>
          <w:tcPr>
            <w:tcW w:w="1860" w:type="dxa"/>
            <w:vAlign w:val="bottom"/>
            <w:shd w:val="clear" w:color="auto" w:fill="D9D9D9"/>
          </w:tcPr>
          <w:p>
            <w:pPr>
              <w:jc w:val="center"/>
              <w:ind w:left="57"/>
              <w:spacing w:after="0" w:line="193" w:lineRule="exact"/>
              <w:rPr>
                <w:sz w:val="20"/>
                <w:szCs w:val="20"/>
                <w:color w:val="auto"/>
              </w:rPr>
            </w:pPr>
            <w:r>
              <w:rPr>
                <w:rFonts w:ascii="Arial" w:cs="Arial" w:eastAsia="Arial" w:hAnsi="Arial"/>
                <w:sz w:val="17"/>
                <w:szCs w:val="17"/>
                <w:color w:val="auto"/>
                <w:w w:val="95"/>
              </w:rPr>
              <w:t>3 Years</w:t>
            </w:r>
          </w:p>
        </w:tc>
      </w:tr>
      <w:tr>
        <w:trPr>
          <w:trHeight w:val="200"/>
        </w:trPr>
        <w:tc>
          <w:tcPr>
            <w:tcW w:w="460" w:type="dxa"/>
            <w:vAlign w:val="bottom"/>
          </w:tcPr>
          <w:p>
            <w:pPr>
              <w:ind w:left="120"/>
              <w:spacing w:after="0"/>
              <w:rPr>
                <w:sz w:val="20"/>
                <w:szCs w:val="20"/>
                <w:color w:val="auto"/>
              </w:rPr>
            </w:pPr>
            <w:r>
              <w:rPr>
                <w:rFonts w:ascii="Arial" w:cs="Arial" w:eastAsia="Arial" w:hAnsi="Arial"/>
                <w:sz w:val="17"/>
                <w:szCs w:val="17"/>
                <w:color w:val="auto"/>
                <w:w w:val="93"/>
              </w:rPr>
              <w:t>40%</w:t>
            </w:r>
          </w:p>
        </w:tc>
        <w:tc>
          <w:tcPr>
            <w:tcW w:w="3680" w:type="dxa"/>
            <w:vAlign w:val="bottom"/>
          </w:tcPr>
          <w:p>
            <w:pPr>
              <w:ind w:left="40"/>
              <w:spacing w:after="0" w:line="196" w:lineRule="exact"/>
              <w:rPr>
                <w:sz w:val="20"/>
                <w:szCs w:val="20"/>
                <w:color w:val="auto"/>
              </w:rPr>
            </w:pPr>
            <w:r>
              <w:rPr>
                <w:rFonts w:ascii="Arial" w:cs="Arial" w:eastAsia="Arial" w:hAnsi="Arial"/>
                <w:sz w:val="17"/>
                <w:szCs w:val="17"/>
                <w:color w:val="auto"/>
              </w:rPr>
              <w:t>Performance</w:t>
            </w:r>
            <w:r>
              <w:rPr>
                <w:rFonts w:ascii="MS PGothic" w:cs="MS PGothic" w:eastAsia="MS PGothic" w:hAnsi="MS PGothic"/>
                <w:sz w:val="17"/>
                <w:szCs w:val="17"/>
                <w:color w:val="auto"/>
              </w:rPr>
              <w:t>‑</w:t>
            </w:r>
            <w:r>
              <w:rPr>
                <w:rFonts w:ascii="Arial" w:cs="Arial" w:eastAsia="Arial" w:hAnsi="Arial"/>
                <w:sz w:val="17"/>
                <w:szCs w:val="17"/>
                <w:color w:val="auto"/>
              </w:rPr>
              <w:t>Vested Restricted Stock Units</w:t>
            </w:r>
          </w:p>
        </w:tc>
        <w:tc>
          <w:tcPr>
            <w:tcW w:w="3260" w:type="dxa"/>
            <w:vAlign w:val="bottom"/>
          </w:tcPr>
          <w:p>
            <w:pPr>
              <w:jc w:val="center"/>
              <w:ind w:left="117"/>
              <w:spacing w:after="0"/>
              <w:rPr>
                <w:sz w:val="20"/>
                <w:szCs w:val="20"/>
                <w:color w:val="auto"/>
              </w:rPr>
            </w:pPr>
            <w:r>
              <w:rPr>
                <w:rFonts w:ascii="Arial" w:cs="Arial" w:eastAsia="Arial" w:hAnsi="Arial"/>
                <w:sz w:val="17"/>
                <w:szCs w:val="17"/>
                <w:color w:val="auto"/>
                <w:w w:val="97"/>
              </w:rPr>
              <w:t>Relative Return on Invested Capital</w:t>
            </w:r>
          </w:p>
        </w:tc>
        <w:tc>
          <w:tcPr>
            <w:tcW w:w="1860" w:type="dxa"/>
            <w:vAlign w:val="bottom"/>
          </w:tcPr>
          <w:p>
            <w:pPr>
              <w:jc w:val="center"/>
              <w:ind w:left="57"/>
              <w:spacing w:after="0"/>
              <w:rPr>
                <w:sz w:val="20"/>
                <w:szCs w:val="20"/>
                <w:color w:val="auto"/>
              </w:rPr>
            </w:pPr>
            <w:r>
              <w:rPr>
                <w:rFonts w:ascii="Arial" w:cs="Arial" w:eastAsia="Arial" w:hAnsi="Arial"/>
                <w:sz w:val="17"/>
                <w:szCs w:val="17"/>
                <w:color w:val="auto"/>
                <w:w w:val="95"/>
              </w:rPr>
              <w:t>3 Years</w:t>
            </w:r>
          </w:p>
        </w:tc>
      </w:tr>
      <w:tr>
        <w:trPr>
          <w:trHeight w:val="200"/>
        </w:trPr>
        <w:tc>
          <w:tcPr>
            <w:tcW w:w="460" w:type="dxa"/>
            <w:vAlign w:val="bottom"/>
            <w:tcBorders>
              <w:bottom w:val="single" w:sz="8" w:color="071D49"/>
            </w:tcBorders>
            <w:shd w:val="clear" w:color="auto" w:fill="D9D9D9"/>
          </w:tcPr>
          <w:p>
            <w:pPr>
              <w:ind w:left="120"/>
              <w:spacing w:after="0"/>
              <w:rPr>
                <w:sz w:val="20"/>
                <w:szCs w:val="20"/>
                <w:color w:val="auto"/>
              </w:rPr>
            </w:pPr>
            <w:r>
              <w:rPr>
                <w:rFonts w:ascii="Arial" w:cs="Arial" w:eastAsia="Arial" w:hAnsi="Arial"/>
                <w:sz w:val="17"/>
                <w:szCs w:val="17"/>
                <w:color w:val="auto"/>
                <w:w w:val="93"/>
              </w:rPr>
              <w:t>20%</w:t>
            </w:r>
          </w:p>
        </w:tc>
        <w:tc>
          <w:tcPr>
            <w:tcW w:w="3680" w:type="dxa"/>
            <w:vAlign w:val="bottom"/>
            <w:tcBorders>
              <w:bottom w:val="single" w:sz="8" w:color="071D49"/>
            </w:tcBorders>
            <w:shd w:val="clear" w:color="auto" w:fill="D9D9D9"/>
          </w:tcPr>
          <w:p>
            <w:pPr>
              <w:ind w:left="40"/>
              <w:spacing w:after="0" w:line="196" w:lineRule="exact"/>
              <w:rPr>
                <w:sz w:val="20"/>
                <w:szCs w:val="20"/>
                <w:color w:val="auto"/>
              </w:rPr>
            </w:pPr>
            <w:r>
              <w:rPr>
                <w:rFonts w:ascii="Arial" w:cs="Arial" w:eastAsia="Arial" w:hAnsi="Arial"/>
                <w:sz w:val="17"/>
                <w:szCs w:val="17"/>
                <w:color w:val="auto"/>
              </w:rPr>
              <w:t>Non</w:t>
            </w:r>
            <w:r>
              <w:rPr>
                <w:rFonts w:ascii="MS PGothic" w:cs="MS PGothic" w:eastAsia="MS PGothic" w:hAnsi="MS PGothic"/>
                <w:sz w:val="17"/>
                <w:szCs w:val="17"/>
                <w:color w:val="auto"/>
              </w:rPr>
              <w:t>‑</w:t>
            </w:r>
            <w:r>
              <w:rPr>
                <w:rFonts w:ascii="Arial" w:cs="Arial" w:eastAsia="Arial" w:hAnsi="Arial"/>
                <w:sz w:val="17"/>
                <w:szCs w:val="17"/>
                <w:color w:val="auto"/>
              </w:rPr>
              <w:t>Qualified Stock Options</w:t>
            </w:r>
          </w:p>
        </w:tc>
        <w:tc>
          <w:tcPr>
            <w:tcW w:w="3260" w:type="dxa"/>
            <w:vAlign w:val="bottom"/>
            <w:tcBorders>
              <w:bottom w:val="single" w:sz="8" w:color="071D49"/>
            </w:tcBorders>
            <w:shd w:val="clear" w:color="auto" w:fill="D9D9D9"/>
          </w:tcPr>
          <w:p>
            <w:pPr>
              <w:jc w:val="center"/>
              <w:ind w:left="117"/>
              <w:spacing w:after="0"/>
              <w:rPr>
                <w:sz w:val="20"/>
                <w:szCs w:val="20"/>
                <w:color w:val="auto"/>
              </w:rPr>
            </w:pPr>
            <w:r>
              <w:rPr>
                <w:rFonts w:ascii="Arial" w:cs="Arial" w:eastAsia="Arial" w:hAnsi="Arial"/>
                <w:sz w:val="17"/>
                <w:szCs w:val="17"/>
                <w:color w:val="auto"/>
                <w:w w:val="98"/>
              </w:rPr>
              <w:t>Stock Price Appreciation</w:t>
            </w:r>
          </w:p>
        </w:tc>
        <w:tc>
          <w:tcPr>
            <w:tcW w:w="1860" w:type="dxa"/>
            <w:vAlign w:val="bottom"/>
            <w:tcBorders>
              <w:bottom w:val="single" w:sz="8" w:color="071D49"/>
            </w:tcBorders>
            <w:shd w:val="clear" w:color="auto" w:fill="D9D9D9"/>
          </w:tcPr>
          <w:p>
            <w:pPr>
              <w:jc w:val="center"/>
              <w:ind w:left="57"/>
              <w:spacing w:after="0" w:line="196" w:lineRule="exact"/>
              <w:rPr>
                <w:sz w:val="20"/>
                <w:szCs w:val="20"/>
                <w:color w:val="auto"/>
              </w:rPr>
            </w:pPr>
            <w:r>
              <w:rPr>
                <w:rFonts w:ascii="Arial" w:cs="Arial" w:eastAsia="Arial" w:hAnsi="Arial"/>
                <w:sz w:val="17"/>
                <w:szCs w:val="17"/>
                <w:color w:val="auto"/>
              </w:rPr>
              <w:t>10</w:t>
            </w:r>
            <w:r>
              <w:rPr>
                <w:rFonts w:ascii="MS PGothic" w:cs="MS PGothic" w:eastAsia="MS PGothic" w:hAnsi="MS PGothic"/>
                <w:sz w:val="17"/>
                <w:szCs w:val="17"/>
                <w:color w:val="auto"/>
              </w:rPr>
              <w:t>‑</w:t>
            </w:r>
            <w:r>
              <w:rPr>
                <w:rFonts w:ascii="Arial" w:cs="Arial" w:eastAsia="Arial" w:hAnsi="Arial"/>
                <w:sz w:val="17"/>
                <w:szCs w:val="17"/>
                <w:color w:val="auto"/>
              </w:rPr>
              <w:t>year term</w:t>
            </w:r>
          </w:p>
        </w:tc>
      </w:tr>
    </w:tbl>
    <w:p>
      <w:pPr>
        <w:spacing w:after="0" w:line="183" w:lineRule="exact"/>
        <w:rPr>
          <w:sz w:val="20"/>
          <w:szCs w:val="20"/>
          <w:color w:val="auto"/>
        </w:rPr>
      </w:pPr>
    </w:p>
    <w:p>
      <w:pPr>
        <w:ind w:left="320" w:right="20" w:hanging="308"/>
        <w:spacing w:after="0" w:line="237" w:lineRule="auto"/>
        <w:tabs>
          <w:tab w:leader="none" w:pos="320" w:val="left"/>
        </w:tabs>
        <w:numPr>
          <w:ilvl w:val="0"/>
          <w:numId w:val="73"/>
        </w:numPr>
        <w:rPr>
          <w:rFonts w:ascii="Times New Roman" w:cs="Times New Roman" w:eastAsia="Times New Roman" w:hAnsi="Times New Roman"/>
          <w:sz w:val="17"/>
          <w:szCs w:val="17"/>
          <w:color w:val="071D49"/>
        </w:rPr>
      </w:pPr>
      <w:r>
        <w:rPr>
          <w:rFonts w:ascii="Arial" w:cs="Arial" w:eastAsia="Arial" w:hAnsi="Arial"/>
          <w:sz w:val="17"/>
          <w:szCs w:val="17"/>
          <w:b w:val="1"/>
          <w:bCs w:val="1"/>
          <w:color w:val="auto"/>
        </w:rPr>
        <w:t>Performance Shares (40% of total LTI award)</w:t>
      </w:r>
      <w:r>
        <w:rPr>
          <w:rFonts w:ascii="Arial" w:cs="Arial" w:eastAsia="Arial" w:hAnsi="Arial"/>
          <w:sz w:val="17"/>
          <w:szCs w:val="17"/>
          <w:color w:val="auto"/>
        </w:rPr>
        <w:t>—These awards have the potential to vest at 0% to 250% of target after a</w:t>
      </w:r>
      <w:r>
        <w:rPr>
          <w:rFonts w:ascii="Arial" w:cs="Arial" w:eastAsia="Arial" w:hAnsi="Arial"/>
          <w:sz w:val="17"/>
          <w:szCs w:val="17"/>
          <w:b w:val="1"/>
          <w:bCs w:val="1"/>
          <w:color w:val="auto"/>
        </w:rPr>
        <w:t xml:space="preserve"> </w:t>
      </w:r>
      <w:r>
        <w:rPr>
          <w:rFonts w:ascii="Arial" w:cs="Arial" w:eastAsia="Arial" w:hAnsi="Arial"/>
          <w:sz w:val="17"/>
          <w:szCs w:val="17"/>
          <w:color w:val="auto"/>
        </w:rPr>
        <w:t>three-year 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67" w:lineRule="exact"/>
        <w:rPr>
          <w:rFonts w:ascii="Times New Roman" w:cs="Times New Roman" w:eastAsia="Times New Roman" w:hAnsi="Times New Roman"/>
          <w:sz w:val="17"/>
          <w:szCs w:val="17"/>
          <w:color w:val="071D49"/>
        </w:rPr>
      </w:pPr>
    </w:p>
    <w:p>
      <w:pPr>
        <w:ind w:left="1240" w:right="20" w:hanging="302"/>
        <w:spacing w:after="0" w:line="237" w:lineRule="auto"/>
        <w:tabs>
          <w:tab w:leader="none" w:pos="1240" w:val="left"/>
        </w:tabs>
        <w:numPr>
          <w:ilvl w:val="1"/>
          <w:numId w:val="73"/>
        </w:numPr>
        <w:rPr>
          <w:rFonts w:ascii="Times New Roman" w:cs="Times New Roman" w:eastAsia="Times New Roman" w:hAnsi="Times New Roman"/>
          <w:sz w:val="17"/>
          <w:szCs w:val="17"/>
          <w:color w:val="071D49"/>
        </w:rPr>
      </w:pPr>
      <w:r>
        <w:rPr>
          <w:rFonts w:ascii="Arial" w:cs="Arial" w:eastAsia="Arial" w:hAnsi="Arial"/>
          <w:sz w:val="17"/>
          <w:szCs w:val="17"/>
          <w:color w:val="auto"/>
        </w:rPr>
        <w:t>As a result of the committee’s assessment of program changes in light of U.S. Humira LOE, the payout curve associated with EPS, which was anticipated to be impacted by U.S. Humira LOE, was reset so that achievement of target performance results in a reward adjustment of 90% of target (instead of 100%) and the achievement of maximum performance results in a reward adjustment of 150% of target (instead of 200%). This change also had the effect of reducing the overall reward leverage associated with performance shares subject to the 2023-2025 performance cycle from 250% of target to 187.5% of target.</w:t>
      </w:r>
    </w:p>
    <w:p>
      <w:pPr>
        <w:spacing w:after="0" w:line="167" w:lineRule="exact"/>
        <w:rPr>
          <w:rFonts w:ascii="Times New Roman" w:cs="Times New Roman" w:eastAsia="Times New Roman" w:hAnsi="Times New Roman"/>
          <w:sz w:val="17"/>
          <w:szCs w:val="17"/>
          <w:color w:val="071D49"/>
        </w:rPr>
      </w:pPr>
    </w:p>
    <w:p>
      <w:pPr>
        <w:ind w:left="320" w:right="40" w:hanging="308"/>
        <w:spacing w:after="0" w:line="256" w:lineRule="auto"/>
        <w:tabs>
          <w:tab w:leader="none" w:pos="320" w:val="left"/>
        </w:tabs>
        <w:numPr>
          <w:ilvl w:val="0"/>
          <w:numId w:val="73"/>
        </w:numPr>
        <w:rPr>
          <w:rFonts w:ascii="Times New Roman" w:cs="Times New Roman" w:eastAsia="Times New Roman" w:hAnsi="Times New Roman"/>
          <w:sz w:val="16"/>
          <w:szCs w:val="16"/>
          <w:color w:val="071D49"/>
        </w:rPr>
      </w:pPr>
      <w:r>
        <w:rPr>
          <w:rFonts w:ascii="Arial" w:cs="Arial" w:eastAsia="Arial" w:hAnsi="Arial"/>
          <w:sz w:val="16"/>
          <w:szCs w:val="16"/>
          <w:b w:val="1"/>
          <w:bCs w:val="1"/>
          <w:color w:val="auto"/>
        </w:rPr>
        <w:t>Performance-Vested Restricted Stock Units (40% of total LTI award)</w:t>
      </w:r>
      <w:r>
        <w:rPr>
          <w:rFonts w:ascii="Arial" w:cs="Arial" w:eastAsia="Arial" w:hAnsi="Arial"/>
          <w:sz w:val="16"/>
          <w:szCs w:val="16"/>
          <w:color w:val="auto"/>
        </w:rPr>
        <w:t>—These awards have the potential to vest at 0%</w:t>
      </w:r>
      <w:r>
        <w:rPr>
          <w:rFonts w:ascii="Arial" w:cs="Arial" w:eastAsia="Arial" w:hAnsi="Arial"/>
          <w:sz w:val="16"/>
          <w:szCs w:val="16"/>
          <w:b w:val="1"/>
          <w:bCs w:val="1"/>
          <w:color w:val="auto"/>
        </w:rPr>
        <w:t xml:space="preserve"> </w:t>
      </w:r>
      <w:r>
        <w:rPr>
          <w:rFonts w:ascii="Arial" w:cs="Arial" w:eastAsia="Arial" w:hAnsi="Arial"/>
          <w:sz w:val="16"/>
          <w:szCs w:val="16"/>
          <w:color w:val="auto"/>
        </w:rPr>
        <w:t>to 200% of target in one-third increments during a three-year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56" w:lineRule="exact"/>
        <w:rPr>
          <w:rFonts w:ascii="Times New Roman" w:cs="Times New Roman" w:eastAsia="Times New Roman" w:hAnsi="Times New Roman"/>
          <w:sz w:val="16"/>
          <w:szCs w:val="16"/>
          <w:color w:val="071D49"/>
        </w:rPr>
      </w:pPr>
    </w:p>
    <w:p>
      <w:pPr>
        <w:ind w:left="320" w:right="220" w:hanging="308"/>
        <w:spacing w:after="0"/>
        <w:tabs>
          <w:tab w:leader="none" w:pos="320" w:val="left"/>
        </w:tabs>
        <w:numPr>
          <w:ilvl w:val="0"/>
          <w:numId w:val="73"/>
        </w:numPr>
        <w:rPr>
          <w:rFonts w:ascii="Times New Roman" w:cs="Times New Roman" w:eastAsia="Times New Roman" w:hAnsi="Times New Roman"/>
          <w:sz w:val="17"/>
          <w:szCs w:val="17"/>
          <w:color w:val="071D49"/>
        </w:rPr>
      </w:pPr>
      <w:r>
        <w:rPr>
          <w:rFonts w:ascii="Arial" w:cs="Arial" w:eastAsia="Arial" w:hAnsi="Arial"/>
          <w:sz w:val="17"/>
          <w:szCs w:val="17"/>
          <w:b w:val="1"/>
          <w:bCs w:val="1"/>
          <w:color w:val="auto"/>
        </w:rPr>
        <w:t>Non-Qualified Stock Options (20% of total LTI award)</w:t>
      </w:r>
      <w:r>
        <w:rPr>
          <w:rFonts w:ascii="Arial" w:cs="Arial" w:eastAsia="Arial" w:hAnsi="Arial"/>
          <w:sz w:val="17"/>
          <w:szCs w:val="17"/>
          <w:color w:val="auto"/>
        </w:rPr>
        <w:t>—These awards have the potential to vest in one-third</w:t>
      </w:r>
      <w:r>
        <w:rPr>
          <w:rFonts w:ascii="Arial" w:cs="Arial" w:eastAsia="Arial" w:hAnsi="Arial"/>
          <w:sz w:val="17"/>
          <w:szCs w:val="17"/>
          <w:b w:val="1"/>
          <w:bCs w:val="1"/>
          <w:color w:val="auto"/>
        </w:rPr>
        <w:t xml:space="preserve"> </w:t>
      </w:r>
      <w:r>
        <w:rPr>
          <w:rFonts w:ascii="Arial" w:cs="Arial" w:eastAsia="Arial" w:hAnsi="Arial"/>
          <w:sz w:val="17"/>
          <w:szCs w:val="17"/>
          <w:color w:val="auto"/>
        </w:rPr>
        <w:t>increments on each of the first three annual anniversaries of the grant date, subject to continued employment with the company. The option exercise price is set at or above fair market value on the grant date. To the extent that the options vest, the award expires ten years after the grant date.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50" w:name="page51"/>
    <w:bookmarkEnd w:id="5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Performance Share and Performance-Vested Restricted Stock Unit Performance Targets and Results</w:t>
      </w:r>
    </w:p>
    <w:p>
      <w:pPr>
        <w:spacing w:after="0" w:line="92" w:lineRule="exact"/>
        <w:rPr>
          <w:sz w:val="20"/>
          <w:szCs w:val="20"/>
          <w:color w:val="auto"/>
        </w:rPr>
      </w:pPr>
    </w:p>
    <w:p>
      <w:pPr>
        <w:jc w:val="both"/>
        <w:ind w:left="20" w:right="280"/>
        <w:spacing w:after="0" w:line="246" w:lineRule="auto"/>
        <w:rPr>
          <w:sz w:val="20"/>
          <w:szCs w:val="20"/>
          <w:color w:val="auto"/>
        </w:rPr>
      </w:pPr>
      <w:r>
        <w:rPr>
          <w:rFonts w:ascii="Arial" w:cs="Arial" w:eastAsia="Arial" w:hAnsi="Arial"/>
          <w:sz w:val="17"/>
          <w:szCs w:val="17"/>
          <w:color w:val="auto"/>
        </w:rPr>
        <w:t>Performance targets and results associated with the 2023 annual grant awards of performance shares and performance-vested restricted stock units are shown below. Relative TSR results are in progress; these results and their impact on final payout will be disclosed following the completion of the three-year performance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20" w:type="dxa"/>
            <w:vAlign w:val="bottom"/>
            <w:tcBorders>
              <w:top w:val="single" w:sz="8" w:color="071D49"/>
            </w:tcBorders>
          </w:tcPr>
          <w:p>
            <w:pPr>
              <w:ind w:left="120"/>
              <w:spacing w:after="0"/>
              <w:rPr>
                <w:sz w:val="20"/>
                <w:szCs w:val="20"/>
                <w:color w:val="auto"/>
              </w:rPr>
            </w:pPr>
            <w:r>
              <w:rPr>
                <w:rFonts w:ascii="Arial" w:cs="Arial" w:eastAsia="Arial" w:hAnsi="Arial"/>
                <w:sz w:val="13"/>
                <w:szCs w:val="13"/>
                <w:b w:val="1"/>
                <w:bCs w:val="1"/>
                <w:color w:val="071D49"/>
              </w:rPr>
              <w:t>Performance Objective and</w:t>
            </w:r>
          </w:p>
        </w:tc>
        <w:tc>
          <w:tcPr>
            <w:tcW w:w="1400" w:type="dxa"/>
            <w:vAlign w:val="bottom"/>
            <w:tcBorders>
              <w:top w:val="single" w:sz="8" w:color="071D49"/>
            </w:tcBorders>
          </w:tcPr>
          <w:p>
            <w:pPr>
              <w:spacing w:after="0"/>
              <w:rPr>
                <w:sz w:val="13"/>
                <w:szCs w:val="13"/>
                <w:color w:val="auto"/>
              </w:rPr>
            </w:pPr>
          </w:p>
        </w:tc>
        <w:tc>
          <w:tcPr>
            <w:tcW w:w="1520" w:type="dxa"/>
            <w:vAlign w:val="bottom"/>
            <w:tcBorders>
              <w:top w:val="single" w:sz="8" w:color="071D49"/>
            </w:tcBorders>
          </w:tcPr>
          <w:p>
            <w:pPr>
              <w:spacing w:after="0"/>
              <w:rPr>
                <w:sz w:val="13"/>
                <w:szCs w:val="13"/>
                <w:color w:val="auto"/>
              </w:rPr>
            </w:pPr>
          </w:p>
        </w:tc>
        <w:tc>
          <w:tcPr>
            <w:tcW w:w="1380" w:type="dxa"/>
            <w:vAlign w:val="bottom"/>
            <w:tcBorders>
              <w:top w:val="single" w:sz="8" w:color="071D49"/>
            </w:tcBorders>
          </w:tcPr>
          <w:p>
            <w:pPr>
              <w:spacing w:after="0"/>
              <w:rPr>
                <w:sz w:val="13"/>
                <w:szCs w:val="13"/>
                <w:color w:val="auto"/>
              </w:rPr>
            </w:pPr>
          </w:p>
        </w:tc>
        <w:tc>
          <w:tcPr>
            <w:tcW w:w="1240" w:type="dxa"/>
            <w:vAlign w:val="bottom"/>
            <w:tcBorders>
              <w:top w:val="single" w:sz="8" w:color="071D49"/>
            </w:tcBorders>
          </w:tcPr>
          <w:p>
            <w:pPr>
              <w:spacing w:after="0"/>
              <w:rPr>
                <w:sz w:val="13"/>
                <w:szCs w:val="13"/>
                <w:color w:val="auto"/>
              </w:rPr>
            </w:pPr>
          </w:p>
        </w:tc>
        <w:tc>
          <w:tcPr>
            <w:tcW w:w="1400" w:type="dxa"/>
            <w:vAlign w:val="bottom"/>
            <w:tcBorders>
              <w:top w:val="single" w:sz="8" w:color="071D49"/>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20" w:type="dxa"/>
            <w:vAlign w:val="bottom"/>
            <w:tcBorders>
              <w:bottom w:val="single" w:sz="8" w:color="071D49"/>
            </w:tcBorders>
          </w:tcPr>
          <w:p>
            <w:pPr>
              <w:ind w:left="120"/>
              <w:spacing w:after="0"/>
              <w:rPr>
                <w:sz w:val="20"/>
                <w:szCs w:val="20"/>
                <w:color w:val="auto"/>
              </w:rPr>
            </w:pPr>
            <w:r>
              <w:rPr>
                <w:rFonts w:ascii="Arial" w:cs="Arial" w:eastAsia="Arial" w:hAnsi="Arial"/>
                <w:sz w:val="13"/>
                <w:szCs w:val="13"/>
                <w:b w:val="1"/>
                <w:bCs w:val="1"/>
                <w:color w:val="071D49"/>
              </w:rPr>
              <w:t>Impact on Payout</w:t>
            </w:r>
          </w:p>
        </w:tc>
        <w:tc>
          <w:tcPr>
            <w:tcW w:w="1400" w:type="dxa"/>
            <w:vAlign w:val="bottom"/>
            <w:tcBorders>
              <w:bottom w:val="single" w:sz="8" w:color="071D49"/>
            </w:tcBorders>
          </w:tcPr>
          <w:p>
            <w:pPr>
              <w:jc w:val="center"/>
              <w:ind w:right="83"/>
              <w:spacing w:after="0"/>
              <w:rPr>
                <w:sz w:val="20"/>
                <w:szCs w:val="20"/>
                <w:color w:val="auto"/>
              </w:rPr>
            </w:pPr>
            <w:r>
              <w:rPr>
                <w:rFonts w:ascii="Arial" w:cs="Arial" w:eastAsia="Arial" w:hAnsi="Arial"/>
                <w:sz w:val="13"/>
                <w:szCs w:val="13"/>
                <w:b w:val="1"/>
                <w:bCs w:val="1"/>
                <w:color w:val="071D49"/>
              </w:rPr>
              <w:t>Threshold</w:t>
            </w:r>
          </w:p>
        </w:tc>
        <w:tc>
          <w:tcPr>
            <w:tcW w:w="1520" w:type="dxa"/>
            <w:vAlign w:val="bottom"/>
            <w:tcBorders>
              <w:bottom w:val="single" w:sz="8" w:color="071D49"/>
            </w:tcBorders>
          </w:tcPr>
          <w:p>
            <w:pPr>
              <w:jc w:val="center"/>
              <w:ind w:left="4"/>
              <w:spacing w:after="0"/>
              <w:rPr>
                <w:sz w:val="20"/>
                <w:szCs w:val="20"/>
                <w:color w:val="auto"/>
              </w:rPr>
            </w:pPr>
            <w:r>
              <w:rPr>
                <w:rFonts w:ascii="Arial" w:cs="Arial" w:eastAsia="Arial" w:hAnsi="Arial"/>
                <w:sz w:val="13"/>
                <w:szCs w:val="13"/>
                <w:b w:val="1"/>
                <w:bCs w:val="1"/>
                <w:color w:val="071D49"/>
              </w:rPr>
              <w:t>Target</w:t>
            </w:r>
          </w:p>
        </w:tc>
        <w:tc>
          <w:tcPr>
            <w:tcW w:w="1380" w:type="dxa"/>
            <w:vAlign w:val="bottom"/>
            <w:tcBorders>
              <w:bottom w:val="single" w:sz="8" w:color="071D49"/>
            </w:tcBorders>
          </w:tcPr>
          <w:p>
            <w:pPr>
              <w:jc w:val="center"/>
              <w:ind w:left="4"/>
              <w:spacing w:after="0"/>
              <w:rPr>
                <w:sz w:val="20"/>
                <w:szCs w:val="20"/>
                <w:color w:val="auto"/>
              </w:rPr>
            </w:pPr>
            <w:r>
              <w:rPr>
                <w:rFonts w:ascii="Arial" w:cs="Arial" w:eastAsia="Arial" w:hAnsi="Arial"/>
                <w:sz w:val="13"/>
                <w:szCs w:val="13"/>
                <w:b w:val="1"/>
                <w:bCs w:val="1"/>
                <w:color w:val="071D49"/>
              </w:rPr>
              <w:t>Maximum</w:t>
            </w:r>
          </w:p>
        </w:tc>
        <w:tc>
          <w:tcPr>
            <w:tcW w:w="1240" w:type="dxa"/>
            <w:vAlign w:val="bottom"/>
            <w:tcBorders>
              <w:bottom w:val="single" w:sz="8" w:color="071D49"/>
            </w:tcBorders>
          </w:tcPr>
          <w:p>
            <w:pPr>
              <w:jc w:val="center"/>
              <w:spacing w:after="0"/>
              <w:rPr>
                <w:sz w:val="20"/>
                <w:szCs w:val="20"/>
                <w:color w:val="auto"/>
              </w:rPr>
            </w:pPr>
            <w:r>
              <w:rPr>
                <w:rFonts w:ascii="Arial" w:cs="Arial" w:eastAsia="Arial" w:hAnsi="Arial"/>
                <w:sz w:val="13"/>
                <w:szCs w:val="13"/>
                <w:b w:val="1"/>
                <w:bCs w:val="1"/>
                <w:color w:val="071D49"/>
              </w:rPr>
              <w:t>Result</w:t>
            </w:r>
          </w:p>
        </w:tc>
        <w:tc>
          <w:tcPr>
            <w:tcW w:w="1400" w:type="dxa"/>
            <w:vAlign w:val="bottom"/>
            <w:tcBorders>
              <w:bottom w:val="single" w:sz="8" w:color="071D49"/>
            </w:tcBorders>
          </w:tcPr>
          <w:p>
            <w:pPr>
              <w:jc w:val="center"/>
              <w:ind w:left="80"/>
              <w:spacing w:after="0"/>
              <w:rPr>
                <w:sz w:val="20"/>
                <w:szCs w:val="20"/>
                <w:color w:val="auto"/>
              </w:rPr>
            </w:pPr>
            <w:r>
              <w:rPr>
                <w:rFonts w:ascii="Arial" w:cs="Arial" w:eastAsia="Arial" w:hAnsi="Arial"/>
                <w:sz w:val="13"/>
                <w:szCs w:val="13"/>
                <w:b w:val="1"/>
                <w:bCs w:val="1"/>
                <w:color w:val="071D49"/>
              </w:rPr>
              <w:t>Impact on Payout</w:t>
            </w:r>
          </w:p>
        </w:tc>
        <w:tc>
          <w:tcPr>
            <w:tcW w:w="0" w:type="dxa"/>
            <w:vAlign w:val="bottom"/>
          </w:tcPr>
          <w:p>
            <w:pPr>
              <w:spacing w:after="0"/>
              <w:rPr>
                <w:sz w:val="1"/>
                <w:szCs w:val="1"/>
                <w:color w:val="auto"/>
              </w:rPr>
            </w:pPr>
          </w:p>
        </w:tc>
      </w:tr>
      <w:tr>
        <w:trPr>
          <w:trHeight w:val="180"/>
        </w:trPr>
        <w:tc>
          <w:tcPr>
            <w:tcW w:w="2320" w:type="dxa"/>
            <w:vAlign w:val="bottom"/>
            <w:shd w:val="clear" w:color="auto" w:fill="D9D9D9"/>
          </w:tcPr>
          <w:p>
            <w:pPr>
              <w:ind w:left="120"/>
              <w:spacing w:after="0" w:line="181" w:lineRule="exact"/>
              <w:rPr>
                <w:sz w:val="20"/>
                <w:szCs w:val="20"/>
                <w:color w:val="auto"/>
              </w:rPr>
            </w:pPr>
            <w:r>
              <w:rPr>
                <w:rFonts w:ascii="Arial" w:cs="Arial" w:eastAsia="Arial" w:hAnsi="Arial"/>
                <w:sz w:val="14"/>
                <w:szCs w:val="14"/>
                <w:color w:val="auto"/>
              </w:rPr>
              <w:t>Adjusted Diluted EPS</w:t>
            </w:r>
            <w:r>
              <w:rPr>
                <w:rFonts w:ascii="Arial" w:cs="Arial" w:eastAsia="Arial" w:hAnsi="Arial"/>
                <w:sz w:val="20"/>
                <w:szCs w:val="20"/>
                <w:color w:val="auto"/>
                <w:vertAlign w:val="superscript"/>
              </w:rPr>
              <w:t>(1,2)</w:t>
            </w:r>
          </w:p>
        </w:tc>
        <w:tc>
          <w:tcPr>
            <w:tcW w:w="1400" w:type="dxa"/>
            <w:vAlign w:val="bottom"/>
            <w:shd w:val="clear" w:color="auto" w:fill="D9D9D9"/>
          </w:tcPr>
          <w:p>
            <w:pPr>
              <w:jc w:val="center"/>
              <w:ind w:right="103"/>
              <w:spacing w:after="0" w:line="180" w:lineRule="exact"/>
              <w:rPr>
                <w:sz w:val="20"/>
                <w:szCs w:val="20"/>
                <w:color w:val="auto"/>
              </w:rPr>
            </w:pPr>
            <w:r>
              <w:rPr>
                <w:rFonts w:ascii="Arial" w:cs="Arial" w:eastAsia="Arial" w:hAnsi="Arial"/>
                <w:sz w:val="17"/>
                <w:szCs w:val="17"/>
                <w:color w:val="auto"/>
                <w:w w:val="96"/>
              </w:rPr>
              <w:t>$10.53</w:t>
            </w:r>
          </w:p>
        </w:tc>
        <w:tc>
          <w:tcPr>
            <w:tcW w:w="1520" w:type="dxa"/>
            <w:vAlign w:val="bottom"/>
            <w:shd w:val="clear" w:color="auto" w:fill="D9D9D9"/>
          </w:tcPr>
          <w:p>
            <w:pPr>
              <w:jc w:val="center"/>
              <w:ind w:left="4"/>
              <w:spacing w:after="0" w:line="180" w:lineRule="exact"/>
              <w:rPr>
                <w:sz w:val="20"/>
                <w:szCs w:val="20"/>
                <w:color w:val="auto"/>
              </w:rPr>
            </w:pPr>
            <w:r>
              <w:rPr>
                <w:rFonts w:ascii="Arial" w:cs="Arial" w:eastAsia="Arial" w:hAnsi="Arial"/>
                <w:sz w:val="17"/>
                <w:szCs w:val="17"/>
                <w:color w:val="auto"/>
                <w:w w:val="99"/>
              </w:rPr>
              <w:t>$10.58</w:t>
            </w:r>
          </w:p>
        </w:tc>
        <w:tc>
          <w:tcPr>
            <w:tcW w:w="1380" w:type="dxa"/>
            <w:vAlign w:val="bottom"/>
            <w:shd w:val="clear" w:color="auto" w:fill="D9D9D9"/>
          </w:tcPr>
          <w:p>
            <w:pPr>
              <w:jc w:val="center"/>
              <w:ind w:left="4"/>
              <w:spacing w:after="0" w:line="180" w:lineRule="exact"/>
              <w:rPr>
                <w:sz w:val="20"/>
                <w:szCs w:val="20"/>
                <w:color w:val="auto"/>
              </w:rPr>
            </w:pPr>
            <w:r>
              <w:rPr>
                <w:rFonts w:ascii="Arial" w:cs="Arial" w:eastAsia="Arial" w:hAnsi="Arial"/>
                <w:sz w:val="17"/>
                <w:szCs w:val="17"/>
                <w:color w:val="auto"/>
                <w:w w:val="96"/>
              </w:rPr>
              <w:t>$10.78</w:t>
            </w:r>
          </w:p>
        </w:tc>
        <w:tc>
          <w:tcPr>
            <w:tcW w:w="1240" w:type="dxa"/>
            <w:vAlign w:val="bottom"/>
            <w:shd w:val="clear" w:color="auto" w:fill="D9D9D9"/>
          </w:tcPr>
          <w:p>
            <w:pPr>
              <w:jc w:val="center"/>
              <w:spacing w:after="0" w:line="180" w:lineRule="exact"/>
              <w:rPr>
                <w:sz w:val="20"/>
                <w:szCs w:val="20"/>
                <w:color w:val="auto"/>
              </w:rPr>
            </w:pPr>
            <w:r>
              <w:rPr>
                <w:rFonts w:ascii="Arial" w:cs="Arial" w:eastAsia="Arial" w:hAnsi="Arial"/>
                <w:sz w:val="17"/>
                <w:szCs w:val="17"/>
                <w:color w:val="auto"/>
                <w:w w:val="96"/>
              </w:rPr>
              <w:t>$11.11</w:t>
            </w:r>
          </w:p>
        </w:tc>
        <w:tc>
          <w:tcPr>
            <w:tcW w:w="1400" w:type="dxa"/>
            <w:vAlign w:val="bottom"/>
            <w:shd w:val="clear" w:color="auto" w:fill="D9D9D9"/>
          </w:tcPr>
          <w:p>
            <w:pPr>
              <w:jc w:val="center"/>
              <w:ind w:left="100"/>
              <w:spacing w:after="0" w:line="180" w:lineRule="exact"/>
              <w:rPr>
                <w:sz w:val="20"/>
                <w:szCs w:val="20"/>
                <w:color w:val="auto"/>
              </w:rPr>
            </w:pPr>
            <w:r>
              <w:rPr>
                <w:rFonts w:ascii="Arial" w:cs="Arial" w:eastAsia="Arial" w:hAnsi="Arial"/>
                <w:sz w:val="17"/>
                <w:szCs w:val="17"/>
                <w:color w:val="auto"/>
                <w:w w:val="96"/>
              </w:rPr>
              <w:t>150%</w:t>
            </w:r>
          </w:p>
        </w:tc>
        <w:tc>
          <w:tcPr>
            <w:tcW w:w="0" w:type="dxa"/>
            <w:vAlign w:val="bottom"/>
          </w:tcPr>
          <w:p>
            <w:pPr>
              <w:spacing w:after="0"/>
              <w:rPr>
                <w:sz w:val="1"/>
                <w:szCs w:val="1"/>
                <w:color w:val="auto"/>
              </w:rPr>
            </w:pPr>
          </w:p>
        </w:tc>
      </w:tr>
      <w:tr>
        <w:trPr>
          <w:trHeight w:val="188"/>
        </w:trPr>
        <w:tc>
          <w:tcPr>
            <w:tcW w:w="2320" w:type="dxa"/>
            <w:vAlign w:val="bottom"/>
          </w:tcPr>
          <w:p>
            <w:pPr>
              <w:ind w:left="120"/>
              <w:spacing w:after="0" w:line="188" w:lineRule="exact"/>
              <w:rPr>
                <w:sz w:val="20"/>
                <w:szCs w:val="20"/>
                <w:color w:val="auto"/>
              </w:rPr>
            </w:pPr>
            <w:r>
              <w:rPr>
                <w:rFonts w:ascii="Arial" w:cs="Arial" w:eastAsia="Arial" w:hAnsi="Arial"/>
                <w:sz w:val="17"/>
                <w:szCs w:val="17"/>
                <w:color w:val="auto"/>
              </w:rPr>
              <w:t>EPS Impact on Payout</w:t>
            </w:r>
          </w:p>
        </w:tc>
        <w:tc>
          <w:tcPr>
            <w:tcW w:w="1400" w:type="dxa"/>
            <w:vAlign w:val="bottom"/>
          </w:tcPr>
          <w:p>
            <w:pPr>
              <w:jc w:val="center"/>
              <w:ind w:right="103"/>
              <w:spacing w:after="0" w:line="188" w:lineRule="exact"/>
              <w:rPr>
                <w:sz w:val="20"/>
                <w:szCs w:val="20"/>
                <w:color w:val="auto"/>
              </w:rPr>
            </w:pPr>
            <w:r>
              <w:rPr>
                <w:rFonts w:ascii="Arial" w:cs="Arial" w:eastAsia="Arial" w:hAnsi="Arial"/>
                <w:sz w:val="17"/>
                <w:szCs w:val="17"/>
                <w:color w:val="auto"/>
                <w:w w:val="99"/>
              </w:rPr>
              <w:t>50%</w:t>
            </w:r>
          </w:p>
        </w:tc>
        <w:tc>
          <w:tcPr>
            <w:tcW w:w="1520" w:type="dxa"/>
            <w:vAlign w:val="bottom"/>
          </w:tcPr>
          <w:p>
            <w:pPr>
              <w:jc w:val="center"/>
              <w:ind w:left="4"/>
              <w:spacing w:after="0" w:line="188" w:lineRule="exact"/>
              <w:rPr>
                <w:sz w:val="20"/>
                <w:szCs w:val="20"/>
                <w:color w:val="auto"/>
              </w:rPr>
            </w:pPr>
            <w:r>
              <w:rPr>
                <w:rFonts w:ascii="Arial" w:cs="Arial" w:eastAsia="Arial" w:hAnsi="Arial"/>
                <w:sz w:val="17"/>
                <w:szCs w:val="17"/>
                <w:color w:val="auto"/>
                <w:w w:val="93"/>
              </w:rPr>
              <w:t>90%</w:t>
            </w:r>
          </w:p>
        </w:tc>
        <w:tc>
          <w:tcPr>
            <w:tcW w:w="1380" w:type="dxa"/>
            <w:vAlign w:val="bottom"/>
          </w:tcPr>
          <w:p>
            <w:pPr>
              <w:jc w:val="center"/>
              <w:ind w:left="4"/>
              <w:spacing w:after="0" w:line="188" w:lineRule="exact"/>
              <w:rPr>
                <w:sz w:val="20"/>
                <w:szCs w:val="20"/>
                <w:color w:val="auto"/>
              </w:rPr>
            </w:pPr>
            <w:r>
              <w:rPr>
                <w:rFonts w:ascii="Arial" w:cs="Arial" w:eastAsia="Arial" w:hAnsi="Arial"/>
                <w:sz w:val="17"/>
                <w:szCs w:val="17"/>
                <w:color w:val="auto"/>
                <w:w w:val="96"/>
              </w:rPr>
              <w:t>150%</w:t>
            </w: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20" w:type="dxa"/>
            <w:vAlign w:val="bottom"/>
            <w:shd w:val="clear" w:color="auto" w:fill="D9D9D9"/>
          </w:tcPr>
          <w:p>
            <w:pPr>
              <w:ind w:left="120"/>
              <w:spacing w:after="0"/>
              <w:rPr>
                <w:sz w:val="20"/>
                <w:szCs w:val="20"/>
                <w:color w:val="auto"/>
              </w:rPr>
            </w:pPr>
            <w:r>
              <w:rPr>
                <w:rFonts w:ascii="Arial" w:cs="Arial" w:eastAsia="Arial" w:hAnsi="Arial"/>
                <w:sz w:val="17"/>
                <w:szCs w:val="17"/>
                <w:color w:val="auto"/>
              </w:rPr>
              <w:t>Relative TSR</w:t>
            </w:r>
          </w:p>
        </w:tc>
        <w:tc>
          <w:tcPr>
            <w:tcW w:w="6940" w:type="dxa"/>
            <w:vAlign w:val="bottom"/>
            <w:gridSpan w:val="5"/>
            <w:shd w:val="clear" w:color="auto" w:fill="D9D9D9"/>
          </w:tcPr>
          <w:p>
            <w:pPr>
              <w:ind w:left="340"/>
              <w:spacing w:after="0"/>
              <w:rPr>
                <w:sz w:val="20"/>
                <w:szCs w:val="20"/>
                <w:color w:val="auto"/>
              </w:rPr>
            </w:pPr>
            <w:r>
              <w:rPr>
                <w:rFonts w:ascii="Arial" w:cs="Arial" w:eastAsia="Arial" w:hAnsi="Arial"/>
                <w:sz w:val="17"/>
                <w:szCs w:val="17"/>
                <w:color w:val="auto"/>
              </w:rPr>
              <w:t>Relative TSR is measured over a 3</w:t>
            </w:r>
            <w:r>
              <w:rPr>
                <w:rFonts w:ascii="Times New Roman" w:cs="Times New Roman" w:eastAsia="Times New Roman" w:hAnsi="Times New Roman"/>
                <w:sz w:val="17"/>
                <w:szCs w:val="17"/>
                <w:color w:val="auto"/>
              </w:rPr>
              <w:t>-</w:t>
            </w:r>
            <w:r>
              <w:rPr>
                <w:rFonts w:ascii="Arial" w:cs="Arial" w:eastAsia="Arial" w:hAnsi="Arial"/>
                <w:sz w:val="17"/>
                <w:szCs w:val="17"/>
                <w:color w:val="auto"/>
              </w:rPr>
              <w:t>year performance period and used as a modifier</w:t>
            </w: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line="171" w:lineRule="exact"/>
              <w:rPr>
                <w:sz w:val="20"/>
                <w:szCs w:val="20"/>
                <w:color w:val="auto"/>
              </w:rPr>
            </w:pPr>
            <w:r>
              <w:rPr>
                <w:rFonts w:ascii="Arial" w:cs="Arial" w:eastAsia="Arial" w:hAnsi="Arial"/>
                <w:sz w:val="13"/>
                <w:szCs w:val="13"/>
                <w:color w:val="auto"/>
              </w:rPr>
              <w:t>Relative ROIC</w:t>
            </w:r>
            <w:r>
              <w:rPr>
                <w:rFonts w:ascii="Arial" w:cs="Arial" w:eastAsia="Arial" w:hAnsi="Arial"/>
                <w:sz w:val="19"/>
                <w:szCs w:val="19"/>
                <w:color w:val="auto"/>
                <w:vertAlign w:val="superscript"/>
              </w:rPr>
              <w:t>(2)</w:t>
            </w:r>
          </w:p>
        </w:tc>
        <w:tc>
          <w:tcPr>
            <w:tcW w:w="1400" w:type="dxa"/>
            <w:vAlign w:val="bottom"/>
          </w:tcPr>
          <w:p>
            <w:pPr>
              <w:jc w:val="center"/>
              <w:ind w:right="103"/>
              <w:spacing w:after="0" w:line="171"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1520" w:type="dxa"/>
            <w:vAlign w:val="bottom"/>
          </w:tcPr>
          <w:p>
            <w:pPr>
              <w:jc w:val="center"/>
              <w:ind w:left="4"/>
              <w:spacing w:after="0" w:line="171"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1380" w:type="dxa"/>
            <w:vAlign w:val="bottom"/>
          </w:tcPr>
          <w:p>
            <w:pPr>
              <w:jc w:val="center"/>
              <w:ind w:left="4"/>
              <w:spacing w:after="0" w:line="171"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1240" w:type="dxa"/>
            <w:vAlign w:val="bottom"/>
          </w:tcPr>
          <w:p>
            <w:pPr>
              <w:jc w:val="center"/>
              <w:spacing w:after="0" w:line="171" w:lineRule="exact"/>
              <w:rPr>
                <w:sz w:val="20"/>
                <w:szCs w:val="20"/>
                <w:color w:val="auto"/>
              </w:rPr>
            </w:pPr>
            <w:r>
              <w:rPr>
                <w:rFonts w:ascii="Arial" w:cs="Arial" w:eastAsia="Arial" w:hAnsi="Arial"/>
                <w:sz w:val="19"/>
                <w:szCs w:val="19"/>
                <w:color w:val="auto"/>
                <w:vertAlign w:val="subscript"/>
              </w:rPr>
              <w:t>93</w:t>
            </w:r>
            <w:r>
              <w:rPr>
                <w:rFonts w:ascii="Arial" w:cs="Arial" w:eastAsia="Arial" w:hAnsi="Arial"/>
                <w:sz w:val="10"/>
                <w:szCs w:val="10"/>
                <w:color w:val="auto"/>
              </w:rPr>
              <w:t>rd</w:t>
            </w:r>
          </w:p>
        </w:tc>
        <w:tc>
          <w:tcPr>
            <w:tcW w:w="1400" w:type="dxa"/>
            <w:vAlign w:val="bottom"/>
            <w:vMerge w:val="restart"/>
          </w:tcPr>
          <w:p>
            <w:pPr>
              <w:jc w:val="center"/>
              <w:ind w:left="100"/>
              <w:spacing w:after="0"/>
              <w:rPr>
                <w:sz w:val="20"/>
                <w:szCs w:val="20"/>
                <w:color w:val="auto"/>
              </w:rPr>
            </w:pPr>
            <w:r>
              <w:rPr>
                <w:rFonts w:ascii="Arial" w:cs="Arial" w:eastAsia="Arial" w:hAnsi="Arial"/>
                <w:sz w:val="17"/>
                <w:szCs w:val="17"/>
                <w:color w:val="auto"/>
                <w:w w:val="96"/>
              </w:rPr>
              <w:t>200%</w:t>
            </w:r>
          </w:p>
        </w:tc>
        <w:tc>
          <w:tcPr>
            <w:tcW w:w="0" w:type="dxa"/>
            <w:vAlign w:val="bottom"/>
          </w:tcPr>
          <w:p>
            <w:pPr>
              <w:spacing w:after="0"/>
              <w:rPr>
                <w:sz w:val="1"/>
                <w:szCs w:val="1"/>
                <w:color w:val="auto"/>
              </w:rPr>
            </w:pPr>
          </w:p>
        </w:tc>
      </w:tr>
      <w:tr>
        <w:trPr>
          <w:trHeight w:val="133"/>
        </w:trPr>
        <w:tc>
          <w:tcPr>
            <w:tcW w:w="2320" w:type="dxa"/>
            <w:vAlign w:val="bottom"/>
            <w:vMerge w:val="restart"/>
          </w:tcPr>
          <w:p>
            <w:pPr>
              <w:ind w:left="120"/>
              <w:spacing w:after="0"/>
              <w:rPr>
                <w:sz w:val="20"/>
                <w:szCs w:val="20"/>
                <w:color w:val="auto"/>
              </w:rPr>
            </w:pPr>
            <w:r>
              <w:rPr>
                <w:rFonts w:ascii="Arial" w:cs="Arial" w:eastAsia="Arial" w:hAnsi="Arial"/>
                <w:sz w:val="17"/>
                <w:szCs w:val="17"/>
                <w:color w:val="auto"/>
              </w:rPr>
              <w:t>(2023 Award)</w:t>
            </w:r>
          </w:p>
        </w:tc>
        <w:tc>
          <w:tcPr>
            <w:tcW w:w="1400" w:type="dxa"/>
            <w:vAlign w:val="bottom"/>
            <w:vMerge w:val="restart"/>
          </w:tcPr>
          <w:p>
            <w:pPr>
              <w:jc w:val="center"/>
              <w:ind w:right="83"/>
              <w:spacing w:after="0"/>
              <w:rPr>
                <w:sz w:val="20"/>
                <w:szCs w:val="20"/>
                <w:color w:val="auto"/>
              </w:rPr>
            </w:pPr>
            <w:r>
              <w:rPr>
                <w:rFonts w:ascii="Arial" w:cs="Arial" w:eastAsia="Arial" w:hAnsi="Arial"/>
                <w:sz w:val="17"/>
                <w:szCs w:val="17"/>
                <w:color w:val="auto"/>
                <w:w w:val="97"/>
              </w:rPr>
              <w:t>percentile</w:t>
            </w:r>
          </w:p>
        </w:tc>
        <w:tc>
          <w:tcPr>
            <w:tcW w:w="1520" w:type="dxa"/>
            <w:vAlign w:val="bottom"/>
            <w:vMerge w:val="restart"/>
          </w:tcPr>
          <w:p>
            <w:pPr>
              <w:jc w:val="center"/>
              <w:ind w:left="4"/>
              <w:spacing w:after="0"/>
              <w:rPr>
                <w:sz w:val="20"/>
                <w:szCs w:val="20"/>
                <w:color w:val="auto"/>
              </w:rPr>
            </w:pPr>
            <w:r>
              <w:rPr>
                <w:rFonts w:ascii="Arial" w:cs="Arial" w:eastAsia="Arial" w:hAnsi="Arial"/>
                <w:sz w:val="17"/>
                <w:szCs w:val="17"/>
                <w:color w:val="auto"/>
                <w:w w:val="97"/>
              </w:rPr>
              <w:t>percentile</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7"/>
              </w:rPr>
              <w:t>percentile</w:t>
            </w: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rPr>
              <w:t>percentile</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D9D9D9"/>
          </w:tcPr>
          <w:p>
            <w:pPr>
              <w:ind w:left="120"/>
              <w:spacing w:after="0" w:line="171" w:lineRule="exact"/>
              <w:rPr>
                <w:sz w:val="20"/>
                <w:szCs w:val="20"/>
                <w:color w:val="auto"/>
              </w:rPr>
            </w:pPr>
            <w:r>
              <w:rPr>
                <w:rFonts w:ascii="Arial" w:cs="Arial" w:eastAsia="Arial" w:hAnsi="Arial"/>
                <w:sz w:val="13"/>
                <w:szCs w:val="13"/>
                <w:color w:val="auto"/>
              </w:rPr>
              <w:t>Relative ROIC</w:t>
            </w:r>
            <w:r>
              <w:rPr>
                <w:rFonts w:ascii="Arial" w:cs="Arial" w:eastAsia="Arial" w:hAnsi="Arial"/>
                <w:sz w:val="19"/>
                <w:szCs w:val="19"/>
                <w:color w:val="auto"/>
                <w:vertAlign w:val="superscript"/>
              </w:rPr>
              <w:t>(2)</w:t>
            </w:r>
          </w:p>
        </w:tc>
        <w:tc>
          <w:tcPr>
            <w:tcW w:w="1400" w:type="dxa"/>
            <w:vAlign w:val="bottom"/>
            <w:shd w:val="clear" w:color="auto" w:fill="D9D9D9"/>
          </w:tcPr>
          <w:p>
            <w:pPr>
              <w:jc w:val="center"/>
              <w:ind w:right="103"/>
              <w:spacing w:after="0" w:line="171"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1520" w:type="dxa"/>
            <w:vAlign w:val="bottom"/>
            <w:shd w:val="clear" w:color="auto" w:fill="D9D9D9"/>
          </w:tcPr>
          <w:p>
            <w:pPr>
              <w:jc w:val="center"/>
              <w:ind w:left="4"/>
              <w:spacing w:after="0" w:line="171"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1380" w:type="dxa"/>
            <w:vAlign w:val="bottom"/>
            <w:shd w:val="clear" w:color="auto" w:fill="D9D9D9"/>
          </w:tcPr>
          <w:p>
            <w:pPr>
              <w:jc w:val="center"/>
              <w:ind w:left="4"/>
              <w:spacing w:after="0" w:line="171"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1240" w:type="dxa"/>
            <w:vAlign w:val="bottom"/>
            <w:shd w:val="clear" w:color="auto" w:fill="D9D9D9"/>
          </w:tcPr>
          <w:p>
            <w:pPr>
              <w:jc w:val="center"/>
              <w:spacing w:after="0" w:line="171" w:lineRule="exact"/>
              <w:rPr>
                <w:sz w:val="20"/>
                <w:szCs w:val="20"/>
                <w:color w:val="auto"/>
              </w:rPr>
            </w:pPr>
            <w:r>
              <w:rPr>
                <w:rFonts w:ascii="Arial" w:cs="Arial" w:eastAsia="Arial" w:hAnsi="Arial"/>
                <w:sz w:val="13"/>
                <w:szCs w:val="13"/>
                <w:color w:val="auto"/>
              </w:rPr>
              <w:t>93</w:t>
            </w:r>
            <w:r>
              <w:rPr>
                <w:rFonts w:ascii="Arial" w:cs="Arial" w:eastAsia="Arial" w:hAnsi="Arial"/>
                <w:sz w:val="19"/>
                <w:szCs w:val="19"/>
                <w:color w:val="auto"/>
                <w:vertAlign w:val="superscript"/>
              </w:rPr>
              <w:t>rd</w:t>
            </w:r>
          </w:p>
        </w:tc>
        <w:tc>
          <w:tcPr>
            <w:tcW w:w="1400" w:type="dxa"/>
            <w:vAlign w:val="bottom"/>
            <w:vMerge w:val="restart"/>
            <w:shd w:val="clear" w:color="auto" w:fill="D9D9D9"/>
          </w:tcPr>
          <w:p>
            <w:pPr>
              <w:jc w:val="center"/>
              <w:ind w:left="100"/>
              <w:spacing w:after="0"/>
              <w:rPr>
                <w:sz w:val="20"/>
                <w:szCs w:val="20"/>
                <w:color w:val="auto"/>
              </w:rPr>
            </w:pPr>
            <w:r>
              <w:rPr>
                <w:rFonts w:ascii="Arial" w:cs="Arial" w:eastAsia="Arial" w:hAnsi="Arial"/>
                <w:sz w:val="17"/>
                <w:szCs w:val="17"/>
                <w:color w:val="auto"/>
                <w:w w:val="96"/>
              </w:rPr>
              <w:t>200%</w:t>
            </w:r>
          </w:p>
        </w:tc>
        <w:tc>
          <w:tcPr>
            <w:tcW w:w="0" w:type="dxa"/>
            <w:vAlign w:val="bottom"/>
          </w:tcPr>
          <w:p>
            <w:pPr>
              <w:spacing w:after="0"/>
              <w:rPr>
                <w:sz w:val="1"/>
                <w:szCs w:val="1"/>
                <w:color w:val="auto"/>
              </w:rPr>
            </w:pPr>
          </w:p>
        </w:tc>
      </w:tr>
      <w:tr>
        <w:trPr>
          <w:trHeight w:val="133"/>
        </w:trPr>
        <w:tc>
          <w:tcPr>
            <w:tcW w:w="2320" w:type="dxa"/>
            <w:vAlign w:val="bottom"/>
            <w:vMerge w:val="restart"/>
            <w:shd w:val="clear" w:color="auto" w:fill="D9D9D9"/>
          </w:tcPr>
          <w:p>
            <w:pPr>
              <w:ind w:left="120"/>
              <w:spacing w:after="0"/>
              <w:rPr>
                <w:sz w:val="20"/>
                <w:szCs w:val="20"/>
                <w:color w:val="auto"/>
              </w:rPr>
            </w:pPr>
            <w:r>
              <w:rPr>
                <w:rFonts w:ascii="Arial" w:cs="Arial" w:eastAsia="Arial" w:hAnsi="Arial"/>
                <w:sz w:val="17"/>
                <w:szCs w:val="17"/>
                <w:color w:val="auto"/>
              </w:rPr>
              <w:t>(2022 Award)</w:t>
            </w:r>
          </w:p>
        </w:tc>
        <w:tc>
          <w:tcPr>
            <w:tcW w:w="1400" w:type="dxa"/>
            <w:vAlign w:val="bottom"/>
            <w:vMerge w:val="restart"/>
            <w:shd w:val="clear" w:color="auto" w:fill="D9D9D9"/>
          </w:tcPr>
          <w:p>
            <w:pPr>
              <w:jc w:val="center"/>
              <w:ind w:right="83"/>
              <w:spacing w:after="0"/>
              <w:rPr>
                <w:sz w:val="20"/>
                <w:szCs w:val="20"/>
                <w:color w:val="auto"/>
              </w:rPr>
            </w:pPr>
            <w:r>
              <w:rPr>
                <w:rFonts w:ascii="Arial" w:cs="Arial" w:eastAsia="Arial" w:hAnsi="Arial"/>
                <w:sz w:val="17"/>
                <w:szCs w:val="17"/>
                <w:color w:val="auto"/>
                <w:w w:val="97"/>
              </w:rPr>
              <w:t>percentile</w:t>
            </w:r>
          </w:p>
        </w:tc>
        <w:tc>
          <w:tcPr>
            <w:tcW w:w="1520" w:type="dxa"/>
            <w:vAlign w:val="bottom"/>
            <w:vMerge w:val="restart"/>
            <w:shd w:val="clear" w:color="auto" w:fill="D9D9D9"/>
          </w:tcPr>
          <w:p>
            <w:pPr>
              <w:jc w:val="center"/>
              <w:ind w:left="4"/>
              <w:spacing w:after="0"/>
              <w:rPr>
                <w:sz w:val="20"/>
                <w:szCs w:val="20"/>
                <w:color w:val="auto"/>
              </w:rPr>
            </w:pPr>
            <w:r>
              <w:rPr>
                <w:rFonts w:ascii="Arial" w:cs="Arial" w:eastAsia="Arial" w:hAnsi="Arial"/>
                <w:sz w:val="17"/>
                <w:szCs w:val="17"/>
                <w:color w:val="auto"/>
                <w:w w:val="97"/>
              </w:rPr>
              <w:t>percentile</w:t>
            </w:r>
          </w:p>
        </w:tc>
        <w:tc>
          <w:tcPr>
            <w:tcW w:w="138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7"/>
              </w:rPr>
              <w:t>percentile</w:t>
            </w:r>
          </w:p>
        </w:tc>
        <w:tc>
          <w:tcPr>
            <w:tcW w:w="124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rPr>
              <w:t>percentile</w:t>
            </w:r>
          </w:p>
        </w:tc>
        <w:tc>
          <w:tcPr>
            <w:tcW w:w="140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320" w:type="dxa"/>
            <w:vAlign w:val="bottom"/>
            <w:vMerge w:val="continue"/>
            <w:shd w:val="clear" w:color="auto" w:fill="D9D9D9"/>
          </w:tcPr>
          <w:p>
            <w:pPr>
              <w:spacing w:after="0"/>
              <w:rPr>
                <w:sz w:val="7"/>
                <w:szCs w:val="7"/>
                <w:color w:val="auto"/>
              </w:rPr>
            </w:pPr>
          </w:p>
        </w:tc>
        <w:tc>
          <w:tcPr>
            <w:tcW w:w="1400" w:type="dxa"/>
            <w:vAlign w:val="bottom"/>
            <w:vMerge w:val="continue"/>
            <w:shd w:val="clear" w:color="auto" w:fill="D9D9D9"/>
          </w:tcPr>
          <w:p>
            <w:pPr>
              <w:spacing w:after="0"/>
              <w:rPr>
                <w:sz w:val="7"/>
                <w:szCs w:val="7"/>
                <w:color w:val="auto"/>
              </w:rPr>
            </w:pPr>
          </w:p>
        </w:tc>
        <w:tc>
          <w:tcPr>
            <w:tcW w:w="1520" w:type="dxa"/>
            <w:vAlign w:val="bottom"/>
            <w:vMerge w:val="continue"/>
            <w:shd w:val="clear" w:color="auto" w:fill="D9D9D9"/>
          </w:tcPr>
          <w:p>
            <w:pPr>
              <w:spacing w:after="0"/>
              <w:rPr>
                <w:sz w:val="7"/>
                <w:szCs w:val="7"/>
                <w:color w:val="auto"/>
              </w:rPr>
            </w:pPr>
          </w:p>
        </w:tc>
        <w:tc>
          <w:tcPr>
            <w:tcW w:w="1380" w:type="dxa"/>
            <w:vAlign w:val="bottom"/>
            <w:vMerge w:val="continue"/>
            <w:shd w:val="clear" w:color="auto" w:fill="D9D9D9"/>
          </w:tcPr>
          <w:p>
            <w:pPr>
              <w:spacing w:after="0"/>
              <w:rPr>
                <w:sz w:val="7"/>
                <w:szCs w:val="7"/>
                <w:color w:val="auto"/>
              </w:rPr>
            </w:pPr>
          </w:p>
        </w:tc>
        <w:tc>
          <w:tcPr>
            <w:tcW w:w="1240" w:type="dxa"/>
            <w:vAlign w:val="bottom"/>
            <w:vMerge w:val="continue"/>
            <w:shd w:val="clear" w:color="auto" w:fill="D9D9D9"/>
          </w:tcPr>
          <w:p>
            <w:pPr>
              <w:spacing w:after="0"/>
              <w:rPr>
                <w:sz w:val="7"/>
                <w:szCs w:val="7"/>
                <w:color w:val="auto"/>
              </w:rPr>
            </w:pPr>
          </w:p>
        </w:tc>
        <w:tc>
          <w:tcPr>
            <w:tcW w:w="140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120"/>
              <w:spacing w:after="0" w:line="171" w:lineRule="exact"/>
              <w:rPr>
                <w:sz w:val="20"/>
                <w:szCs w:val="20"/>
                <w:color w:val="auto"/>
              </w:rPr>
            </w:pPr>
            <w:r>
              <w:rPr>
                <w:rFonts w:ascii="Arial" w:cs="Arial" w:eastAsia="Arial" w:hAnsi="Arial"/>
                <w:sz w:val="13"/>
                <w:szCs w:val="13"/>
                <w:color w:val="auto"/>
              </w:rPr>
              <w:t>Relative ROIC</w:t>
            </w:r>
            <w:r>
              <w:rPr>
                <w:rFonts w:ascii="Arial" w:cs="Arial" w:eastAsia="Arial" w:hAnsi="Arial"/>
                <w:sz w:val="19"/>
                <w:szCs w:val="19"/>
                <w:color w:val="auto"/>
                <w:vertAlign w:val="superscript"/>
              </w:rPr>
              <w:t>(2)</w:t>
            </w:r>
          </w:p>
        </w:tc>
        <w:tc>
          <w:tcPr>
            <w:tcW w:w="1400" w:type="dxa"/>
            <w:vAlign w:val="bottom"/>
          </w:tcPr>
          <w:p>
            <w:pPr>
              <w:jc w:val="center"/>
              <w:ind w:right="103"/>
              <w:spacing w:after="0" w:line="171" w:lineRule="exact"/>
              <w:rPr>
                <w:sz w:val="20"/>
                <w:szCs w:val="20"/>
                <w:color w:val="auto"/>
              </w:rPr>
            </w:pPr>
            <w:r>
              <w:rPr>
                <w:rFonts w:ascii="Arial" w:cs="Arial" w:eastAsia="Arial" w:hAnsi="Arial"/>
                <w:sz w:val="13"/>
                <w:szCs w:val="13"/>
                <w:color w:val="auto"/>
              </w:rPr>
              <w:t>40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50</w:t>
            </w:r>
            <w:r>
              <w:rPr>
                <w:rFonts w:ascii="Arial" w:cs="Arial" w:eastAsia="Arial" w:hAnsi="Arial"/>
                <w:sz w:val="19"/>
                <w:szCs w:val="19"/>
                <w:color w:val="auto"/>
                <w:vertAlign w:val="superscript"/>
              </w:rPr>
              <w:t>th</w:t>
            </w:r>
          </w:p>
        </w:tc>
        <w:tc>
          <w:tcPr>
            <w:tcW w:w="1520" w:type="dxa"/>
            <w:vAlign w:val="bottom"/>
          </w:tcPr>
          <w:p>
            <w:pPr>
              <w:jc w:val="center"/>
              <w:ind w:left="4"/>
              <w:spacing w:after="0" w:line="171" w:lineRule="exact"/>
              <w:rPr>
                <w:sz w:val="20"/>
                <w:szCs w:val="20"/>
                <w:color w:val="auto"/>
              </w:rPr>
            </w:pPr>
            <w:r>
              <w:rPr>
                <w:rFonts w:ascii="Arial" w:cs="Arial" w:eastAsia="Arial" w:hAnsi="Arial"/>
                <w:sz w:val="13"/>
                <w:szCs w:val="13"/>
                <w:color w:val="auto"/>
              </w:rPr>
              <w:t>50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65</w:t>
            </w:r>
            <w:r>
              <w:rPr>
                <w:rFonts w:ascii="Arial" w:cs="Arial" w:eastAsia="Arial" w:hAnsi="Arial"/>
                <w:sz w:val="19"/>
                <w:szCs w:val="19"/>
                <w:color w:val="auto"/>
                <w:vertAlign w:val="superscript"/>
              </w:rPr>
              <w:t>th</w:t>
            </w:r>
          </w:p>
        </w:tc>
        <w:tc>
          <w:tcPr>
            <w:tcW w:w="1380" w:type="dxa"/>
            <w:vAlign w:val="bottom"/>
          </w:tcPr>
          <w:p>
            <w:pPr>
              <w:jc w:val="center"/>
              <w:ind w:left="4"/>
              <w:spacing w:after="0" w:line="171" w:lineRule="exact"/>
              <w:rPr>
                <w:sz w:val="20"/>
                <w:szCs w:val="20"/>
                <w:color w:val="auto"/>
              </w:rPr>
            </w:pPr>
            <w:r>
              <w:rPr>
                <w:rFonts w:ascii="Arial" w:cs="Arial" w:eastAsia="Arial" w:hAnsi="Arial"/>
                <w:sz w:val="13"/>
                <w:szCs w:val="13"/>
                <w:color w:val="auto"/>
              </w:rPr>
              <w:t>&gt;85</w:t>
            </w:r>
            <w:r>
              <w:rPr>
                <w:rFonts w:ascii="Arial" w:cs="Arial" w:eastAsia="Arial" w:hAnsi="Arial"/>
                <w:sz w:val="19"/>
                <w:szCs w:val="19"/>
                <w:color w:val="auto"/>
                <w:vertAlign w:val="superscript"/>
              </w:rPr>
              <w:t>th</w:t>
            </w:r>
          </w:p>
        </w:tc>
        <w:tc>
          <w:tcPr>
            <w:tcW w:w="1240" w:type="dxa"/>
            <w:vAlign w:val="bottom"/>
          </w:tcPr>
          <w:p>
            <w:pPr>
              <w:jc w:val="center"/>
              <w:spacing w:after="0" w:line="171" w:lineRule="exact"/>
              <w:rPr>
                <w:sz w:val="20"/>
                <w:szCs w:val="20"/>
                <w:color w:val="auto"/>
              </w:rPr>
            </w:pPr>
            <w:r>
              <w:rPr>
                <w:rFonts w:ascii="Arial" w:cs="Arial" w:eastAsia="Arial" w:hAnsi="Arial"/>
                <w:sz w:val="13"/>
                <w:szCs w:val="13"/>
                <w:color w:val="auto"/>
              </w:rPr>
              <w:t>92</w:t>
            </w:r>
            <w:r>
              <w:rPr>
                <w:rFonts w:ascii="Arial" w:cs="Arial" w:eastAsia="Arial" w:hAnsi="Arial"/>
                <w:sz w:val="19"/>
                <w:szCs w:val="19"/>
                <w:color w:val="auto"/>
                <w:vertAlign w:val="superscript"/>
              </w:rPr>
              <w:t>nd</w:t>
            </w:r>
          </w:p>
        </w:tc>
        <w:tc>
          <w:tcPr>
            <w:tcW w:w="1400" w:type="dxa"/>
            <w:vAlign w:val="bottom"/>
            <w:vMerge w:val="restart"/>
          </w:tcPr>
          <w:p>
            <w:pPr>
              <w:jc w:val="center"/>
              <w:ind w:left="100"/>
              <w:spacing w:after="0"/>
              <w:rPr>
                <w:sz w:val="20"/>
                <w:szCs w:val="20"/>
                <w:color w:val="auto"/>
              </w:rPr>
            </w:pPr>
            <w:r>
              <w:rPr>
                <w:rFonts w:ascii="Arial" w:cs="Arial" w:eastAsia="Arial" w:hAnsi="Arial"/>
                <w:sz w:val="17"/>
                <w:szCs w:val="17"/>
                <w:color w:val="auto"/>
                <w:w w:val="96"/>
              </w:rPr>
              <w:t>200%</w:t>
            </w:r>
          </w:p>
        </w:tc>
        <w:tc>
          <w:tcPr>
            <w:tcW w:w="0" w:type="dxa"/>
            <w:vAlign w:val="bottom"/>
          </w:tcPr>
          <w:p>
            <w:pPr>
              <w:spacing w:after="0"/>
              <w:rPr>
                <w:sz w:val="1"/>
                <w:szCs w:val="1"/>
                <w:color w:val="auto"/>
              </w:rPr>
            </w:pPr>
          </w:p>
        </w:tc>
      </w:tr>
      <w:tr>
        <w:trPr>
          <w:trHeight w:val="133"/>
        </w:trPr>
        <w:tc>
          <w:tcPr>
            <w:tcW w:w="2320" w:type="dxa"/>
            <w:vAlign w:val="bottom"/>
            <w:vMerge w:val="restart"/>
          </w:tcPr>
          <w:p>
            <w:pPr>
              <w:ind w:left="120"/>
              <w:spacing w:after="0"/>
              <w:rPr>
                <w:sz w:val="20"/>
                <w:szCs w:val="20"/>
                <w:color w:val="auto"/>
              </w:rPr>
            </w:pPr>
            <w:r>
              <w:rPr>
                <w:rFonts w:ascii="Arial" w:cs="Arial" w:eastAsia="Arial" w:hAnsi="Arial"/>
                <w:sz w:val="17"/>
                <w:szCs w:val="17"/>
                <w:color w:val="auto"/>
              </w:rPr>
              <w:t>(2021 Award)</w:t>
            </w:r>
          </w:p>
        </w:tc>
        <w:tc>
          <w:tcPr>
            <w:tcW w:w="1400" w:type="dxa"/>
            <w:vAlign w:val="bottom"/>
            <w:vMerge w:val="restart"/>
          </w:tcPr>
          <w:p>
            <w:pPr>
              <w:jc w:val="center"/>
              <w:ind w:right="83"/>
              <w:spacing w:after="0"/>
              <w:rPr>
                <w:sz w:val="20"/>
                <w:szCs w:val="20"/>
                <w:color w:val="auto"/>
              </w:rPr>
            </w:pPr>
            <w:r>
              <w:rPr>
                <w:rFonts w:ascii="Arial" w:cs="Arial" w:eastAsia="Arial" w:hAnsi="Arial"/>
                <w:sz w:val="17"/>
                <w:szCs w:val="17"/>
                <w:color w:val="auto"/>
                <w:w w:val="97"/>
              </w:rPr>
              <w:t>percentile</w:t>
            </w:r>
          </w:p>
        </w:tc>
        <w:tc>
          <w:tcPr>
            <w:tcW w:w="1520" w:type="dxa"/>
            <w:vAlign w:val="bottom"/>
            <w:vMerge w:val="restart"/>
          </w:tcPr>
          <w:p>
            <w:pPr>
              <w:jc w:val="center"/>
              <w:ind w:left="4"/>
              <w:spacing w:after="0"/>
              <w:rPr>
                <w:sz w:val="20"/>
                <w:szCs w:val="20"/>
                <w:color w:val="auto"/>
              </w:rPr>
            </w:pPr>
            <w:r>
              <w:rPr>
                <w:rFonts w:ascii="Arial" w:cs="Arial" w:eastAsia="Arial" w:hAnsi="Arial"/>
                <w:sz w:val="17"/>
                <w:szCs w:val="17"/>
                <w:color w:val="auto"/>
                <w:w w:val="97"/>
              </w:rPr>
              <w:t>percentile</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7"/>
              </w:rPr>
              <w:t>percentile</w:t>
            </w:r>
          </w:p>
        </w:tc>
        <w:tc>
          <w:tcPr>
            <w:tcW w:w="1240" w:type="dxa"/>
            <w:vAlign w:val="bottom"/>
            <w:vMerge w:val="restart"/>
          </w:tcPr>
          <w:p>
            <w:pPr>
              <w:jc w:val="center"/>
              <w:spacing w:after="0"/>
              <w:rPr>
                <w:sz w:val="20"/>
                <w:szCs w:val="20"/>
                <w:color w:val="auto"/>
              </w:rPr>
            </w:pPr>
            <w:r>
              <w:rPr>
                <w:rFonts w:ascii="Arial" w:cs="Arial" w:eastAsia="Arial" w:hAnsi="Arial"/>
                <w:sz w:val="17"/>
                <w:szCs w:val="17"/>
                <w:color w:val="auto"/>
              </w:rPr>
              <w:t>percentile</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320" w:type="dxa"/>
            <w:vAlign w:val="bottom"/>
            <w:tcBorders>
              <w:bottom w:val="single" w:sz="8" w:color="071D49"/>
            </w:tcBorders>
            <w:shd w:val="clear" w:color="auto" w:fill="D9D9D9"/>
          </w:tcPr>
          <w:p>
            <w:pPr>
              <w:ind w:left="120"/>
              <w:spacing w:after="0" w:line="188" w:lineRule="exact"/>
              <w:rPr>
                <w:sz w:val="20"/>
                <w:szCs w:val="20"/>
                <w:color w:val="auto"/>
              </w:rPr>
            </w:pPr>
            <w:r>
              <w:rPr>
                <w:rFonts w:ascii="Arial" w:cs="Arial" w:eastAsia="Arial" w:hAnsi="Arial"/>
                <w:sz w:val="17"/>
                <w:szCs w:val="17"/>
                <w:color w:val="auto"/>
              </w:rPr>
              <w:t>ROIC Impact on Payout</w:t>
            </w:r>
          </w:p>
        </w:tc>
        <w:tc>
          <w:tcPr>
            <w:tcW w:w="1400" w:type="dxa"/>
            <w:vAlign w:val="bottom"/>
            <w:tcBorders>
              <w:bottom w:val="single" w:sz="8" w:color="071D49"/>
            </w:tcBorders>
            <w:shd w:val="clear" w:color="auto" w:fill="D9D9D9"/>
          </w:tcPr>
          <w:p>
            <w:pPr>
              <w:jc w:val="center"/>
              <w:ind w:right="103"/>
              <w:spacing w:after="0" w:line="188" w:lineRule="exact"/>
              <w:rPr>
                <w:sz w:val="20"/>
                <w:szCs w:val="20"/>
                <w:color w:val="auto"/>
              </w:rPr>
            </w:pPr>
            <w:r>
              <w:rPr>
                <w:rFonts w:ascii="Arial" w:cs="Arial" w:eastAsia="Arial" w:hAnsi="Arial"/>
                <w:sz w:val="17"/>
                <w:szCs w:val="17"/>
                <w:color w:val="auto"/>
                <w:w w:val="99"/>
              </w:rPr>
              <w:t>50%</w:t>
            </w:r>
          </w:p>
        </w:tc>
        <w:tc>
          <w:tcPr>
            <w:tcW w:w="1520" w:type="dxa"/>
            <w:vAlign w:val="bottom"/>
            <w:tcBorders>
              <w:bottom w:val="single" w:sz="8" w:color="071D49"/>
            </w:tcBorders>
            <w:shd w:val="clear" w:color="auto" w:fill="D9D9D9"/>
          </w:tcPr>
          <w:p>
            <w:pPr>
              <w:jc w:val="center"/>
              <w:ind w:left="4"/>
              <w:spacing w:after="0" w:line="188" w:lineRule="exact"/>
              <w:rPr>
                <w:sz w:val="20"/>
                <w:szCs w:val="20"/>
                <w:color w:val="auto"/>
              </w:rPr>
            </w:pPr>
            <w:r>
              <w:rPr>
                <w:rFonts w:ascii="Arial" w:cs="Arial" w:eastAsia="Arial" w:hAnsi="Arial"/>
                <w:sz w:val="17"/>
                <w:szCs w:val="17"/>
                <w:color w:val="auto"/>
              </w:rPr>
              <w:t>100%</w:t>
            </w:r>
          </w:p>
        </w:tc>
        <w:tc>
          <w:tcPr>
            <w:tcW w:w="1380" w:type="dxa"/>
            <w:vAlign w:val="bottom"/>
            <w:tcBorders>
              <w:bottom w:val="single" w:sz="8" w:color="071D49"/>
            </w:tcBorders>
            <w:shd w:val="clear" w:color="auto" w:fill="D9D9D9"/>
          </w:tcPr>
          <w:p>
            <w:pPr>
              <w:jc w:val="center"/>
              <w:ind w:left="4"/>
              <w:spacing w:after="0" w:line="188" w:lineRule="exact"/>
              <w:rPr>
                <w:sz w:val="20"/>
                <w:szCs w:val="20"/>
                <w:color w:val="auto"/>
              </w:rPr>
            </w:pPr>
            <w:r>
              <w:rPr>
                <w:rFonts w:ascii="Arial" w:cs="Arial" w:eastAsia="Arial" w:hAnsi="Arial"/>
                <w:sz w:val="17"/>
                <w:szCs w:val="17"/>
                <w:color w:val="auto"/>
                <w:w w:val="96"/>
              </w:rPr>
              <w:t>200%</w:t>
            </w:r>
          </w:p>
        </w:tc>
        <w:tc>
          <w:tcPr>
            <w:tcW w:w="1240" w:type="dxa"/>
            <w:vAlign w:val="bottom"/>
            <w:tcBorders>
              <w:bottom w:val="single" w:sz="8" w:color="071D49"/>
            </w:tcBorders>
            <w:shd w:val="clear" w:color="auto" w:fill="D9D9D9"/>
          </w:tcPr>
          <w:p>
            <w:pPr>
              <w:spacing w:after="0"/>
              <w:rPr>
                <w:sz w:val="16"/>
                <w:szCs w:val="16"/>
                <w:color w:val="auto"/>
              </w:rPr>
            </w:pPr>
          </w:p>
        </w:tc>
        <w:tc>
          <w:tcPr>
            <w:tcW w:w="1400" w:type="dxa"/>
            <w:vAlign w:val="bottom"/>
            <w:tcBorders>
              <w:bottom w:val="single" w:sz="8" w:color="071D49"/>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32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800" w:hanging="308"/>
        <w:spacing w:after="0" w:line="261" w:lineRule="auto"/>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Diluted earnings per share is adjusted to exclude certain specified items and is a non-GAAP measure, which is reconciled in Appendix B.</w:t>
      </w:r>
    </w:p>
    <w:p>
      <w:pPr>
        <w:spacing w:after="0" w:line="150" w:lineRule="exact"/>
        <w:rPr>
          <w:rFonts w:ascii="Arial" w:cs="Arial" w:eastAsia="Arial" w:hAnsi="Arial"/>
          <w:sz w:val="17"/>
          <w:szCs w:val="17"/>
          <w:color w:val="auto"/>
        </w:rPr>
      </w:pPr>
    </w:p>
    <w:p>
      <w:pPr>
        <w:ind w:left="320" w:right="160" w:hanging="308"/>
        <w:spacing w:after="0"/>
        <w:tabs>
          <w:tab w:leader="none" w:pos="3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Due to the uncertainty associated with the timing of upfront and milestone payments, the financial goals established to evaluate management performance for purposes of incentive compensation exclude the impact of these payments. However, the performance goals shown in this table have been adjusted to account for upfront and milestone expenses in 2023 and the results include the impact of those payments.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AbbVie granted performance shares in 2021 that were subject to a 3-year performance cycle that ended December 31, 2023.</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table below describes the performance objectives, outcomes, and shares earned.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40" w:type="dxa"/>
            <w:vAlign w:val="bottom"/>
            <w:tcBorders>
              <w:top w:val="single" w:sz="8" w:color="071D49"/>
            </w:tcBorders>
          </w:tcPr>
          <w:p>
            <w:pPr>
              <w:ind w:left="120"/>
              <w:spacing w:after="0"/>
              <w:rPr>
                <w:sz w:val="20"/>
                <w:szCs w:val="20"/>
                <w:color w:val="auto"/>
              </w:rPr>
            </w:pPr>
            <w:r>
              <w:rPr>
                <w:rFonts w:ascii="Arial" w:cs="Arial" w:eastAsia="Arial" w:hAnsi="Arial"/>
                <w:sz w:val="13"/>
                <w:szCs w:val="13"/>
                <w:b w:val="1"/>
                <w:bCs w:val="1"/>
                <w:color w:val="071D49"/>
              </w:rPr>
              <w:t>Performance</w:t>
            </w:r>
          </w:p>
        </w:tc>
        <w:tc>
          <w:tcPr>
            <w:tcW w:w="1560" w:type="dxa"/>
            <w:vAlign w:val="bottom"/>
            <w:tcBorders>
              <w:top w:val="single" w:sz="8" w:color="071D49"/>
            </w:tcBorders>
          </w:tcPr>
          <w:p>
            <w:pPr>
              <w:spacing w:after="0"/>
              <w:rPr>
                <w:sz w:val="13"/>
                <w:szCs w:val="13"/>
                <w:color w:val="auto"/>
              </w:rPr>
            </w:pPr>
          </w:p>
        </w:tc>
        <w:tc>
          <w:tcPr>
            <w:tcW w:w="1760" w:type="dxa"/>
            <w:vAlign w:val="bottom"/>
            <w:tcBorders>
              <w:top w:val="single" w:sz="8" w:color="071D49"/>
            </w:tcBorders>
          </w:tcPr>
          <w:p>
            <w:pPr>
              <w:spacing w:after="0"/>
              <w:rPr>
                <w:sz w:val="13"/>
                <w:szCs w:val="13"/>
                <w:color w:val="auto"/>
              </w:rPr>
            </w:pPr>
          </w:p>
        </w:tc>
        <w:tc>
          <w:tcPr>
            <w:tcW w:w="1540" w:type="dxa"/>
            <w:vAlign w:val="bottom"/>
            <w:tcBorders>
              <w:top w:val="single" w:sz="8" w:color="071D49"/>
            </w:tcBorders>
          </w:tcPr>
          <w:p>
            <w:pPr>
              <w:spacing w:after="0"/>
              <w:rPr>
                <w:sz w:val="13"/>
                <w:szCs w:val="13"/>
                <w:color w:val="auto"/>
              </w:rPr>
            </w:pPr>
          </w:p>
        </w:tc>
        <w:tc>
          <w:tcPr>
            <w:tcW w:w="1520" w:type="dxa"/>
            <w:vAlign w:val="bottom"/>
            <w:tcBorders>
              <w:top w:val="single" w:sz="8" w:color="071D49"/>
            </w:tcBorders>
          </w:tcPr>
          <w:p>
            <w:pPr>
              <w:spacing w:after="0"/>
              <w:rPr>
                <w:sz w:val="13"/>
                <w:szCs w:val="13"/>
                <w:color w:val="auto"/>
              </w:rPr>
            </w:pPr>
          </w:p>
        </w:tc>
        <w:tc>
          <w:tcPr>
            <w:tcW w:w="1040" w:type="dxa"/>
            <w:vAlign w:val="bottom"/>
            <w:tcBorders>
              <w:top w:val="single" w:sz="8" w:color="071D49"/>
            </w:tcBorders>
          </w:tcPr>
          <w:p>
            <w:pPr>
              <w:jc w:val="center"/>
              <w:ind w:left="88"/>
              <w:spacing w:after="0"/>
              <w:rPr>
                <w:sz w:val="20"/>
                <w:szCs w:val="20"/>
                <w:color w:val="auto"/>
              </w:rPr>
            </w:pPr>
            <w:r>
              <w:rPr>
                <w:rFonts w:ascii="Arial" w:cs="Arial" w:eastAsia="Arial" w:hAnsi="Arial"/>
                <w:sz w:val="13"/>
                <w:szCs w:val="13"/>
                <w:b w:val="1"/>
                <w:bCs w:val="1"/>
                <w:color w:val="071D49"/>
              </w:rPr>
              <w:t>Performance</w:t>
            </w:r>
          </w:p>
        </w:tc>
        <w:tc>
          <w:tcPr>
            <w:tcW w:w="0" w:type="dxa"/>
            <w:vAlign w:val="bottom"/>
          </w:tcPr>
          <w:p>
            <w:pPr>
              <w:spacing w:after="0"/>
              <w:rPr>
                <w:sz w:val="1"/>
                <w:szCs w:val="1"/>
                <w:color w:val="auto"/>
              </w:rPr>
            </w:pPr>
          </w:p>
        </w:tc>
      </w:tr>
      <w:tr>
        <w:trPr>
          <w:trHeight w:val="150"/>
        </w:trPr>
        <w:tc>
          <w:tcPr>
            <w:tcW w:w="1840" w:type="dxa"/>
            <w:vAlign w:val="bottom"/>
          </w:tcPr>
          <w:p>
            <w:pPr>
              <w:ind w:left="120"/>
              <w:spacing w:after="0"/>
              <w:rPr>
                <w:sz w:val="20"/>
                <w:szCs w:val="20"/>
                <w:color w:val="auto"/>
              </w:rPr>
            </w:pPr>
            <w:r>
              <w:rPr>
                <w:rFonts w:ascii="Arial" w:cs="Arial" w:eastAsia="Arial" w:hAnsi="Arial"/>
                <w:sz w:val="13"/>
                <w:szCs w:val="13"/>
                <w:b w:val="1"/>
                <w:bCs w:val="1"/>
                <w:color w:val="071D49"/>
              </w:rPr>
              <w:t>Objective &amp; Payout</w:t>
            </w:r>
          </w:p>
        </w:tc>
        <w:tc>
          <w:tcPr>
            <w:tcW w:w="1560" w:type="dxa"/>
            <w:vAlign w:val="bottom"/>
            <w:vMerge w:val="restart"/>
          </w:tcPr>
          <w:p>
            <w:pPr>
              <w:jc w:val="center"/>
              <w:ind w:right="1"/>
              <w:spacing w:after="0"/>
              <w:rPr>
                <w:sz w:val="20"/>
                <w:szCs w:val="20"/>
                <w:color w:val="auto"/>
              </w:rPr>
            </w:pPr>
            <w:r>
              <w:rPr>
                <w:rFonts w:ascii="Arial" w:cs="Arial" w:eastAsia="Arial" w:hAnsi="Arial"/>
                <w:sz w:val="13"/>
                <w:szCs w:val="13"/>
                <w:b w:val="1"/>
                <w:bCs w:val="1"/>
                <w:color w:val="071D49"/>
              </w:rPr>
              <w:t>Threshold</w:t>
            </w: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071D49"/>
              </w:rPr>
              <w:t>Target</w:t>
            </w:r>
          </w:p>
        </w:tc>
        <w:tc>
          <w:tcPr>
            <w:tcW w:w="1540" w:type="dxa"/>
            <w:vAlign w:val="bottom"/>
            <w:vMerge w:val="restart"/>
          </w:tcPr>
          <w:p>
            <w:pPr>
              <w:jc w:val="center"/>
              <w:ind w:left="41"/>
              <w:spacing w:after="0"/>
              <w:rPr>
                <w:sz w:val="20"/>
                <w:szCs w:val="20"/>
                <w:color w:val="auto"/>
              </w:rPr>
            </w:pPr>
            <w:r>
              <w:rPr>
                <w:rFonts w:ascii="Arial" w:cs="Arial" w:eastAsia="Arial" w:hAnsi="Arial"/>
                <w:sz w:val="13"/>
                <w:szCs w:val="13"/>
                <w:b w:val="1"/>
                <w:bCs w:val="1"/>
                <w:color w:val="071D49"/>
              </w:rPr>
              <w:t>Maximum</w:t>
            </w: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071D49"/>
              </w:rPr>
              <w:t>Actual</w:t>
            </w:r>
          </w:p>
        </w:tc>
        <w:tc>
          <w:tcPr>
            <w:tcW w:w="1040" w:type="dxa"/>
            <w:vAlign w:val="bottom"/>
            <w:vMerge w:val="restart"/>
          </w:tcPr>
          <w:p>
            <w:pPr>
              <w:jc w:val="center"/>
              <w:ind w:left="88"/>
              <w:spacing w:after="0"/>
              <w:rPr>
                <w:sz w:val="20"/>
                <w:szCs w:val="20"/>
                <w:color w:val="auto"/>
              </w:rPr>
            </w:pPr>
            <w:r>
              <w:rPr>
                <w:rFonts w:ascii="Arial" w:cs="Arial" w:eastAsia="Arial" w:hAnsi="Arial"/>
                <w:sz w:val="13"/>
                <w:szCs w:val="13"/>
                <w:b w:val="1"/>
                <w:bCs w:val="1"/>
                <w:color w:val="071D49"/>
              </w:rPr>
              <w:t>Modifier</w:t>
            </w:r>
          </w:p>
        </w:tc>
        <w:tc>
          <w:tcPr>
            <w:tcW w:w="0" w:type="dxa"/>
            <w:vAlign w:val="bottom"/>
          </w:tcPr>
          <w:p>
            <w:pPr>
              <w:spacing w:after="0"/>
              <w:rPr>
                <w:sz w:val="1"/>
                <w:szCs w:val="1"/>
                <w:color w:val="auto"/>
              </w:rPr>
            </w:pPr>
          </w:p>
        </w:tc>
      </w:tr>
      <w:tr>
        <w:trPr>
          <w:trHeight w:val="110"/>
        </w:trPr>
        <w:tc>
          <w:tcPr>
            <w:tcW w:w="1840" w:type="dxa"/>
            <w:vAlign w:val="bottom"/>
            <w:vMerge w:val="restart"/>
          </w:tcPr>
          <w:p>
            <w:pPr>
              <w:ind w:left="120"/>
              <w:spacing w:after="0"/>
              <w:rPr>
                <w:sz w:val="20"/>
                <w:szCs w:val="20"/>
                <w:color w:val="auto"/>
              </w:rPr>
            </w:pPr>
            <w:r>
              <w:rPr>
                <w:rFonts w:ascii="Arial" w:cs="Arial" w:eastAsia="Arial" w:hAnsi="Arial"/>
                <w:sz w:val="13"/>
                <w:szCs w:val="13"/>
                <w:b w:val="1"/>
                <w:bCs w:val="1"/>
                <w:color w:val="071D49"/>
              </w:rPr>
              <w:t>Modification</w:t>
            </w:r>
          </w:p>
        </w:tc>
        <w:tc>
          <w:tcPr>
            <w:tcW w:w="15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840" w:type="dxa"/>
            <w:vAlign w:val="bottom"/>
            <w:tcBorders>
              <w:bottom w:val="single" w:sz="8" w:color="071D49"/>
            </w:tcBorders>
            <w:vMerge w:val="continue"/>
          </w:tcPr>
          <w:p>
            <w:pPr>
              <w:spacing w:after="0"/>
              <w:rPr>
                <w:sz w:val="4"/>
                <w:szCs w:val="4"/>
                <w:color w:val="auto"/>
              </w:rPr>
            </w:pPr>
          </w:p>
        </w:tc>
        <w:tc>
          <w:tcPr>
            <w:tcW w:w="1560" w:type="dxa"/>
            <w:vAlign w:val="bottom"/>
            <w:tcBorders>
              <w:bottom w:val="single" w:sz="8" w:color="071D49"/>
            </w:tcBorders>
          </w:tcPr>
          <w:p>
            <w:pPr>
              <w:spacing w:after="0"/>
              <w:rPr>
                <w:sz w:val="4"/>
                <w:szCs w:val="4"/>
                <w:color w:val="auto"/>
              </w:rPr>
            </w:pPr>
          </w:p>
        </w:tc>
        <w:tc>
          <w:tcPr>
            <w:tcW w:w="1760" w:type="dxa"/>
            <w:vAlign w:val="bottom"/>
            <w:tcBorders>
              <w:bottom w:val="single" w:sz="8" w:color="071D49"/>
            </w:tcBorders>
          </w:tcPr>
          <w:p>
            <w:pPr>
              <w:spacing w:after="0"/>
              <w:rPr>
                <w:sz w:val="4"/>
                <w:szCs w:val="4"/>
                <w:color w:val="auto"/>
              </w:rPr>
            </w:pPr>
          </w:p>
        </w:tc>
        <w:tc>
          <w:tcPr>
            <w:tcW w:w="1540" w:type="dxa"/>
            <w:vAlign w:val="bottom"/>
            <w:tcBorders>
              <w:bottom w:val="single" w:sz="8" w:color="071D49"/>
            </w:tcBorders>
          </w:tcPr>
          <w:p>
            <w:pPr>
              <w:spacing w:after="0"/>
              <w:rPr>
                <w:sz w:val="4"/>
                <w:szCs w:val="4"/>
                <w:color w:val="auto"/>
              </w:rPr>
            </w:pPr>
          </w:p>
        </w:tc>
        <w:tc>
          <w:tcPr>
            <w:tcW w:w="1520" w:type="dxa"/>
            <w:vAlign w:val="bottom"/>
            <w:tcBorders>
              <w:bottom w:val="single" w:sz="8" w:color="071D49"/>
            </w:tcBorders>
          </w:tcPr>
          <w:p>
            <w:pPr>
              <w:spacing w:after="0"/>
              <w:rPr>
                <w:sz w:val="4"/>
                <w:szCs w:val="4"/>
                <w:color w:val="auto"/>
              </w:rPr>
            </w:pPr>
          </w:p>
        </w:tc>
        <w:tc>
          <w:tcPr>
            <w:tcW w:w="1040" w:type="dxa"/>
            <w:vAlign w:val="bottom"/>
            <w:tcBorders>
              <w:bottom w:val="single" w:sz="8" w:color="071D49"/>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840" w:type="dxa"/>
            <w:vAlign w:val="bottom"/>
            <w:vMerge w:val="restart"/>
            <w:shd w:val="clear" w:color="auto" w:fill="D9D9D9"/>
          </w:tcPr>
          <w:p>
            <w:pPr>
              <w:ind w:left="120"/>
              <w:spacing w:after="0"/>
              <w:rPr>
                <w:sz w:val="20"/>
                <w:szCs w:val="20"/>
                <w:color w:val="auto"/>
              </w:rPr>
            </w:pPr>
            <w:r>
              <w:rPr>
                <w:rFonts w:ascii="Arial" w:cs="Arial" w:eastAsia="Arial" w:hAnsi="Arial"/>
                <w:sz w:val="17"/>
                <w:szCs w:val="17"/>
                <w:color w:val="auto"/>
              </w:rPr>
              <w:t>Relative TSR</w:t>
            </w:r>
          </w:p>
        </w:tc>
        <w:tc>
          <w:tcPr>
            <w:tcW w:w="1560" w:type="dxa"/>
            <w:vAlign w:val="bottom"/>
            <w:shd w:val="clear" w:color="auto" w:fill="D9D9D9"/>
          </w:tcPr>
          <w:p>
            <w:pPr>
              <w:jc w:val="center"/>
              <w:spacing w:after="0" w:line="163" w:lineRule="exact"/>
              <w:rPr>
                <w:sz w:val="20"/>
                <w:szCs w:val="20"/>
                <w:color w:val="auto"/>
              </w:rPr>
            </w:pPr>
            <w:r>
              <w:rPr>
                <w:rFonts w:ascii="Arial" w:cs="Arial" w:eastAsia="Arial" w:hAnsi="Arial"/>
                <w:sz w:val="17"/>
                <w:szCs w:val="17"/>
                <w:color w:val="auto"/>
                <w:w w:val="98"/>
              </w:rPr>
              <w:t>15 pts below</w:t>
            </w:r>
          </w:p>
        </w:tc>
        <w:tc>
          <w:tcPr>
            <w:tcW w:w="1760" w:type="dxa"/>
            <w:vAlign w:val="bottom"/>
            <w:shd w:val="clear" w:color="auto" w:fill="D9D9D9"/>
          </w:tcPr>
          <w:p>
            <w:pPr>
              <w:jc w:val="center"/>
              <w:spacing w:after="0" w:line="163" w:lineRule="exact"/>
              <w:rPr>
                <w:sz w:val="20"/>
                <w:szCs w:val="20"/>
                <w:color w:val="auto"/>
              </w:rPr>
            </w:pPr>
            <w:r>
              <w:rPr>
                <w:rFonts w:ascii="Arial" w:cs="Arial" w:eastAsia="Arial" w:hAnsi="Arial"/>
                <w:sz w:val="17"/>
                <w:szCs w:val="17"/>
                <w:color w:val="auto"/>
                <w:w w:val="98"/>
              </w:rPr>
              <w:t>Equal to index</w:t>
            </w:r>
          </w:p>
        </w:tc>
        <w:tc>
          <w:tcPr>
            <w:tcW w:w="1540" w:type="dxa"/>
            <w:vAlign w:val="bottom"/>
            <w:shd w:val="clear" w:color="auto" w:fill="D9D9D9"/>
          </w:tcPr>
          <w:p>
            <w:pPr>
              <w:jc w:val="center"/>
              <w:ind w:left="21"/>
              <w:spacing w:after="0" w:line="163" w:lineRule="exact"/>
              <w:rPr>
                <w:sz w:val="20"/>
                <w:szCs w:val="20"/>
                <w:color w:val="auto"/>
              </w:rPr>
            </w:pPr>
            <w:r>
              <w:rPr>
                <w:rFonts w:ascii="Arial" w:cs="Arial" w:eastAsia="Arial" w:hAnsi="Arial"/>
                <w:sz w:val="17"/>
                <w:szCs w:val="17"/>
                <w:color w:val="auto"/>
                <w:w w:val="98"/>
              </w:rPr>
              <w:t>15 pts above</w:t>
            </w:r>
          </w:p>
        </w:tc>
        <w:tc>
          <w:tcPr>
            <w:tcW w:w="1520" w:type="dxa"/>
            <w:vAlign w:val="bottom"/>
            <w:shd w:val="clear" w:color="auto" w:fill="D9D9D9"/>
          </w:tcPr>
          <w:p>
            <w:pPr>
              <w:jc w:val="center"/>
              <w:spacing w:after="0" w:line="163" w:lineRule="exact"/>
              <w:rPr>
                <w:sz w:val="20"/>
                <w:szCs w:val="20"/>
                <w:color w:val="auto"/>
              </w:rPr>
            </w:pPr>
            <w:r>
              <w:rPr>
                <w:rFonts w:ascii="Arial" w:cs="Arial" w:eastAsia="Arial" w:hAnsi="Arial"/>
                <w:sz w:val="17"/>
                <w:szCs w:val="17"/>
                <w:color w:val="auto"/>
                <w:w w:val="96"/>
              </w:rPr>
              <w:t>24.5 pts above</w:t>
            </w:r>
          </w:p>
        </w:tc>
        <w:tc>
          <w:tcPr>
            <w:tcW w:w="1040" w:type="dxa"/>
            <w:vAlign w:val="bottom"/>
            <w:vMerge w:val="restart"/>
            <w:shd w:val="clear" w:color="auto" w:fill="D9D9D9"/>
          </w:tcPr>
          <w:p>
            <w:pPr>
              <w:jc w:val="center"/>
              <w:ind w:left="88"/>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121"/>
        </w:trPr>
        <w:tc>
          <w:tcPr>
            <w:tcW w:w="1840" w:type="dxa"/>
            <w:vAlign w:val="bottom"/>
            <w:vMerge w:val="continue"/>
            <w:shd w:val="clear" w:color="auto" w:fill="D9D9D9"/>
          </w:tcPr>
          <w:p>
            <w:pPr>
              <w:spacing w:after="0"/>
              <w:rPr>
                <w:sz w:val="10"/>
                <w:szCs w:val="10"/>
                <w:color w:val="auto"/>
              </w:rPr>
            </w:pPr>
          </w:p>
        </w:tc>
        <w:tc>
          <w:tcPr>
            <w:tcW w:w="1560" w:type="dxa"/>
            <w:vAlign w:val="bottom"/>
            <w:vMerge w:val="restart"/>
            <w:shd w:val="clear" w:color="auto" w:fill="D9D9D9"/>
          </w:tcPr>
          <w:p>
            <w:pPr>
              <w:jc w:val="center"/>
              <w:ind w:right="1"/>
              <w:spacing w:after="0"/>
              <w:rPr>
                <w:sz w:val="20"/>
                <w:szCs w:val="20"/>
                <w:color w:val="auto"/>
              </w:rPr>
            </w:pPr>
            <w:r>
              <w:rPr>
                <w:rFonts w:ascii="Arial" w:cs="Arial" w:eastAsia="Arial" w:hAnsi="Arial"/>
                <w:sz w:val="17"/>
                <w:szCs w:val="17"/>
                <w:color w:val="auto"/>
                <w:w w:val="98"/>
              </w:rPr>
              <w:t>index</w:t>
            </w:r>
          </w:p>
        </w:tc>
        <w:tc>
          <w:tcPr>
            <w:tcW w:w="176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8"/>
              </w:rPr>
              <w:t>performance</w:t>
            </w:r>
          </w:p>
        </w:tc>
        <w:tc>
          <w:tcPr>
            <w:tcW w:w="1540" w:type="dxa"/>
            <w:vAlign w:val="bottom"/>
            <w:vMerge w:val="restart"/>
            <w:shd w:val="clear" w:color="auto" w:fill="D9D9D9"/>
          </w:tcPr>
          <w:p>
            <w:pPr>
              <w:jc w:val="center"/>
              <w:ind w:left="21"/>
              <w:spacing w:after="0"/>
              <w:rPr>
                <w:sz w:val="20"/>
                <w:szCs w:val="20"/>
                <w:color w:val="auto"/>
              </w:rPr>
            </w:pPr>
            <w:r>
              <w:rPr>
                <w:rFonts w:ascii="Arial" w:cs="Arial" w:eastAsia="Arial" w:hAnsi="Arial"/>
                <w:sz w:val="17"/>
                <w:szCs w:val="17"/>
                <w:color w:val="auto"/>
                <w:w w:val="98"/>
              </w:rPr>
              <w:t>index</w:t>
            </w:r>
          </w:p>
        </w:tc>
        <w:tc>
          <w:tcPr>
            <w:tcW w:w="1520" w:type="dxa"/>
            <w:vAlign w:val="bottom"/>
            <w:vMerge w:val="restart"/>
            <w:shd w:val="clear" w:color="auto" w:fill="D9D9D9"/>
          </w:tcPr>
          <w:p>
            <w:pPr>
              <w:jc w:val="center"/>
              <w:spacing w:after="0"/>
              <w:rPr>
                <w:sz w:val="20"/>
                <w:szCs w:val="20"/>
                <w:color w:val="auto"/>
              </w:rPr>
            </w:pPr>
            <w:r>
              <w:rPr>
                <w:rFonts w:ascii="Arial" w:cs="Arial" w:eastAsia="Arial" w:hAnsi="Arial"/>
                <w:sz w:val="17"/>
                <w:szCs w:val="17"/>
                <w:color w:val="auto"/>
                <w:w w:val="98"/>
              </w:rPr>
              <w:t>index</w:t>
            </w:r>
          </w:p>
        </w:tc>
        <w:tc>
          <w:tcPr>
            <w:tcW w:w="104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840" w:type="dxa"/>
            <w:vAlign w:val="bottom"/>
            <w:tcBorders>
              <w:bottom w:val="single" w:sz="8" w:color="071D49"/>
            </w:tcBorders>
            <w:shd w:val="clear" w:color="auto" w:fill="D9D9D9"/>
          </w:tcPr>
          <w:p>
            <w:pPr>
              <w:spacing w:after="0"/>
              <w:rPr>
                <w:sz w:val="7"/>
                <w:szCs w:val="7"/>
                <w:color w:val="auto"/>
              </w:rPr>
            </w:pPr>
          </w:p>
        </w:tc>
        <w:tc>
          <w:tcPr>
            <w:tcW w:w="1560" w:type="dxa"/>
            <w:vAlign w:val="bottom"/>
            <w:tcBorders>
              <w:bottom w:val="single" w:sz="8" w:color="071D49"/>
            </w:tcBorders>
            <w:vMerge w:val="continue"/>
            <w:shd w:val="clear" w:color="auto" w:fill="D9D9D9"/>
          </w:tcPr>
          <w:p>
            <w:pPr>
              <w:spacing w:after="0"/>
              <w:rPr>
                <w:sz w:val="7"/>
                <w:szCs w:val="7"/>
                <w:color w:val="auto"/>
              </w:rPr>
            </w:pPr>
          </w:p>
        </w:tc>
        <w:tc>
          <w:tcPr>
            <w:tcW w:w="1760" w:type="dxa"/>
            <w:vAlign w:val="bottom"/>
            <w:tcBorders>
              <w:bottom w:val="single" w:sz="8" w:color="071D49"/>
            </w:tcBorders>
            <w:vMerge w:val="continue"/>
            <w:shd w:val="clear" w:color="auto" w:fill="D9D9D9"/>
          </w:tcPr>
          <w:p>
            <w:pPr>
              <w:spacing w:after="0"/>
              <w:rPr>
                <w:sz w:val="7"/>
                <w:szCs w:val="7"/>
                <w:color w:val="auto"/>
              </w:rPr>
            </w:pPr>
          </w:p>
        </w:tc>
        <w:tc>
          <w:tcPr>
            <w:tcW w:w="1540" w:type="dxa"/>
            <w:vAlign w:val="bottom"/>
            <w:tcBorders>
              <w:bottom w:val="single" w:sz="8" w:color="071D49"/>
            </w:tcBorders>
            <w:vMerge w:val="continue"/>
            <w:shd w:val="clear" w:color="auto" w:fill="D9D9D9"/>
          </w:tcPr>
          <w:p>
            <w:pPr>
              <w:spacing w:after="0"/>
              <w:rPr>
                <w:sz w:val="7"/>
                <w:szCs w:val="7"/>
                <w:color w:val="auto"/>
              </w:rPr>
            </w:pPr>
          </w:p>
        </w:tc>
        <w:tc>
          <w:tcPr>
            <w:tcW w:w="1520" w:type="dxa"/>
            <w:vAlign w:val="bottom"/>
            <w:tcBorders>
              <w:bottom w:val="single" w:sz="8" w:color="071D49"/>
            </w:tcBorders>
            <w:vMerge w:val="continue"/>
            <w:shd w:val="clear" w:color="auto" w:fill="D9D9D9"/>
          </w:tcPr>
          <w:p>
            <w:pPr>
              <w:spacing w:after="0"/>
              <w:rPr>
                <w:sz w:val="7"/>
                <w:szCs w:val="7"/>
                <w:color w:val="auto"/>
              </w:rPr>
            </w:pPr>
          </w:p>
        </w:tc>
        <w:tc>
          <w:tcPr>
            <w:tcW w:w="1040" w:type="dxa"/>
            <w:vAlign w:val="bottom"/>
            <w:tcBorders>
              <w:bottom w:val="single" w:sz="8" w:color="071D49"/>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tcPr>
          <w:p>
            <w:pPr>
              <w:ind w:left="120"/>
              <w:spacing w:after="0" w:line="180" w:lineRule="exact"/>
              <w:rPr>
                <w:sz w:val="20"/>
                <w:szCs w:val="20"/>
                <w:color w:val="auto"/>
              </w:rPr>
            </w:pPr>
            <w:r>
              <w:rPr>
                <w:rFonts w:ascii="Arial" w:cs="Arial" w:eastAsia="Arial" w:hAnsi="Arial"/>
                <w:sz w:val="17"/>
                <w:szCs w:val="17"/>
                <w:color w:val="auto"/>
              </w:rPr>
              <w:t>Payout Modification</w:t>
            </w:r>
          </w:p>
        </w:tc>
        <w:tc>
          <w:tcPr>
            <w:tcW w:w="1560" w:type="dxa"/>
            <w:vAlign w:val="bottom"/>
            <w:tcBorders>
              <w:bottom w:val="single" w:sz="8" w:color="auto"/>
            </w:tcBorders>
          </w:tcPr>
          <w:p>
            <w:pPr>
              <w:jc w:val="center"/>
              <w:ind w:right="1"/>
              <w:spacing w:after="0" w:line="180" w:lineRule="exact"/>
              <w:rPr>
                <w:sz w:val="20"/>
                <w:szCs w:val="20"/>
                <w:color w:val="auto"/>
              </w:rPr>
            </w:pPr>
            <w:r>
              <w:rPr>
                <w:rFonts w:ascii="Arial" w:cs="Arial" w:eastAsia="Arial" w:hAnsi="Arial"/>
                <w:sz w:val="17"/>
                <w:szCs w:val="17"/>
                <w:color w:val="auto"/>
              </w:rPr>
              <w:t>-25%</w:t>
            </w:r>
          </w:p>
        </w:tc>
        <w:tc>
          <w:tcPr>
            <w:tcW w:w="176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0%</w:t>
            </w:r>
          </w:p>
        </w:tc>
        <w:tc>
          <w:tcPr>
            <w:tcW w:w="1540" w:type="dxa"/>
            <w:vAlign w:val="bottom"/>
            <w:tcBorders>
              <w:bottom w:val="single" w:sz="8" w:color="auto"/>
            </w:tcBorders>
          </w:tcPr>
          <w:p>
            <w:pPr>
              <w:jc w:val="center"/>
              <w:ind w:left="41"/>
              <w:spacing w:after="0" w:line="180" w:lineRule="exact"/>
              <w:rPr>
                <w:sz w:val="20"/>
                <w:szCs w:val="20"/>
                <w:color w:val="auto"/>
              </w:rPr>
            </w:pPr>
            <w:r>
              <w:rPr>
                <w:rFonts w:ascii="Arial" w:cs="Arial" w:eastAsia="Arial" w:hAnsi="Arial"/>
                <w:sz w:val="17"/>
                <w:szCs w:val="17"/>
                <w:color w:val="auto"/>
                <w:w w:val="95"/>
              </w:rPr>
              <w:t>+25%</w:t>
            </w:r>
          </w:p>
        </w:tc>
        <w:tc>
          <w:tcPr>
            <w:tcW w:w="1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0" w:right="260"/>
        <w:spacing w:after="0" w:line="261" w:lineRule="auto"/>
        <w:rPr>
          <w:sz w:val="20"/>
          <w:szCs w:val="20"/>
          <w:color w:val="auto"/>
        </w:rPr>
      </w:pPr>
      <w:r>
        <w:rPr>
          <w:rFonts w:ascii="Arial" w:cs="Arial" w:eastAsia="Arial" w:hAnsi="Arial"/>
          <w:sz w:val="17"/>
          <w:szCs w:val="17"/>
          <w:color w:val="auto"/>
        </w:rPr>
        <w:t>AbbVie’s policy with respect to its annual equity award for all eligible employees, including the NEOs, is to grant the award and set the grant price at the compensation committee’s regularly scheduled February meeting each year.</w:t>
      </w:r>
    </w:p>
    <w:p>
      <w:pPr>
        <w:spacing w:after="0" w:line="150"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These meeting dates generally are the third Thursday of February and are scheduled two years in advance. The grant price is the average of the highest and lowest trading prices of a common share on the date of the grant (rounded up to the next even penny). The grant price for the 2023 annual grant was $149.62. The high, low and closing prices of an AbbVie common share on the grant date (February 16, 2023) were $150.50, $148.73, and $149.53 respectively. All LTI awards are subject to a minimum vesting period of 12 months.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BENEFITS</w:t>
      </w:r>
    </w:p>
    <w:p>
      <w:pPr>
        <w:spacing w:after="0" w:line="92" w:lineRule="exact"/>
        <w:rPr>
          <w:sz w:val="20"/>
          <w:szCs w:val="20"/>
          <w:color w:val="auto"/>
        </w:rPr>
      </w:pPr>
    </w:p>
    <w:p>
      <w:pPr>
        <w:ind w:left="20" w:right="80"/>
        <w:spacing w:after="0" w:line="246" w:lineRule="auto"/>
        <w:rPr>
          <w:sz w:val="20"/>
          <w:szCs w:val="20"/>
          <w:color w:val="auto"/>
        </w:rPr>
      </w:pPr>
      <w:r>
        <w:rPr>
          <w:rFonts w:ascii="Arial" w:cs="Arial" w:eastAsia="Arial" w:hAnsi="Arial"/>
          <w:sz w:val="17"/>
          <w:szCs w:val="17"/>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162" w:lineRule="exact"/>
        <w:rPr>
          <w:sz w:val="20"/>
          <w:szCs w:val="20"/>
          <w:color w:val="auto"/>
        </w:rPr>
      </w:pPr>
    </w:p>
    <w:p>
      <w:pPr>
        <w:ind w:left="20" w:right="520"/>
        <w:spacing w:after="0" w:line="261" w:lineRule="auto"/>
        <w:rPr>
          <w:sz w:val="20"/>
          <w:szCs w:val="20"/>
          <w:color w:val="auto"/>
        </w:rPr>
      </w:pPr>
      <w:r>
        <w:rPr>
          <w:rFonts w:ascii="Arial" w:cs="Arial" w:eastAsia="Arial" w:hAnsi="Arial"/>
          <w:sz w:val="17"/>
          <w:szCs w:val="17"/>
          <w:color w:val="auto"/>
        </w:rPr>
        <w:t>Each of the benefits described below supports the company’s objective of providing a market competitive total rewards program. Individual benefits do not directly affect decisions regarding other benefits or pay components,</w:t>
      </w:r>
    </w:p>
    <w:p>
      <w:pPr>
        <w:spacing w:after="0" w:line="342"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48</w:t>
      </w:r>
      <w:r>
        <w:rPr>
          <w:sz w:val="20"/>
          <w:szCs w:val="20"/>
          <w:color w:val="auto"/>
        </w:rPr>
        <w:tab/>
      </w:r>
      <w:r>
        <w:rPr>
          <w:sz w:val="1"/>
          <w:szCs w:val="1"/>
          <w:color w:val="auto"/>
        </w:rPr>
        <w:drawing>
          <wp:inline distT="0" distB="0" distL="0" distR="0">
            <wp:extent cx="810260" cy="15113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0"/>
          </w:cols>
          <w:pgMar w:left="1300" w:top="486" w:right="1339" w:bottom="1440" w:gutter="0" w:footer="0" w:header="0"/>
        </w:sectPr>
      </w:pPr>
    </w:p>
    <w:bookmarkStart w:id="51" w:name="page52"/>
    <w:bookmarkEnd w:id="5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except to the extent that all benefits and pay components must, in aggregate, be competitive, as previously discussed.</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Retirement Benefits</w:t>
      </w:r>
    </w:p>
    <w:p>
      <w:pPr>
        <w:spacing w:after="0" w:line="105" w:lineRule="exact"/>
        <w:rPr>
          <w:sz w:val="20"/>
          <w:szCs w:val="20"/>
          <w:color w:val="auto"/>
        </w:rPr>
      </w:pPr>
    </w:p>
    <w:p>
      <w:pPr>
        <w:ind w:left="20" w:right="260"/>
        <w:spacing w:after="0" w:line="246" w:lineRule="auto"/>
        <w:rPr>
          <w:sz w:val="20"/>
          <w:szCs w:val="20"/>
          <w:color w:val="auto"/>
        </w:rPr>
      </w:pPr>
      <w:r>
        <w:rPr>
          <w:rFonts w:ascii="Arial" w:cs="Arial" w:eastAsia="Arial" w:hAnsi="Arial"/>
          <w:sz w:val="17"/>
          <w:szCs w:val="17"/>
          <w:color w:val="auto"/>
        </w:rPr>
        <w:t>The NEOs and other eligible U.S. employees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162" w:lineRule="exact"/>
        <w:rPr>
          <w:sz w:val="20"/>
          <w:szCs w:val="20"/>
          <w:color w:val="auto"/>
        </w:rPr>
      </w:pPr>
    </w:p>
    <w:p>
      <w:pPr>
        <w:ind w:left="20" w:right="180"/>
        <w:spacing w:after="0" w:line="236" w:lineRule="auto"/>
        <w:rPr>
          <w:sz w:val="20"/>
          <w:szCs w:val="20"/>
          <w:color w:val="auto"/>
        </w:rPr>
      </w:pPr>
      <w:r>
        <w:rPr>
          <w:rFonts w:ascii="Arial" w:cs="Arial" w:eastAsia="Arial" w:hAnsi="Arial"/>
          <w:sz w:val="17"/>
          <w:szCs w:val="17"/>
          <w:color w:val="auto"/>
        </w:rPr>
        <w:t>The Supplemental Pension Plan is a non-qualified defined benefit plan that cannot be secured in a manner similar to a qualified plan, for which assets are held in trust, so eligible NEOs receive an annual cash payment equal to the increase in the present value of their Supplemental Pension Plan benefit. Eligible NEOs have the option of depositing the annual payment into an individually established grantor trust, net of tax withholdings. Deposited amounts may be credited with the difference between the NEO’s actual annual trust earnings and the rate used to calculate trust funding (currently 8 percent). Amounts deposited in the individual trusts are not tax-deferred and the NEOs personally pay the taxes on those amounts without gross-ups.</w:t>
      </w:r>
    </w:p>
    <w:p>
      <w:pPr>
        <w:spacing w:after="0" w:line="143" w:lineRule="exact"/>
        <w:rPr>
          <w:sz w:val="20"/>
          <w:szCs w:val="20"/>
          <w:color w:val="auto"/>
        </w:rPr>
      </w:pPr>
    </w:p>
    <w:p>
      <w:pPr>
        <w:ind w:left="20" w:right="100"/>
        <w:spacing w:after="0" w:line="238" w:lineRule="auto"/>
        <w:rPr>
          <w:sz w:val="20"/>
          <w:szCs w:val="20"/>
          <w:color w:val="auto"/>
        </w:rPr>
      </w:pPr>
      <w:r>
        <w:rPr>
          <w:rFonts w:ascii="Arial" w:cs="Arial" w:eastAsia="Arial" w:hAnsi="Arial"/>
          <w:sz w:val="17"/>
          <w:szCs w:val="17"/>
          <w:color w:val="auto"/>
        </w:rPr>
        <w:t>The manner in which the grantor trust assets are to be distributed to an NEO upon retirement from the company generally follows the distribution method elected by the NEO under the AbbVie Pension Plan. If an NEO (or the NEO’s surviving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will be paid to the NEO (or their surviving spouse) by AbbVie.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Savings Plans</w:t>
      </w:r>
    </w:p>
    <w:p>
      <w:pPr>
        <w:spacing w:after="0" w:line="105" w:lineRule="exact"/>
        <w:rPr>
          <w:sz w:val="20"/>
          <w:szCs w:val="20"/>
          <w:color w:val="auto"/>
        </w:rPr>
      </w:pPr>
    </w:p>
    <w:p>
      <w:pPr>
        <w:ind w:left="20" w:right="60"/>
        <w:spacing w:after="0" w:line="236" w:lineRule="auto"/>
        <w:rPr>
          <w:sz w:val="20"/>
          <w:szCs w:val="20"/>
          <w:color w:val="auto"/>
        </w:rPr>
      </w:pPr>
      <w:r>
        <w:rPr>
          <w:rFonts w:ascii="Arial" w:cs="Arial" w:eastAsia="Arial" w:hAnsi="Arial"/>
          <w:sz w:val="17"/>
          <w:szCs w:val="17"/>
          <w:color w:val="auto"/>
        </w:rPr>
        <w:t>The NEOs and other eligible U.S. employees are permitted to defer a portion of their annual base salary under the AbbVie Savings Plan, the company’s principal qualified defined contribution plan, up to the IRS contribution limits. Eligible NEOs also may defer up to 18 percent of their base salary, less contributions to the AbbVie Savings Plan, to the AbbVie Supplemental Savings Plan, which is a non-qualified defined contribution plan. Eligible NEOs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spacing w:after="0" w:line="68" w:lineRule="exact"/>
        <w:rPr>
          <w:sz w:val="20"/>
          <w:szCs w:val="20"/>
          <w:color w:val="auto"/>
        </w:rPr>
      </w:pPr>
    </w:p>
    <w:p>
      <w:pPr>
        <w:ind w:left="20" w:right="140"/>
        <w:spacing w:after="0" w:line="246" w:lineRule="auto"/>
        <w:rPr>
          <w:sz w:val="20"/>
          <w:szCs w:val="20"/>
          <w:color w:val="auto"/>
        </w:rPr>
      </w:pPr>
      <w:r>
        <w:rPr>
          <w:rFonts w:ascii="Arial" w:cs="Arial" w:eastAsia="Arial" w:hAnsi="Arial"/>
          <w:sz w:val="17"/>
          <w:szCs w:val="17"/>
          <w:color w:val="auto"/>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Financial Planning</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NEOs are paid an annual stipend of $10,000 for estate planning advice, tax preparation and general financial planning fees.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stipend is income to the NEO, who is responsible for payment of all resulting taxes without gross-ups.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Company-Provided Transportation</w:t>
      </w:r>
    </w:p>
    <w:p>
      <w:pPr>
        <w:spacing w:after="0" w:line="105" w:lineRule="exact"/>
        <w:rPr>
          <w:sz w:val="20"/>
          <w:szCs w:val="20"/>
          <w:color w:val="auto"/>
        </w:rPr>
      </w:pPr>
    </w:p>
    <w:p>
      <w:pPr>
        <w:ind w:left="20" w:right="300"/>
        <w:spacing w:after="0" w:line="238" w:lineRule="auto"/>
        <w:rPr>
          <w:sz w:val="20"/>
          <w:szCs w:val="20"/>
          <w:color w:val="auto"/>
        </w:rPr>
      </w:pPr>
      <w:r>
        <w:rPr>
          <w:rFonts w:ascii="Arial" w:cs="Arial" w:eastAsia="Arial" w:hAnsi="Arial"/>
          <w:sz w:val="17"/>
          <w:szCs w:val="17"/>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 total compensation and treated as taxable income to them under applicable tax laws. The NEOs pay the taxes on such income without gross-ups.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52" w:name="page53"/>
    <w:bookmarkEnd w:id="52"/>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EXECUTIVE COMPENSATION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Disability Benefits</w:t>
      </w:r>
    </w:p>
    <w:p>
      <w:pPr>
        <w:spacing w:after="0" w:line="105" w:lineRule="exact"/>
        <w:rPr>
          <w:sz w:val="20"/>
          <w:szCs w:val="20"/>
          <w:color w:val="auto"/>
        </w:rPr>
      </w:pPr>
    </w:p>
    <w:p>
      <w:pPr>
        <w:ind w:left="20" w:right="520"/>
        <w:spacing w:after="0" w:line="261" w:lineRule="auto"/>
        <w:rPr>
          <w:sz w:val="20"/>
          <w:szCs w:val="20"/>
          <w:color w:val="auto"/>
        </w:rPr>
      </w:pPr>
      <w:r>
        <w:rPr>
          <w:rFonts w:ascii="Arial" w:cs="Arial" w:eastAsia="Arial" w:hAnsi="Arial"/>
          <w:sz w:val="17"/>
          <w:szCs w:val="17"/>
          <w:color w:val="auto"/>
        </w:rPr>
        <w:t>In addition to AbbVie’s standard disability benefits, NEOs are eligible for a monthly long-term disability benefit, which is described on page 70 of this proxy statement.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EMPLOYMENT AGREEMENTS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AbbVie does not have employment agreements with any of its NEOs.</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CHANGE IN CONTROL AGREEMENTS</w:t>
      </w:r>
    </w:p>
    <w:p>
      <w:pPr>
        <w:spacing w:after="0" w:line="92" w:lineRule="exact"/>
        <w:rPr>
          <w:sz w:val="20"/>
          <w:szCs w:val="20"/>
          <w:color w:val="auto"/>
        </w:rPr>
      </w:pPr>
    </w:p>
    <w:p>
      <w:pPr>
        <w:ind w:left="20"/>
        <w:spacing w:after="0" w:line="268" w:lineRule="auto"/>
        <w:rPr>
          <w:sz w:val="20"/>
          <w:szCs w:val="20"/>
          <w:color w:val="auto"/>
        </w:rPr>
      </w:pPr>
      <w:r>
        <w:rPr>
          <w:rFonts w:ascii="Arial" w:cs="Arial" w:eastAsia="Arial" w:hAnsi="Arial"/>
          <w:sz w:val="16"/>
          <w:szCs w:val="16"/>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147" w:lineRule="exact"/>
        <w:rPr>
          <w:sz w:val="20"/>
          <w:szCs w:val="20"/>
          <w:color w:val="auto"/>
        </w:rPr>
      </w:pPr>
    </w:p>
    <w:p>
      <w:pPr>
        <w:ind w:left="20" w:right="140"/>
        <w:spacing w:after="0"/>
        <w:rPr>
          <w:sz w:val="20"/>
          <w:szCs w:val="20"/>
          <w:color w:val="auto"/>
        </w:rPr>
      </w:pPr>
      <w:r>
        <w:rPr>
          <w:rFonts w:ascii="Arial" w:cs="Arial" w:eastAsia="Arial" w:hAnsi="Arial"/>
          <w:sz w:val="17"/>
          <w:szCs w:val="17"/>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they are entitled to receive certain pay and benefits as described in the section of this proxy statement captioned “Potential Payments upon Termination or Change in Control.”</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EXCISE TAX GROSS-UPS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AbbVie does not provide excise tax gross-ups on NEO severance or other payments in connection with a change in control.</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Other Matters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STOCK OWNERSHIP GUIDELINES</w:t>
      </w:r>
    </w:p>
    <w:p>
      <w:pPr>
        <w:spacing w:after="0" w:line="92" w:lineRule="exact"/>
        <w:rPr>
          <w:sz w:val="20"/>
          <w:szCs w:val="20"/>
          <w:color w:val="auto"/>
        </w:rPr>
      </w:pPr>
    </w:p>
    <w:p>
      <w:pPr>
        <w:ind w:left="20" w:right="120"/>
        <w:spacing w:after="0" w:line="256" w:lineRule="auto"/>
        <w:rPr>
          <w:sz w:val="20"/>
          <w:szCs w:val="20"/>
          <w:color w:val="auto"/>
        </w:rPr>
      </w:pPr>
      <w:r>
        <w:rPr>
          <w:rFonts w:ascii="Arial" w:cs="Arial" w:eastAsia="Arial" w:hAnsi="Arial"/>
          <w:sz w:val="16"/>
          <w:szCs w:val="16"/>
          <w:color w:val="auto"/>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their position to achieve the ownership level associated with their position. NEOs are not allowed to sell stock, except for tax withholding at vesting or exercise, if they do not satisfy the minimum stock ownership requirement. The minimum stock ownership guidelines for the CEO and other NEOs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tcBorders>
              <w:top w:val="single" w:sz="8" w:color="071D49"/>
              <w:bottom w:val="single" w:sz="8" w:color="071D49"/>
            </w:tcBorders>
          </w:tcPr>
          <w:p>
            <w:pPr>
              <w:ind w:left="20"/>
              <w:spacing w:after="0"/>
              <w:rPr>
                <w:sz w:val="20"/>
                <w:szCs w:val="20"/>
                <w:color w:val="auto"/>
              </w:rPr>
            </w:pPr>
            <w:r>
              <w:rPr>
                <w:rFonts w:ascii="Arial" w:cs="Arial" w:eastAsia="Arial" w:hAnsi="Arial"/>
                <w:sz w:val="17"/>
                <w:szCs w:val="17"/>
                <w:b w:val="1"/>
                <w:bCs w:val="1"/>
                <w:color w:val="071D49"/>
              </w:rPr>
              <w:t>Executive</w:t>
            </w:r>
          </w:p>
        </w:tc>
        <w:tc>
          <w:tcPr>
            <w:tcW w:w="4260" w:type="dxa"/>
            <w:vAlign w:val="bottom"/>
            <w:tcBorders>
              <w:top w:val="single" w:sz="8" w:color="071D49"/>
              <w:bottom w:val="single" w:sz="8" w:color="071D49"/>
            </w:tcBorders>
          </w:tcPr>
          <w:p>
            <w:pPr>
              <w:ind w:left="1600"/>
              <w:spacing w:after="0"/>
              <w:rPr>
                <w:sz w:val="20"/>
                <w:szCs w:val="20"/>
                <w:color w:val="auto"/>
              </w:rPr>
            </w:pPr>
            <w:r>
              <w:rPr>
                <w:rFonts w:ascii="Arial" w:cs="Arial" w:eastAsia="Arial" w:hAnsi="Arial"/>
                <w:sz w:val="17"/>
                <w:szCs w:val="17"/>
                <w:b w:val="1"/>
                <w:bCs w:val="1"/>
                <w:color w:val="071D49"/>
              </w:rPr>
              <w:t>Stock Ownership Requirement</w:t>
            </w:r>
          </w:p>
        </w:tc>
        <w:tc>
          <w:tcPr>
            <w:tcW w:w="1820" w:type="dxa"/>
            <w:vAlign w:val="bottom"/>
            <w:tcBorders>
              <w:top w:val="single" w:sz="8" w:color="071D49"/>
              <w:bottom w:val="single" w:sz="8" w:color="071D49"/>
            </w:tcBorders>
          </w:tcPr>
          <w:p>
            <w:pPr>
              <w:ind w:left="220"/>
              <w:spacing w:after="0"/>
              <w:rPr>
                <w:sz w:val="20"/>
                <w:szCs w:val="20"/>
                <w:color w:val="auto"/>
              </w:rPr>
            </w:pPr>
            <w:r>
              <w:rPr>
                <w:rFonts w:ascii="Arial" w:cs="Arial" w:eastAsia="Arial" w:hAnsi="Arial"/>
                <w:sz w:val="17"/>
                <w:szCs w:val="17"/>
                <w:b w:val="1"/>
                <w:bCs w:val="1"/>
                <w:color w:val="071D49"/>
              </w:rPr>
              <w:t>Requirement Met?</w:t>
            </w:r>
          </w:p>
        </w:tc>
      </w:tr>
      <w:tr>
        <w:trPr>
          <w:trHeight w:val="180"/>
        </w:trPr>
        <w:tc>
          <w:tcPr>
            <w:tcW w:w="3180" w:type="dxa"/>
            <w:vAlign w:val="bottom"/>
            <w:shd w:val="clear" w:color="auto" w:fill="D9D9D9"/>
          </w:tcPr>
          <w:p>
            <w:pPr>
              <w:ind w:left="20"/>
              <w:spacing w:after="0" w:line="180" w:lineRule="exact"/>
              <w:rPr>
                <w:sz w:val="20"/>
                <w:szCs w:val="20"/>
                <w:color w:val="auto"/>
              </w:rPr>
            </w:pPr>
            <w:r>
              <w:rPr>
                <w:rFonts w:ascii="Arial" w:cs="Arial" w:eastAsia="Arial" w:hAnsi="Arial"/>
                <w:sz w:val="17"/>
                <w:szCs w:val="17"/>
                <w:color w:val="auto"/>
              </w:rPr>
              <w:t>Richard A. Gonzalez</w:t>
            </w:r>
          </w:p>
        </w:tc>
        <w:tc>
          <w:tcPr>
            <w:tcW w:w="4260" w:type="dxa"/>
            <w:vAlign w:val="bottom"/>
            <w:shd w:val="clear" w:color="auto" w:fill="D9D9D9"/>
          </w:tcPr>
          <w:p>
            <w:pPr>
              <w:ind w:left="2380"/>
              <w:spacing w:after="0" w:line="180" w:lineRule="exact"/>
              <w:rPr>
                <w:sz w:val="20"/>
                <w:szCs w:val="20"/>
                <w:color w:val="auto"/>
              </w:rPr>
            </w:pPr>
            <w:r>
              <w:rPr>
                <w:rFonts w:ascii="Arial" w:cs="Arial" w:eastAsia="Arial" w:hAnsi="Arial"/>
                <w:sz w:val="17"/>
                <w:szCs w:val="17"/>
                <w:color w:val="auto"/>
              </w:rPr>
              <w:t>6x Base Salary</w:t>
            </w:r>
          </w:p>
        </w:tc>
        <w:tc>
          <w:tcPr>
            <w:tcW w:w="1820" w:type="dxa"/>
            <w:vAlign w:val="bottom"/>
            <w:shd w:val="clear" w:color="auto" w:fill="D9D9D9"/>
          </w:tcPr>
          <w:p>
            <w:pPr>
              <w:ind w:left="880"/>
              <w:spacing w:after="0" w:line="180" w:lineRule="exact"/>
              <w:rPr>
                <w:sz w:val="20"/>
                <w:szCs w:val="20"/>
                <w:color w:val="auto"/>
              </w:rPr>
            </w:pPr>
            <w:r>
              <w:rPr>
                <w:rFonts w:ascii="Arial" w:cs="Arial" w:eastAsia="Arial" w:hAnsi="Arial"/>
                <w:sz w:val="17"/>
                <w:szCs w:val="17"/>
                <w:color w:val="auto"/>
              </w:rPr>
              <w:t>Yes</w:t>
            </w:r>
          </w:p>
        </w:tc>
      </w:tr>
      <w:tr>
        <w:trPr>
          <w:trHeight w:val="188"/>
        </w:trPr>
        <w:tc>
          <w:tcPr>
            <w:tcW w:w="3180" w:type="dxa"/>
            <w:vAlign w:val="bottom"/>
          </w:tcPr>
          <w:p>
            <w:pPr>
              <w:ind w:left="20"/>
              <w:spacing w:after="0" w:line="188" w:lineRule="exact"/>
              <w:rPr>
                <w:sz w:val="20"/>
                <w:szCs w:val="20"/>
                <w:color w:val="auto"/>
              </w:rPr>
            </w:pPr>
            <w:r>
              <w:rPr>
                <w:rFonts w:ascii="Arial" w:cs="Arial" w:eastAsia="Arial" w:hAnsi="Arial"/>
                <w:sz w:val="17"/>
                <w:szCs w:val="17"/>
                <w:color w:val="auto"/>
              </w:rPr>
              <w:t>Robert A. Michael</w:t>
            </w:r>
          </w:p>
        </w:tc>
        <w:tc>
          <w:tcPr>
            <w:tcW w:w="4260" w:type="dxa"/>
            <w:vAlign w:val="bottom"/>
          </w:tcPr>
          <w:p>
            <w:pPr>
              <w:ind w:left="2380"/>
              <w:spacing w:after="0" w:line="188" w:lineRule="exact"/>
              <w:rPr>
                <w:sz w:val="20"/>
                <w:szCs w:val="20"/>
                <w:color w:val="auto"/>
              </w:rPr>
            </w:pPr>
            <w:r>
              <w:rPr>
                <w:rFonts w:ascii="Arial" w:cs="Arial" w:eastAsia="Arial" w:hAnsi="Arial"/>
                <w:sz w:val="17"/>
                <w:szCs w:val="17"/>
                <w:color w:val="auto"/>
              </w:rPr>
              <w:t>3x Base Salary</w:t>
            </w:r>
          </w:p>
        </w:tc>
        <w:tc>
          <w:tcPr>
            <w:tcW w:w="1820" w:type="dxa"/>
            <w:vAlign w:val="bottom"/>
          </w:tcPr>
          <w:p>
            <w:pPr>
              <w:ind w:left="880"/>
              <w:spacing w:after="0" w:line="188" w:lineRule="exact"/>
              <w:rPr>
                <w:sz w:val="20"/>
                <w:szCs w:val="20"/>
                <w:color w:val="auto"/>
              </w:rPr>
            </w:pPr>
            <w:r>
              <w:rPr>
                <w:rFonts w:ascii="Arial" w:cs="Arial" w:eastAsia="Arial" w:hAnsi="Arial"/>
                <w:sz w:val="17"/>
                <w:szCs w:val="17"/>
                <w:color w:val="auto"/>
              </w:rPr>
              <w:t>Yes</w:t>
            </w:r>
          </w:p>
        </w:tc>
      </w:tr>
      <w:tr>
        <w:trPr>
          <w:trHeight w:val="188"/>
        </w:trPr>
        <w:tc>
          <w:tcPr>
            <w:tcW w:w="318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Scott T. Reents</w:t>
            </w:r>
          </w:p>
        </w:tc>
        <w:tc>
          <w:tcPr>
            <w:tcW w:w="4260" w:type="dxa"/>
            <w:vAlign w:val="bottom"/>
            <w:shd w:val="clear" w:color="auto" w:fill="D9D9D9"/>
          </w:tcPr>
          <w:p>
            <w:pPr>
              <w:ind w:left="2380"/>
              <w:spacing w:after="0" w:line="188" w:lineRule="exact"/>
              <w:rPr>
                <w:sz w:val="20"/>
                <w:szCs w:val="20"/>
                <w:color w:val="auto"/>
              </w:rPr>
            </w:pPr>
            <w:r>
              <w:rPr>
                <w:rFonts w:ascii="Arial" w:cs="Arial" w:eastAsia="Arial" w:hAnsi="Arial"/>
                <w:sz w:val="17"/>
                <w:szCs w:val="17"/>
                <w:color w:val="auto"/>
              </w:rPr>
              <w:t>3x Base Salary</w:t>
            </w:r>
          </w:p>
        </w:tc>
        <w:tc>
          <w:tcPr>
            <w:tcW w:w="1820" w:type="dxa"/>
            <w:vAlign w:val="bottom"/>
            <w:shd w:val="clear" w:color="auto" w:fill="D9D9D9"/>
          </w:tcPr>
          <w:p>
            <w:pPr>
              <w:ind w:left="880"/>
              <w:spacing w:after="0" w:line="188" w:lineRule="exact"/>
              <w:rPr>
                <w:sz w:val="20"/>
                <w:szCs w:val="20"/>
                <w:color w:val="auto"/>
              </w:rPr>
            </w:pPr>
            <w:r>
              <w:rPr>
                <w:rFonts w:ascii="Arial" w:cs="Arial" w:eastAsia="Arial" w:hAnsi="Arial"/>
                <w:sz w:val="17"/>
                <w:szCs w:val="17"/>
                <w:color w:val="auto"/>
              </w:rPr>
              <w:t>Yes</w:t>
            </w:r>
          </w:p>
        </w:tc>
      </w:tr>
      <w:tr>
        <w:trPr>
          <w:trHeight w:val="188"/>
        </w:trPr>
        <w:tc>
          <w:tcPr>
            <w:tcW w:w="3180" w:type="dxa"/>
            <w:vAlign w:val="bottom"/>
          </w:tcPr>
          <w:p>
            <w:pPr>
              <w:ind w:left="20"/>
              <w:spacing w:after="0" w:line="188" w:lineRule="exact"/>
              <w:rPr>
                <w:sz w:val="20"/>
                <w:szCs w:val="20"/>
                <w:color w:val="auto"/>
              </w:rPr>
            </w:pPr>
            <w:r>
              <w:rPr>
                <w:rFonts w:ascii="Arial" w:cs="Arial" w:eastAsia="Arial" w:hAnsi="Arial"/>
                <w:sz w:val="17"/>
                <w:szCs w:val="17"/>
                <w:color w:val="auto"/>
              </w:rPr>
              <w:t>Jeffrey R. Stewart</w:t>
            </w:r>
          </w:p>
        </w:tc>
        <w:tc>
          <w:tcPr>
            <w:tcW w:w="4260" w:type="dxa"/>
            <w:vAlign w:val="bottom"/>
          </w:tcPr>
          <w:p>
            <w:pPr>
              <w:ind w:left="2380"/>
              <w:spacing w:after="0" w:line="188" w:lineRule="exact"/>
              <w:rPr>
                <w:sz w:val="20"/>
                <w:szCs w:val="20"/>
                <w:color w:val="auto"/>
              </w:rPr>
            </w:pPr>
            <w:r>
              <w:rPr>
                <w:rFonts w:ascii="Arial" w:cs="Arial" w:eastAsia="Arial" w:hAnsi="Arial"/>
                <w:sz w:val="17"/>
                <w:szCs w:val="17"/>
                <w:color w:val="auto"/>
              </w:rPr>
              <w:t>3x Base Salary</w:t>
            </w:r>
          </w:p>
        </w:tc>
        <w:tc>
          <w:tcPr>
            <w:tcW w:w="1820" w:type="dxa"/>
            <w:vAlign w:val="bottom"/>
          </w:tcPr>
          <w:p>
            <w:pPr>
              <w:ind w:left="880"/>
              <w:spacing w:after="0" w:line="188" w:lineRule="exact"/>
              <w:rPr>
                <w:sz w:val="20"/>
                <w:szCs w:val="20"/>
                <w:color w:val="auto"/>
              </w:rPr>
            </w:pPr>
            <w:r>
              <w:rPr>
                <w:rFonts w:ascii="Arial" w:cs="Arial" w:eastAsia="Arial" w:hAnsi="Arial"/>
                <w:sz w:val="17"/>
                <w:szCs w:val="17"/>
                <w:color w:val="auto"/>
              </w:rPr>
              <w:t>Yes</w:t>
            </w:r>
          </w:p>
        </w:tc>
      </w:tr>
      <w:tr>
        <w:trPr>
          <w:trHeight w:val="188"/>
        </w:trPr>
        <w:tc>
          <w:tcPr>
            <w:tcW w:w="3180" w:type="dxa"/>
            <w:vAlign w:val="bottom"/>
            <w:tcBorders>
              <w:bottom w:val="single" w:sz="8" w:color="071D49"/>
            </w:tcBorders>
            <w:shd w:val="clear" w:color="auto" w:fill="D9D9D9"/>
          </w:tcPr>
          <w:p>
            <w:pPr>
              <w:ind w:left="20"/>
              <w:spacing w:after="0" w:line="188" w:lineRule="exact"/>
              <w:rPr>
                <w:sz w:val="20"/>
                <w:szCs w:val="20"/>
                <w:color w:val="auto"/>
              </w:rPr>
            </w:pPr>
            <w:r>
              <w:rPr>
                <w:rFonts w:ascii="Arial" w:cs="Arial" w:eastAsia="Arial" w:hAnsi="Arial"/>
                <w:sz w:val="17"/>
                <w:szCs w:val="17"/>
                <w:color w:val="auto"/>
              </w:rPr>
              <w:t>Azita Saleki-Gerhardt</w:t>
            </w:r>
          </w:p>
        </w:tc>
        <w:tc>
          <w:tcPr>
            <w:tcW w:w="4260" w:type="dxa"/>
            <w:vAlign w:val="bottom"/>
            <w:tcBorders>
              <w:bottom w:val="single" w:sz="8" w:color="071D49"/>
            </w:tcBorders>
            <w:shd w:val="clear" w:color="auto" w:fill="D9D9D9"/>
          </w:tcPr>
          <w:p>
            <w:pPr>
              <w:ind w:left="2380"/>
              <w:spacing w:after="0" w:line="188" w:lineRule="exact"/>
              <w:rPr>
                <w:sz w:val="20"/>
                <w:szCs w:val="20"/>
                <w:color w:val="auto"/>
              </w:rPr>
            </w:pPr>
            <w:r>
              <w:rPr>
                <w:rFonts w:ascii="Arial" w:cs="Arial" w:eastAsia="Arial" w:hAnsi="Arial"/>
                <w:sz w:val="17"/>
                <w:szCs w:val="17"/>
                <w:color w:val="auto"/>
              </w:rPr>
              <w:t>3x Base Salary</w:t>
            </w:r>
          </w:p>
        </w:tc>
        <w:tc>
          <w:tcPr>
            <w:tcW w:w="1820" w:type="dxa"/>
            <w:vAlign w:val="bottom"/>
            <w:tcBorders>
              <w:bottom w:val="single" w:sz="8" w:color="071D49"/>
            </w:tcBorders>
            <w:shd w:val="clear" w:color="auto" w:fill="D9D9D9"/>
          </w:tcPr>
          <w:p>
            <w:pPr>
              <w:ind w:left="880"/>
              <w:spacing w:after="0" w:line="188" w:lineRule="exact"/>
              <w:rPr>
                <w:sz w:val="20"/>
                <w:szCs w:val="20"/>
                <w:color w:val="auto"/>
              </w:rPr>
            </w:pPr>
            <w:r>
              <w:rPr>
                <w:rFonts w:ascii="Arial" w:cs="Arial" w:eastAsia="Arial" w:hAnsi="Arial"/>
                <w:sz w:val="17"/>
                <w:szCs w:val="17"/>
                <w:color w:val="auto"/>
              </w:rPr>
              <w:t>Yes</w:t>
            </w:r>
          </w:p>
        </w:tc>
      </w:tr>
    </w:tbl>
    <w:p>
      <w:pPr>
        <w:spacing w:after="0" w:line="183" w:lineRule="exact"/>
        <w:rPr>
          <w:sz w:val="20"/>
          <w:szCs w:val="20"/>
          <w:color w:val="auto"/>
        </w:rPr>
      </w:pPr>
    </w:p>
    <w:p>
      <w:pPr>
        <w:ind w:left="20" w:right="60"/>
        <w:spacing w:after="0" w:line="246" w:lineRule="auto"/>
        <w:rPr>
          <w:sz w:val="20"/>
          <w:szCs w:val="20"/>
          <w:color w:val="auto"/>
        </w:rPr>
      </w:pPr>
      <w:r>
        <w:rPr>
          <w:rFonts w:ascii="Arial" w:cs="Arial" w:eastAsia="Arial" w:hAnsi="Arial"/>
          <w:sz w:val="17"/>
          <w:szCs w:val="17"/>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CLAWBACK POLICY</w:t>
      </w:r>
    </w:p>
    <w:p>
      <w:pPr>
        <w:spacing w:after="0" w:line="92" w:lineRule="exact"/>
        <w:rPr>
          <w:sz w:val="20"/>
          <w:szCs w:val="20"/>
          <w:color w:val="auto"/>
        </w:rPr>
      </w:pPr>
    </w:p>
    <w:p>
      <w:pPr>
        <w:ind w:left="20" w:right="60"/>
        <w:spacing w:after="0" w:line="236" w:lineRule="auto"/>
        <w:rPr>
          <w:sz w:val="20"/>
          <w:szCs w:val="20"/>
          <w:color w:val="auto"/>
        </w:rPr>
      </w:pPr>
      <w:r>
        <w:rPr>
          <w:rFonts w:ascii="Arial" w:cs="Arial" w:eastAsia="Arial" w:hAnsi="Arial"/>
          <w:sz w:val="17"/>
          <w:szCs w:val="17"/>
          <w:color w:val="auto"/>
        </w:rPr>
        <w:t>The committee does not anticipate there would ever be circumstances where a restatement of earnings upon which any incentive plan award decisions were based would occur or circumstances where an executive officer engages in misconduct that would constitute a material breach of the AbbVie Code of Business Conduct. Nevertheless, the committee, in evaluating such circumstances, has broad discretion to take all actions necessary to protect the interests of stockholders, up to and including actions to recover incentive awards. This includes a mandatory clawback of excess compensation in the event of a restatement, consistent with SEC rules, as well as broad authority to clawback compensation in the event of a material breach of the Code of Conduct. For more</w:t>
      </w:r>
    </w:p>
    <w:p>
      <w:pPr>
        <w:spacing w:after="0" w:line="360"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50</w:t>
      </w:r>
      <w:r>
        <w:rPr>
          <w:sz w:val="20"/>
          <w:szCs w:val="20"/>
          <w:color w:val="auto"/>
        </w:rPr>
        <w:tab/>
      </w:r>
      <w:r>
        <w:rPr>
          <w:sz w:val="1"/>
          <w:szCs w:val="1"/>
          <w:color w:val="auto"/>
        </w:rPr>
        <w:drawing>
          <wp:inline distT="0" distB="0" distL="0" distR="0">
            <wp:extent cx="810260" cy="15113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24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0"/>
          </w:cols>
          <w:pgMar w:left="1300" w:top="486" w:right="1339" w:bottom="1440" w:gutter="0" w:footer="0" w:header="0"/>
        </w:sectPr>
      </w:pPr>
    </w:p>
    <w:bookmarkStart w:id="53" w:name="page54"/>
    <w:bookmarkEnd w:id="5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right="260"/>
        <w:spacing w:after="0" w:line="261" w:lineRule="auto"/>
        <w:rPr>
          <w:sz w:val="20"/>
          <w:szCs w:val="20"/>
          <w:color w:val="auto"/>
        </w:rPr>
      </w:pPr>
      <w:r>
        <w:rPr>
          <w:rFonts w:ascii="Arial" w:cs="Arial" w:eastAsia="Arial" w:hAnsi="Arial"/>
          <w:sz w:val="17"/>
          <w:szCs w:val="17"/>
          <w:color w:val="auto"/>
        </w:rPr>
        <w:t>details, AbbVie’s Code of Business Conduct is available in the corporate governance section of AbbVie’s investor relations website at www.abbvieinvestor.com.</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ANTI-HEDGING AND ANTI-PLEDGING POLICIES</w:t>
      </w:r>
    </w:p>
    <w:p>
      <w:pPr>
        <w:spacing w:after="0" w:line="155"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spacing w:after="0" w:line="144" w:lineRule="exact"/>
        <w:rPr>
          <w:sz w:val="20"/>
          <w:szCs w:val="20"/>
          <w:color w:val="auto"/>
        </w:rPr>
      </w:pPr>
    </w:p>
    <w:p>
      <w:pPr>
        <w:ind w:left="20" w:right="40"/>
        <w:spacing w:after="0" w:line="237" w:lineRule="auto"/>
        <w:rPr>
          <w:sz w:val="20"/>
          <w:szCs w:val="20"/>
          <w:color w:val="auto"/>
        </w:rPr>
      </w:pPr>
      <w:r>
        <w:rPr>
          <w:rFonts w:ascii="Arial" w:cs="Arial" w:eastAsia="Arial" w:hAnsi="Arial"/>
          <w:sz w:val="17"/>
          <w:szCs w:val="17"/>
          <w:color w:val="auto"/>
        </w:rPr>
        <w:t>In addition, the AbbVie Amended and Restated 2013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Legal department prior to entering into such transaction.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30"/>
          <w:szCs w:val="30"/>
          <w:color w:val="auto"/>
        </w:rPr>
        <w:t>Compensation Committee Report</w:t>
      </w:r>
    </w:p>
    <w:p>
      <w:pPr>
        <w:spacing w:after="0" w:line="215" w:lineRule="exact"/>
        <w:rPr>
          <w:sz w:val="20"/>
          <w:szCs w:val="20"/>
          <w:color w:val="auto"/>
        </w:rPr>
      </w:pPr>
    </w:p>
    <w:p>
      <w:pPr>
        <w:ind w:left="20" w:right="140"/>
        <w:spacing w:after="0" w:line="238" w:lineRule="auto"/>
        <w:rPr>
          <w:sz w:val="20"/>
          <w:szCs w:val="20"/>
          <w:color w:val="auto"/>
        </w:rPr>
      </w:pPr>
      <w:r>
        <w:rPr>
          <w:rFonts w:ascii="Arial" w:cs="Arial" w:eastAsia="Arial" w:hAnsi="Arial"/>
          <w:sz w:val="17"/>
          <w:szCs w:val="17"/>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recommended to the board of directors that the Compensation Discussion and Analysis be included in this proxy statement.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Compensation Committee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 Austin, Chair, T. Freyman, G. Tilton, and F. Waddell</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30"/>
          <w:szCs w:val="30"/>
          <w:color w:val="auto"/>
        </w:rPr>
        <w:t>Compensation Risk Assessment</w:t>
      </w:r>
    </w:p>
    <w:p>
      <w:pPr>
        <w:spacing w:after="0" w:line="215" w:lineRule="exact"/>
        <w:rPr>
          <w:sz w:val="20"/>
          <w:szCs w:val="20"/>
          <w:color w:val="auto"/>
        </w:rPr>
      </w:pPr>
    </w:p>
    <w:p>
      <w:pPr>
        <w:ind w:left="20" w:right="20"/>
        <w:spacing w:after="0" w:line="235" w:lineRule="auto"/>
        <w:rPr>
          <w:sz w:val="20"/>
          <w:szCs w:val="20"/>
          <w:color w:val="auto"/>
        </w:rPr>
      </w:pPr>
      <w:r>
        <w:rPr>
          <w:rFonts w:ascii="Arial" w:cs="Arial" w:eastAsia="Arial" w:hAnsi="Arial"/>
          <w:sz w:val="17"/>
          <w:szCs w:val="17"/>
          <w:color w:val="auto"/>
        </w:rPr>
        <w:t>During 2023,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170" w:lineRule="exact"/>
        <w:rPr>
          <w:sz w:val="20"/>
          <w:szCs w:val="20"/>
          <w:color w:val="auto"/>
        </w:rPr>
      </w:pPr>
    </w:p>
    <w:p>
      <w:pPr>
        <w:ind w:left="320" w:right="100" w:hanging="308"/>
        <w:spacing w:after="0" w:line="239" w:lineRule="auto"/>
        <w:tabs>
          <w:tab w:leader="none" w:pos="320" w:val="left"/>
        </w:tabs>
        <w:numPr>
          <w:ilvl w:val="0"/>
          <w:numId w:val="75"/>
        </w:numPr>
        <w:rPr>
          <w:rFonts w:ascii="Times New Roman" w:cs="Times New Roman" w:eastAsia="Times New Roman" w:hAnsi="Times New Roman"/>
          <w:sz w:val="17"/>
          <w:szCs w:val="17"/>
          <w:color w:val="071D49"/>
        </w:rPr>
      </w:pPr>
      <w:r>
        <w:rPr>
          <w:rFonts w:ascii="Arial" w:cs="Arial" w:eastAsia="Arial" w:hAnsi="Arial"/>
          <w:sz w:val="17"/>
          <w:szCs w:val="17"/>
          <w:color w:val="auto"/>
        </w:rPr>
        <w:t>AbbVie is committed to pay equity and conducts pay equity analyses annually to ensure pay is equitable across genders and ethnicities among U.S. employees.</w:t>
      </w:r>
    </w:p>
    <w:p>
      <w:pPr>
        <w:spacing w:after="0" w:line="1" w:lineRule="exact"/>
        <w:rPr>
          <w:rFonts w:ascii="Times New Roman" w:cs="Times New Roman" w:eastAsia="Times New Roman" w:hAnsi="Times New Roman"/>
          <w:sz w:val="17"/>
          <w:szCs w:val="17"/>
          <w:color w:val="071D49"/>
        </w:rPr>
      </w:pPr>
    </w:p>
    <w:p>
      <w:pPr>
        <w:ind w:left="320" w:right="240" w:hanging="308"/>
        <w:spacing w:after="0" w:line="230" w:lineRule="auto"/>
        <w:tabs>
          <w:tab w:leader="none" w:pos="320" w:val="left"/>
        </w:tabs>
        <w:numPr>
          <w:ilvl w:val="0"/>
          <w:numId w:val="75"/>
        </w:numPr>
        <w:rPr>
          <w:rFonts w:ascii="Times New Roman" w:cs="Times New Roman" w:eastAsia="Times New Roman" w:hAnsi="Times New Roman"/>
          <w:sz w:val="17"/>
          <w:szCs w:val="17"/>
          <w:color w:val="071D49"/>
        </w:rPr>
      </w:pPr>
      <w:r>
        <w:rPr>
          <w:rFonts w:ascii="Arial" w:cs="Arial" w:eastAsia="Arial" w:hAnsi="Arial"/>
          <w:sz w:val="17"/>
          <w:szCs w:val="17"/>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ind w:left="320" w:right="20" w:hanging="308"/>
        <w:spacing w:after="0" w:line="230" w:lineRule="auto"/>
        <w:tabs>
          <w:tab w:leader="none" w:pos="320" w:val="left"/>
        </w:tabs>
        <w:numPr>
          <w:ilvl w:val="0"/>
          <w:numId w:val="75"/>
        </w:numPr>
        <w:rPr>
          <w:rFonts w:ascii="Times New Roman" w:cs="Times New Roman" w:eastAsia="Times New Roman" w:hAnsi="Times New Roman"/>
          <w:sz w:val="17"/>
          <w:szCs w:val="17"/>
          <w:color w:val="071D49"/>
        </w:rPr>
      </w:pPr>
      <w:r>
        <w:rPr>
          <w:rFonts w:ascii="Arial" w:cs="Arial" w:eastAsia="Arial" w:hAnsi="Arial"/>
          <w:sz w:val="17"/>
          <w:szCs w:val="17"/>
          <w:color w:val="auto"/>
        </w:rPr>
        <w:t>AbbVie’s annual incentive program is based on multiple performance measures, balancing earnings achievement with other factors. Since earnings are a key component of stock price performance, this aspect of AbbVie’s compensation plan also promotes alignment with stockholder interests.</w:t>
      </w:r>
    </w:p>
    <w:p>
      <w:pPr>
        <w:ind w:left="320" w:right="20" w:hanging="308"/>
        <w:spacing w:after="0" w:line="241" w:lineRule="auto"/>
        <w:tabs>
          <w:tab w:leader="none" w:pos="320" w:val="left"/>
        </w:tabs>
        <w:numPr>
          <w:ilvl w:val="0"/>
          <w:numId w:val="75"/>
        </w:numPr>
        <w:rPr>
          <w:rFonts w:ascii="Times New Roman" w:cs="Times New Roman" w:eastAsia="Times New Roman" w:hAnsi="Times New Roman"/>
          <w:sz w:val="17"/>
          <w:szCs w:val="17"/>
          <w:color w:val="071D49"/>
        </w:rPr>
      </w:pPr>
      <w:r>
        <w:rPr>
          <w:rFonts w:ascii="Arial" w:cs="Arial" w:eastAsia="Arial" w:hAnsi="Arial"/>
          <w:sz w:val="17"/>
          <w:szCs w:val="17"/>
          <w:color w:val="auto"/>
        </w:rPr>
        <w:t>AbbVie does not include certain pay design features that may have the potential to encourage excessive risk-taking, such as: over-weighting toward annual incentives, highly leveraged payout curves, unreasonable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54" w:name="page55"/>
    <w:bookmarkEnd w:id="5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jc w:val="both"/>
        <w:ind w:left="308" w:right="280"/>
        <w:spacing w:after="0" w:line="236" w:lineRule="auto"/>
        <w:rPr>
          <w:sz w:val="20"/>
          <w:szCs w:val="20"/>
          <w:color w:val="auto"/>
        </w:rPr>
      </w:pPr>
      <w:r>
        <w:rPr>
          <w:rFonts w:ascii="Arial" w:cs="Arial" w:eastAsia="Arial" w:hAnsi="Arial"/>
          <w:sz w:val="17"/>
          <w:szCs w:val="17"/>
          <w:color w:val="auto"/>
        </w:rPr>
        <w:t>thresholds or dramatic changes in payout opportunity at certain performance levels that may encourage inappropriate short-term business decisions to meet payout thresholds. In addition for 2023, a limit of 190% of target applies to any awards made under the NEO short-term incentive program.</w:t>
      </w:r>
    </w:p>
    <w:p>
      <w:pPr>
        <w:spacing w:after="0" w:line="2" w:lineRule="exact"/>
        <w:rPr>
          <w:sz w:val="20"/>
          <w:szCs w:val="20"/>
          <w:color w:val="auto"/>
        </w:rPr>
      </w:pPr>
    </w:p>
    <w:p>
      <w:pPr>
        <w:ind w:left="308" w:hanging="308"/>
        <w:spacing w:after="0" w:line="230" w:lineRule="auto"/>
        <w:tabs>
          <w:tab w:leader="none" w:pos="308" w:val="left"/>
        </w:tabs>
        <w:numPr>
          <w:ilvl w:val="0"/>
          <w:numId w:val="76"/>
        </w:numPr>
        <w:rPr>
          <w:rFonts w:ascii="Times New Roman" w:cs="Times New Roman" w:eastAsia="Times New Roman" w:hAnsi="Times New Roman"/>
          <w:sz w:val="17"/>
          <w:szCs w:val="17"/>
          <w:color w:val="071D49"/>
        </w:rPr>
      </w:pPr>
      <w:r>
        <w:rPr>
          <w:rFonts w:ascii="Arial" w:cs="Arial" w:eastAsia="Arial" w:hAnsi="Arial"/>
          <w:sz w:val="17"/>
          <w:szCs w:val="17"/>
          <w:color w:val="auto"/>
        </w:rPr>
        <w:t>AbbVie’s annual long-term incentive program focuses NEOs on longer-term operating performance and aligns NEOs with stockholder interests through the use of multi-year performance periods and multiple performance measures, including relative total stockholder return. AbbVie’s NEOs received roughly two-thirds of their total direct compensation in the form of long-term incentives (20% of which are stock options that may vest over a three-year period and 80% of which are performance-based awards that may vest over a three-year performance period).</w:t>
      </w:r>
    </w:p>
    <w:p>
      <w:pPr>
        <w:ind w:left="308" w:right="280" w:hanging="308"/>
        <w:spacing w:after="0" w:line="230" w:lineRule="auto"/>
        <w:tabs>
          <w:tab w:leader="none" w:pos="308" w:val="left"/>
        </w:tabs>
        <w:numPr>
          <w:ilvl w:val="0"/>
          <w:numId w:val="76"/>
        </w:numPr>
        <w:rPr>
          <w:rFonts w:ascii="Times New Roman" w:cs="Times New Roman" w:eastAsia="Times New Roman" w:hAnsi="Times New Roman"/>
          <w:sz w:val="17"/>
          <w:szCs w:val="17"/>
          <w:color w:val="071D49"/>
        </w:rPr>
      </w:pPr>
      <w:r>
        <w:rPr>
          <w:rFonts w:ascii="Arial" w:cs="Arial" w:eastAsia="Arial" w:hAnsi="Arial"/>
          <w:sz w:val="17"/>
          <w:szCs w:val="17"/>
          <w:color w:val="auto"/>
        </w:rPr>
        <w:t>AbbVie makes equity awards and sets grant prices at the same time each year, at the compensation committee’s regularly scheduled meeting in February. In addition, AbbVie does not award discounted stock options or immediately vested equity awards to NEOs.</w:t>
      </w:r>
    </w:p>
    <w:p>
      <w:pPr>
        <w:ind w:left="308" w:right="460" w:hanging="308"/>
        <w:spacing w:after="0" w:line="244" w:lineRule="auto"/>
        <w:tabs>
          <w:tab w:leader="none" w:pos="308" w:val="left"/>
        </w:tabs>
        <w:numPr>
          <w:ilvl w:val="0"/>
          <w:numId w:val="76"/>
        </w:numPr>
        <w:rPr>
          <w:rFonts w:ascii="Times New Roman" w:cs="Times New Roman" w:eastAsia="Times New Roman" w:hAnsi="Times New Roman"/>
          <w:sz w:val="16"/>
          <w:szCs w:val="16"/>
          <w:color w:val="071D49"/>
        </w:rPr>
      </w:pPr>
      <w:r>
        <w:rPr>
          <w:rFonts w:ascii="Arial" w:cs="Arial" w:eastAsia="Arial" w:hAnsi="Arial"/>
          <w:sz w:val="16"/>
          <w:szCs w:val="16"/>
          <w:color w:val="auto"/>
        </w:rPr>
        <w:t>AbbVie has robust stock ownership guidelines for its senior executives, which promotes alignment with stockholder interests, and other good governance equity practices such as anti-hedging and anti-pledging policies.</w:t>
      </w:r>
    </w:p>
    <w:p>
      <w:pPr>
        <w:ind w:left="308" w:right="180" w:hanging="308"/>
        <w:spacing w:after="0" w:line="229" w:lineRule="auto"/>
        <w:tabs>
          <w:tab w:leader="none" w:pos="308" w:val="left"/>
        </w:tabs>
        <w:numPr>
          <w:ilvl w:val="0"/>
          <w:numId w:val="76"/>
        </w:numPr>
        <w:rPr>
          <w:rFonts w:ascii="Times New Roman" w:cs="Times New Roman" w:eastAsia="Times New Roman" w:hAnsi="Times New Roman"/>
          <w:sz w:val="17"/>
          <w:szCs w:val="17"/>
          <w:color w:val="071D49"/>
        </w:rPr>
      </w:pPr>
      <w:r>
        <w:rPr>
          <w:rFonts w:ascii="Arial" w:cs="Arial" w:eastAsia="Arial" w:hAnsi="Arial"/>
          <w:sz w:val="17"/>
          <w:szCs w:val="17"/>
          <w:color w:val="auto"/>
        </w:rPr>
        <w:t>AbbVie’s compensation committee has the ability to exercise downward discretion in determining annual incentive plan payouts.</w:t>
      </w:r>
    </w:p>
    <w:p>
      <w:pPr>
        <w:spacing w:after="0" w:line="1" w:lineRule="exact"/>
        <w:rPr>
          <w:rFonts w:ascii="Times New Roman" w:cs="Times New Roman" w:eastAsia="Times New Roman" w:hAnsi="Times New Roman"/>
          <w:sz w:val="17"/>
          <w:szCs w:val="17"/>
          <w:color w:val="071D49"/>
        </w:rPr>
      </w:pPr>
    </w:p>
    <w:p>
      <w:pPr>
        <w:ind w:left="308" w:right="420" w:hanging="308"/>
        <w:spacing w:after="0" w:line="229" w:lineRule="auto"/>
        <w:tabs>
          <w:tab w:leader="none" w:pos="308" w:val="left"/>
        </w:tabs>
        <w:numPr>
          <w:ilvl w:val="0"/>
          <w:numId w:val="76"/>
        </w:numPr>
        <w:rPr>
          <w:rFonts w:ascii="Times New Roman" w:cs="Times New Roman" w:eastAsia="Times New Roman" w:hAnsi="Times New Roman"/>
          <w:sz w:val="17"/>
          <w:szCs w:val="17"/>
          <w:color w:val="071D49"/>
        </w:rPr>
      </w:pPr>
      <w:r>
        <w:rPr>
          <w:rFonts w:ascii="Arial" w:cs="Arial" w:eastAsia="Arial" w:hAnsi="Arial"/>
          <w:sz w:val="17"/>
          <w:szCs w:val="17"/>
          <w:color w:val="auto"/>
        </w:rPr>
        <w:t>AbbVie’s compensation committee is required to clawback excess compensation in the event of a restatement, plus retains broad discretion to clawback compensation in the event of a material breach of the Code of Conduct.</w:t>
      </w:r>
    </w:p>
    <w:p>
      <w:pPr>
        <w:spacing w:after="0" w:line="1" w:lineRule="exact"/>
        <w:rPr>
          <w:rFonts w:ascii="Times New Roman" w:cs="Times New Roman" w:eastAsia="Times New Roman" w:hAnsi="Times New Roman"/>
          <w:sz w:val="17"/>
          <w:szCs w:val="17"/>
          <w:color w:val="071D49"/>
        </w:rPr>
      </w:pPr>
    </w:p>
    <w:p>
      <w:pPr>
        <w:ind w:left="308" w:right="400" w:hanging="308"/>
        <w:spacing w:after="0" w:line="241" w:lineRule="auto"/>
        <w:tabs>
          <w:tab w:leader="none" w:pos="308" w:val="left"/>
        </w:tabs>
        <w:numPr>
          <w:ilvl w:val="0"/>
          <w:numId w:val="76"/>
        </w:numPr>
        <w:rPr>
          <w:rFonts w:ascii="Times New Roman" w:cs="Times New Roman" w:eastAsia="Times New Roman" w:hAnsi="Times New Roman"/>
          <w:sz w:val="17"/>
          <w:szCs w:val="17"/>
          <w:color w:val="071D49"/>
        </w:rPr>
      </w:pPr>
      <w:r>
        <w:rPr>
          <w:rFonts w:ascii="Arial" w:cs="Arial" w:eastAsia="Arial" w:hAnsi="Arial"/>
          <w:sz w:val="17"/>
          <w:szCs w:val="17"/>
          <w:color w:val="auto"/>
        </w:rPr>
        <w:t>AbbVie requires mandatory training on its code of conduct and policies and procedures to educate its employees on appropriate behaviors and the consequences of taking inappropriate actions.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7"/>
          <w:szCs w:val="17"/>
          <w:color w:val="auto"/>
        </w:rPr>
        <w:t>The risk assessment results were presented to the compensation committee by its independent compensation consultant.</w:t>
      </w:r>
    </w:p>
    <w:p>
      <w:pPr>
        <w:spacing w:after="0" w:line="200" w:lineRule="exact"/>
        <w:rPr>
          <w:sz w:val="20"/>
          <w:szCs w:val="20"/>
          <w:color w:val="auto"/>
        </w:rPr>
      </w:pPr>
    </w:p>
    <w:p>
      <w:pPr>
        <w:spacing w:after="0" w:line="37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52</w:t>
      </w:r>
      <w:r>
        <w:rPr>
          <w:sz w:val="20"/>
          <w:szCs w:val="20"/>
          <w:color w:val="auto"/>
        </w:rPr>
        <w:tab/>
      </w:r>
      <w:r>
        <w:rPr>
          <w:sz w:val="1"/>
          <w:szCs w:val="1"/>
          <w:color w:val="auto"/>
        </w:rPr>
        <w:drawing>
          <wp:inline distT="0" distB="0" distL="0" distR="0">
            <wp:extent cx="810260" cy="15113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8"/>
          </w:cols>
          <w:pgMar w:left="1312" w:top="486" w:right="1359" w:bottom="1440" w:gutter="0" w:footer="0" w:header="0"/>
        </w:sectPr>
      </w:pPr>
    </w:p>
    <w:bookmarkStart w:id="55" w:name="page56"/>
    <w:bookmarkEnd w:id="5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Summary Compensation Table</w:t>
      </w:r>
    </w:p>
    <w:p>
      <w:pPr>
        <w:spacing w:after="0" w:line="215" w:lineRule="exact"/>
        <w:rPr>
          <w:sz w:val="20"/>
          <w:szCs w:val="20"/>
          <w:color w:val="auto"/>
        </w:rPr>
      </w:pPr>
    </w:p>
    <w:p>
      <w:pPr>
        <w:ind w:left="20" w:right="140"/>
        <w:spacing w:after="0"/>
        <w:rPr>
          <w:sz w:val="20"/>
          <w:szCs w:val="20"/>
          <w:color w:val="auto"/>
        </w:rPr>
      </w:pPr>
      <w:r>
        <w:rPr>
          <w:rFonts w:ascii="Arial" w:cs="Arial" w:eastAsia="Arial" w:hAnsi="Arial"/>
          <w:sz w:val="17"/>
          <w:szCs w:val="17"/>
          <w:color w:val="auto"/>
        </w:rPr>
        <w:t>This section contains compensation information for AbbVie’s NEOs for the fiscal year ended December 31, 2023. The following table summarizes compensation awarded to, earned by and/or paid to AbbVie’s NEOs in connection with their service to AbbVie during 2023, 2022 and 2021, as applicable. The section of this proxy statement captioned “Compensation Plan Elements” describes in greater detail the information reported in this table.</w:t>
      </w:r>
    </w:p>
    <w:p>
      <w:pPr>
        <w:spacing w:after="0" w:line="180" w:lineRule="exact"/>
        <w:rPr>
          <w:sz w:val="20"/>
          <w:szCs w:val="20"/>
          <w:color w:val="auto"/>
        </w:rPr>
      </w:pPr>
    </w:p>
    <w:p>
      <w:pPr>
        <w:ind w:left="6900"/>
        <w:spacing w:after="0"/>
        <w:rPr>
          <w:sz w:val="20"/>
          <w:szCs w:val="20"/>
          <w:color w:val="auto"/>
        </w:rPr>
      </w:pPr>
      <w:r>
        <w:rPr>
          <w:rFonts w:ascii="Arial" w:cs="Arial" w:eastAsia="Arial" w:hAnsi="Arial"/>
          <w:sz w:val="12"/>
          <w:szCs w:val="12"/>
          <w:b w:val="1"/>
          <w:bCs w:val="1"/>
          <w:color w:val="auto"/>
        </w:rPr>
        <w:t>Change</w:t>
      </w:r>
    </w:p>
    <w:p>
      <w:pPr>
        <w:ind w:left="6740"/>
        <w:spacing w:after="0" w:line="217" w:lineRule="auto"/>
        <w:rPr>
          <w:sz w:val="20"/>
          <w:szCs w:val="20"/>
          <w:color w:val="auto"/>
        </w:rPr>
      </w:pPr>
      <w:r>
        <w:rPr>
          <w:rFonts w:ascii="Arial" w:cs="Arial" w:eastAsia="Arial" w:hAnsi="Arial"/>
          <w:sz w:val="12"/>
          <w:szCs w:val="12"/>
          <w:b w:val="1"/>
          <w:bCs w:val="1"/>
          <w:color w:val="auto"/>
        </w:rPr>
        <w:t>in Pension</w:t>
      </w:r>
    </w:p>
    <w:p>
      <w:pPr>
        <w:ind w:left="6780"/>
        <w:spacing w:after="0" w:line="235" w:lineRule="auto"/>
        <w:rPr>
          <w:sz w:val="20"/>
          <w:szCs w:val="20"/>
          <w:color w:val="auto"/>
        </w:rPr>
      </w:pPr>
      <w:r>
        <w:rPr>
          <w:rFonts w:ascii="Arial" w:cs="Arial" w:eastAsia="Arial" w:hAnsi="Arial"/>
          <w:sz w:val="12"/>
          <w:szCs w:val="12"/>
          <w:b w:val="1"/>
          <w:bCs w:val="1"/>
          <w:color w:val="auto"/>
        </w:rPr>
        <w:t>Value and</w:t>
      </w:r>
    </w:p>
    <w:tbl>
      <w:tblPr>
        <w:tblLayout w:type="fixed"/>
        <w:tblInd w:w="0" w:type="dxa"/>
        <w:tblCellMar>
          <w:top w:w="0" w:type="dxa"/>
          <w:left w:w="0" w:type="dxa"/>
          <w:bottom w:w="0" w:type="dxa"/>
          <w:right w:w="0" w:type="dxa"/>
        </w:tblCellMar>
      </w:tblPr>
      <w:tr>
        <w:trPr>
          <w:trHeight w:val="128"/>
        </w:trPr>
        <w:tc>
          <w:tcPr>
            <w:tcW w:w="2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vMerge w:val="restart"/>
          </w:tcPr>
          <w:p>
            <w:pPr>
              <w:jc w:val="right"/>
              <w:ind w:right="62"/>
              <w:spacing w:after="0" w:line="138"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color w:val="auto"/>
                <w:strike w:val="1"/>
              </w:rPr>
              <w:t>‑</w:t>
            </w:r>
            <w:r>
              <w:rPr>
                <w:rFonts w:ascii="Arial" w:cs="Arial" w:eastAsia="Arial" w:hAnsi="Arial"/>
                <w:sz w:val="12"/>
                <w:szCs w:val="12"/>
                <w:b w:val="1"/>
                <w:bCs w:val="1"/>
                <w:color w:val="auto"/>
              </w:rPr>
              <w:t>Equity</w:t>
            </w:r>
          </w:p>
        </w:tc>
        <w:tc>
          <w:tcPr>
            <w:tcW w:w="1020" w:type="dxa"/>
            <w:vAlign w:val="bottom"/>
          </w:tcPr>
          <w:p>
            <w:pPr>
              <w:jc w:val="right"/>
              <w:ind w:right="62"/>
              <w:spacing w:after="0" w:line="129" w:lineRule="exact"/>
              <w:rPr>
                <w:sz w:val="20"/>
                <w:szCs w:val="20"/>
                <w:color w:val="auto"/>
              </w:rPr>
            </w:pPr>
            <w:r>
              <w:rPr>
                <w:rFonts w:ascii="Arial" w:cs="Arial" w:eastAsia="Arial" w:hAnsi="Arial"/>
                <w:sz w:val="12"/>
                <w:szCs w:val="12"/>
                <w:b w:val="1"/>
                <w:bCs w:val="1"/>
                <w:color w:val="auto"/>
              </w:rPr>
              <w:t>Non</w:t>
            </w:r>
            <w:r>
              <w:rPr>
                <w:rFonts w:ascii="MS PGothic" w:cs="MS PGothic" w:eastAsia="MS PGothic" w:hAnsi="MS PGothic"/>
                <w:sz w:val="12"/>
                <w:szCs w:val="12"/>
                <w:color w:val="auto"/>
                <w:strike w:val="1"/>
              </w:rPr>
              <w:t>‑</w:t>
            </w:r>
            <w:r>
              <w:rPr>
                <w:rFonts w:ascii="Arial" w:cs="Arial" w:eastAsia="Arial" w:hAnsi="Arial"/>
                <w:sz w:val="12"/>
                <w:szCs w:val="12"/>
                <w:b w:val="1"/>
                <w:bCs w:val="1"/>
                <w:color w:val="auto"/>
              </w:rPr>
              <w:t>qualified</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Stock</w:t>
            </w:r>
          </w:p>
        </w:tc>
        <w:tc>
          <w:tcPr>
            <w:tcW w:w="7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Option</w:t>
            </w:r>
          </w:p>
        </w:tc>
        <w:tc>
          <w:tcPr>
            <w:tcW w:w="1000" w:type="dxa"/>
            <w:vAlign w:val="bottom"/>
            <w:vMerge w:val="continue"/>
          </w:tcPr>
          <w:p>
            <w:pPr>
              <w:spacing w:after="0"/>
              <w:rPr>
                <w:sz w:val="10"/>
                <w:szCs w:val="10"/>
                <w:color w:val="auto"/>
              </w:rPr>
            </w:pPr>
          </w:p>
        </w:tc>
        <w:tc>
          <w:tcPr>
            <w:tcW w:w="102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Deferred</w:t>
            </w:r>
          </w:p>
        </w:tc>
        <w:tc>
          <w:tcPr>
            <w:tcW w:w="9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All Other</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Salary</w:t>
            </w:r>
          </w:p>
        </w:tc>
        <w:tc>
          <w:tcPr>
            <w:tcW w:w="54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Bonus</w:t>
            </w:r>
          </w:p>
        </w:tc>
        <w:tc>
          <w:tcPr>
            <w:tcW w:w="8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Incentive Plan</w:t>
            </w:r>
          </w:p>
        </w:tc>
        <w:tc>
          <w:tcPr>
            <w:tcW w:w="102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Compensation</w:t>
            </w:r>
          </w:p>
        </w:tc>
        <w:tc>
          <w:tcPr>
            <w:tcW w:w="9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5"/>
        </w:trPr>
        <w:tc>
          <w:tcPr>
            <w:tcW w:w="21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 and Principal Position</w:t>
            </w:r>
          </w:p>
        </w:tc>
        <w:tc>
          <w:tcPr>
            <w:tcW w:w="60" w:type="dxa"/>
            <w:vAlign w:val="bottom"/>
          </w:tcPr>
          <w:p>
            <w:pPr>
              <w:spacing w:after="0"/>
              <w:rPr>
                <w:sz w:val="10"/>
                <w:szCs w:val="10"/>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Year</w:t>
            </w:r>
          </w:p>
        </w:tc>
        <w:tc>
          <w:tcPr>
            <w:tcW w:w="8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4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w:t>
            </w:r>
          </w:p>
        </w:tc>
        <w:tc>
          <w:tcPr>
            <w:tcW w:w="72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w:t>
            </w:r>
          </w:p>
        </w:tc>
        <w:tc>
          <w:tcPr>
            <w:tcW w:w="10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Compensation</w:t>
            </w:r>
          </w:p>
        </w:tc>
        <w:tc>
          <w:tcPr>
            <w:tcW w:w="102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Earnings</w:t>
            </w:r>
          </w:p>
        </w:tc>
        <w:tc>
          <w:tcPr>
            <w:tcW w:w="96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Compensation</w:t>
            </w:r>
          </w:p>
        </w:tc>
        <w:tc>
          <w:tcPr>
            <w:tcW w:w="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20" w:type="dxa"/>
            <w:vAlign w:val="bottom"/>
            <w:tcBorders>
              <w:bottom w:val="single" w:sz="8" w:color="071D49"/>
            </w:tcBorders>
            <w:vMerge w:val="continue"/>
          </w:tcPr>
          <w:p>
            <w:pPr>
              <w:spacing w:after="0"/>
              <w:rPr>
                <w:sz w:val="12"/>
                <w:szCs w:val="12"/>
                <w:color w:val="auto"/>
              </w:rPr>
            </w:pPr>
          </w:p>
        </w:tc>
        <w:tc>
          <w:tcPr>
            <w:tcW w:w="60" w:type="dxa"/>
            <w:vAlign w:val="bottom"/>
            <w:tcBorders>
              <w:bottom w:val="single" w:sz="8" w:color="071D49"/>
            </w:tcBorders>
          </w:tcPr>
          <w:p>
            <w:pPr>
              <w:spacing w:after="0"/>
              <w:rPr>
                <w:sz w:val="12"/>
                <w:szCs w:val="12"/>
                <w:color w:val="auto"/>
              </w:rPr>
            </w:pPr>
          </w:p>
        </w:tc>
        <w:tc>
          <w:tcPr>
            <w:tcW w:w="360" w:type="dxa"/>
            <w:vAlign w:val="bottom"/>
            <w:tcBorders>
              <w:bottom w:val="single" w:sz="8" w:color="071D49"/>
            </w:tcBorders>
            <w:gridSpan w:val="2"/>
            <w:vMerge w:val="continue"/>
          </w:tcPr>
          <w:p>
            <w:pPr>
              <w:spacing w:after="0"/>
              <w:rPr>
                <w:sz w:val="12"/>
                <w:szCs w:val="12"/>
                <w:color w:val="auto"/>
              </w:rPr>
            </w:pPr>
          </w:p>
        </w:tc>
        <w:tc>
          <w:tcPr>
            <w:tcW w:w="800" w:type="dxa"/>
            <w:vAlign w:val="bottom"/>
            <w:tcBorders>
              <w:bottom w:val="single" w:sz="8" w:color="071D49"/>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071D49"/>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071D49"/>
            </w:tcBorders>
          </w:tcPr>
          <w:p>
            <w:pPr>
              <w:jc w:val="right"/>
              <w:ind w:right="42"/>
              <w:spacing w:after="0"/>
              <w:rPr>
                <w:sz w:val="20"/>
                <w:szCs w:val="20"/>
                <w:color w:val="auto"/>
              </w:rPr>
            </w:pPr>
            <w:r>
              <w:rPr>
                <w:rFonts w:ascii="Arial" w:cs="Arial" w:eastAsia="Arial" w:hAnsi="Arial"/>
                <w:sz w:val="12"/>
                <w:szCs w:val="12"/>
                <w:b w:val="1"/>
                <w:bCs w:val="1"/>
                <w:color w:val="auto"/>
              </w:rPr>
              <w:t>($)(1)</w:t>
            </w:r>
          </w:p>
        </w:tc>
        <w:tc>
          <w:tcPr>
            <w:tcW w:w="720" w:type="dxa"/>
            <w:vAlign w:val="bottom"/>
            <w:tcBorders>
              <w:bottom w:val="single" w:sz="8" w:color="071D49"/>
            </w:tcBorders>
          </w:tcPr>
          <w:p>
            <w:pPr>
              <w:jc w:val="right"/>
              <w:ind w:right="22"/>
              <w:spacing w:after="0"/>
              <w:rPr>
                <w:sz w:val="20"/>
                <w:szCs w:val="20"/>
                <w:color w:val="auto"/>
              </w:rPr>
            </w:pPr>
            <w:r>
              <w:rPr>
                <w:rFonts w:ascii="Arial" w:cs="Arial" w:eastAsia="Arial" w:hAnsi="Arial"/>
                <w:sz w:val="12"/>
                <w:szCs w:val="12"/>
                <w:b w:val="1"/>
                <w:bCs w:val="1"/>
                <w:color w:val="auto"/>
              </w:rPr>
              <w:t>($)(2)</w:t>
            </w:r>
          </w:p>
        </w:tc>
        <w:tc>
          <w:tcPr>
            <w:tcW w:w="1000" w:type="dxa"/>
            <w:vAlign w:val="bottom"/>
            <w:tcBorders>
              <w:bottom w:val="single" w:sz="8" w:color="071D49"/>
            </w:tcBorders>
          </w:tcPr>
          <w:p>
            <w:pPr>
              <w:jc w:val="right"/>
              <w:ind w:right="22"/>
              <w:spacing w:after="0"/>
              <w:rPr>
                <w:sz w:val="20"/>
                <w:szCs w:val="20"/>
                <w:color w:val="auto"/>
              </w:rPr>
            </w:pPr>
            <w:r>
              <w:rPr>
                <w:rFonts w:ascii="Arial" w:cs="Arial" w:eastAsia="Arial" w:hAnsi="Arial"/>
                <w:sz w:val="12"/>
                <w:szCs w:val="12"/>
                <w:b w:val="1"/>
                <w:bCs w:val="1"/>
                <w:color w:val="auto"/>
              </w:rPr>
              <w:t>($)(3)</w:t>
            </w:r>
          </w:p>
        </w:tc>
        <w:tc>
          <w:tcPr>
            <w:tcW w:w="1020" w:type="dxa"/>
            <w:vAlign w:val="bottom"/>
            <w:tcBorders>
              <w:bottom w:val="single" w:sz="8" w:color="071D49"/>
            </w:tcBorders>
          </w:tcPr>
          <w:p>
            <w:pPr>
              <w:jc w:val="right"/>
              <w:ind w:right="42"/>
              <w:spacing w:after="0"/>
              <w:rPr>
                <w:sz w:val="20"/>
                <w:szCs w:val="20"/>
                <w:color w:val="auto"/>
              </w:rPr>
            </w:pPr>
            <w:r>
              <w:rPr>
                <w:rFonts w:ascii="Arial" w:cs="Arial" w:eastAsia="Arial" w:hAnsi="Arial"/>
                <w:sz w:val="12"/>
                <w:szCs w:val="12"/>
                <w:b w:val="1"/>
                <w:bCs w:val="1"/>
                <w:color w:val="auto"/>
              </w:rPr>
              <w:t>($)(4)(5)</w:t>
            </w:r>
          </w:p>
        </w:tc>
        <w:tc>
          <w:tcPr>
            <w:tcW w:w="96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auto"/>
              </w:rPr>
              <w:t>($)(6)</w:t>
            </w:r>
          </w:p>
        </w:tc>
        <w:tc>
          <w:tcPr>
            <w:tcW w:w="160" w:type="dxa"/>
            <w:vAlign w:val="bottom"/>
            <w:tcBorders>
              <w:bottom w:val="single" w:sz="8" w:color="071D49"/>
            </w:tcBorders>
          </w:tcPr>
          <w:p>
            <w:pPr>
              <w:spacing w:after="0"/>
              <w:rPr>
                <w:sz w:val="12"/>
                <w:szCs w:val="12"/>
                <w:color w:val="auto"/>
              </w:rPr>
            </w:pPr>
          </w:p>
        </w:tc>
        <w:tc>
          <w:tcPr>
            <w:tcW w:w="68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120" w:type="dxa"/>
            <w:vAlign w:val="bottom"/>
            <w:shd w:val="clear" w:color="auto" w:fill="D9D9D9"/>
          </w:tcPr>
          <w:p>
            <w:pPr>
              <w:ind w:left="20"/>
              <w:spacing w:after="0" w:line="102" w:lineRule="exact"/>
              <w:rPr>
                <w:sz w:val="20"/>
                <w:szCs w:val="20"/>
                <w:color w:val="auto"/>
              </w:rPr>
            </w:pPr>
            <w:r>
              <w:rPr>
                <w:rFonts w:ascii="Arial" w:cs="Arial" w:eastAsia="Arial" w:hAnsi="Arial"/>
                <w:sz w:val="11"/>
                <w:szCs w:val="11"/>
                <w:color w:val="auto"/>
              </w:rPr>
              <w:t>Richard A. Gonzalez</w:t>
            </w:r>
          </w:p>
        </w:tc>
        <w:tc>
          <w:tcPr>
            <w:tcW w:w="420" w:type="dxa"/>
            <w:vAlign w:val="bottom"/>
            <w:gridSpan w:val="3"/>
            <w:shd w:val="clear" w:color="auto" w:fill="D9D9D9"/>
          </w:tcPr>
          <w:p>
            <w:pPr>
              <w:jc w:val="right"/>
              <w:ind w:right="60"/>
              <w:spacing w:after="0" w:line="102" w:lineRule="exact"/>
              <w:rPr>
                <w:sz w:val="20"/>
                <w:szCs w:val="20"/>
                <w:color w:val="auto"/>
              </w:rPr>
            </w:pPr>
            <w:r>
              <w:rPr>
                <w:rFonts w:ascii="Arial" w:cs="Arial" w:eastAsia="Arial" w:hAnsi="Arial"/>
                <w:sz w:val="11"/>
                <w:szCs w:val="11"/>
                <w:color w:val="auto"/>
              </w:rPr>
              <w:t>2023</w:t>
            </w:r>
          </w:p>
        </w:tc>
        <w:tc>
          <w:tcPr>
            <w:tcW w:w="800" w:type="dxa"/>
            <w:vAlign w:val="bottom"/>
            <w:shd w:val="clear" w:color="auto" w:fill="D9D9D9"/>
          </w:tcPr>
          <w:p>
            <w:pPr>
              <w:jc w:val="right"/>
              <w:ind w:right="22"/>
              <w:spacing w:after="0" w:line="102" w:lineRule="exact"/>
              <w:rPr>
                <w:sz w:val="20"/>
                <w:szCs w:val="20"/>
                <w:color w:val="auto"/>
              </w:rPr>
            </w:pPr>
            <w:r>
              <w:rPr>
                <w:rFonts w:ascii="Arial" w:cs="Arial" w:eastAsia="Arial" w:hAnsi="Arial"/>
                <w:sz w:val="11"/>
                <w:szCs w:val="11"/>
                <w:color w:val="auto"/>
              </w:rPr>
              <w:t>$  1,700,000</w:t>
            </w:r>
          </w:p>
        </w:tc>
        <w:tc>
          <w:tcPr>
            <w:tcW w:w="540" w:type="dxa"/>
            <w:vAlign w:val="bottom"/>
            <w:shd w:val="clear" w:color="auto" w:fill="D9D9D9"/>
          </w:tcPr>
          <w:p>
            <w:pPr>
              <w:jc w:val="right"/>
              <w:ind w:right="62"/>
              <w:spacing w:after="0" w:line="102" w:lineRule="exact"/>
              <w:rPr>
                <w:sz w:val="20"/>
                <w:szCs w:val="20"/>
                <w:color w:val="auto"/>
              </w:rPr>
            </w:pPr>
            <w:r>
              <w:rPr>
                <w:rFonts w:ascii="Arial" w:cs="Arial" w:eastAsia="Arial" w:hAnsi="Arial"/>
                <w:sz w:val="11"/>
                <w:szCs w:val="11"/>
                <w:color w:val="auto"/>
              </w:rPr>
              <w:t>0</w:t>
            </w:r>
          </w:p>
        </w:tc>
        <w:tc>
          <w:tcPr>
            <w:tcW w:w="840" w:type="dxa"/>
            <w:vAlign w:val="bottom"/>
            <w:shd w:val="clear" w:color="auto" w:fill="D9D9D9"/>
          </w:tcPr>
          <w:p>
            <w:pPr>
              <w:jc w:val="right"/>
              <w:ind w:right="62"/>
              <w:spacing w:after="0" w:line="102" w:lineRule="exact"/>
              <w:rPr>
                <w:sz w:val="20"/>
                <w:szCs w:val="20"/>
                <w:color w:val="auto"/>
              </w:rPr>
            </w:pPr>
            <w:r>
              <w:rPr>
                <w:rFonts w:ascii="Arial" w:cs="Arial" w:eastAsia="Arial" w:hAnsi="Arial"/>
                <w:sz w:val="11"/>
                <w:szCs w:val="11"/>
                <w:color w:val="auto"/>
              </w:rPr>
              <w:t>13,701,890</w:t>
            </w:r>
          </w:p>
        </w:tc>
        <w:tc>
          <w:tcPr>
            <w:tcW w:w="720" w:type="dxa"/>
            <w:vAlign w:val="bottom"/>
            <w:shd w:val="clear" w:color="auto" w:fill="D9D9D9"/>
          </w:tcPr>
          <w:p>
            <w:pPr>
              <w:jc w:val="right"/>
              <w:ind w:right="62"/>
              <w:spacing w:after="0" w:line="102" w:lineRule="exact"/>
              <w:rPr>
                <w:sz w:val="20"/>
                <w:szCs w:val="20"/>
                <w:color w:val="auto"/>
              </w:rPr>
            </w:pPr>
            <w:r>
              <w:rPr>
                <w:rFonts w:ascii="Arial" w:cs="Arial" w:eastAsia="Arial" w:hAnsi="Arial"/>
                <w:sz w:val="11"/>
                <w:szCs w:val="11"/>
                <w:color w:val="auto"/>
              </w:rPr>
              <w:t>3,437,871</w:t>
            </w:r>
          </w:p>
        </w:tc>
        <w:tc>
          <w:tcPr>
            <w:tcW w:w="1000" w:type="dxa"/>
            <w:vAlign w:val="bottom"/>
            <w:shd w:val="clear" w:color="auto" w:fill="D9D9D9"/>
          </w:tcPr>
          <w:p>
            <w:pPr>
              <w:jc w:val="right"/>
              <w:ind w:right="62"/>
              <w:spacing w:after="0" w:line="102" w:lineRule="exact"/>
              <w:rPr>
                <w:sz w:val="20"/>
                <w:szCs w:val="20"/>
                <w:color w:val="auto"/>
              </w:rPr>
            </w:pPr>
            <w:r>
              <w:rPr>
                <w:rFonts w:ascii="Arial" w:cs="Arial" w:eastAsia="Arial" w:hAnsi="Arial"/>
                <w:sz w:val="11"/>
                <w:szCs w:val="11"/>
                <w:color w:val="auto"/>
              </w:rPr>
              <w:t>3,500,000</w:t>
            </w:r>
          </w:p>
        </w:tc>
        <w:tc>
          <w:tcPr>
            <w:tcW w:w="1020" w:type="dxa"/>
            <w:vAlign w:val="bottom"/>
            <w:shd w:val="clear" w:color="auto" w:fill="D9D9D9"/>
          </w:tcPr>
          <w:p>
            <w:pPr>
              <w:jc w:val="right"/>
              <w:ind w:right="62"/>
              <w:spacing w:after="0" w:line="102" w:lineRule="exact"/>
              <w:rPr>
                <w:sz w:val="20"/>
                <w:szCs w:val="20"/>
                <w:color w:val="auto"/>
              </w:rPr>
            </w:pPr>
            <w:r>
              <w:rPr>
                <w:rFonts w:ascii="Arial" w:cs="Arial" w:eastAsia="Arial" w:hAnsi="Arial"/>
                <w:sz w:val="11"/>
                <w:szCs w:val="11"/>
                <w:color w:val="auto"/>
              </w:rPr>
              <w:t>1,331,617</w:t>
            </w:r>
          </w:p>
        </w:tc>
        <w:tc>
          <w:tcPr>
            <w:tcW w:w="960" w:type="dxa"/>
            <w:vAlign w:val="bottom"/>
            <w:shd w:val="clear" w:color="auto" w:fill="D9D9D9"/>
          </w:tcPr>
          <w:p>
            <w:pPr>
              <w:jc w:val="right"/>
              <w:ind w:right="22"/>
              <w:spacing w:after="0" w:line="102" w:lineRule="exact"/>
              <w:rPr>
                <w:sz w:val="20"/>
                <w:szCs w:val="20"/>
                <w:color w:val="auto"/>
              </w:rPr>
            </w:pPr>
            <w:r>
              <w:rPr>
                <w:rFonts w:ascii="Arial" w:cs="Arial" w:eastAsia="Arial" w:hAnsi="Arial"/>
                <w:sz w:val="11"/>
                <w:szCs w:val="11"/>
                <w:color w:val="auto"/>
              </w:rPr>
              <w:t>1,990,594</w:t>
            </w:r>
          </w:p>
        </w:tc>
        <w:tc>
          <w:tcPr>
            <w:tcW w:w="160" w:type="dxa"/>
            <w:vAlign w:val="bottom"/>
            <w:shd w:val="clear" w:color="auto" w:fill="D9D9D9"/>
          </w:tcPr>
          <w:p>
            <w:pPr>
              <w:jc w:val="right"/>
              <w:ind w:right="7"/>
              <w:spacing w:after="0" w:line="102" w:lineRule="exact"/>
              <w:rPr>
                <w:sz w:val="20"/>
                <w:szCs w:val="20"/>
                <w:color w:val="auto"/>
              </w:rPr>
            </w:pPr>
            <w:r>
              <w:rPr>
                <w:rFonts w:ascii="Arial" w:cs="Arial" w:eastAsia="Arial" w:hAnsi="Arial"/>
                <w:sz w:val="11"/>
                <w:szCs w:val="11"/>
                <w:color w:val="auto"/>
              </w:rPr>
              <w:t>$</w:t>
            </w:r>
          </w:p>
        </w:tc>
        <w:tc>
          <w:tcPr>
            <w:tcW w:w="680" w:type="dxa"/>
            <w:vAlign w:val="bottom"/>
            <w:shd w:val="clear" w:color="auto" w:fill="D9D9D9"/>
          </w:tcPr>
          <w:p>
            <w:pPr>
              <w:jc w:val="right"/>
              <w:spacing w:after="0" w:line="102" w:lineRule="exact"/>
              <w:rPr>
                <w:sz w:val="20"/>
                <w:szCs w:val="20"/>
                <w:color w:val="auto"/>
              </w:rPr>
            </w:pPr>
            <w:r>
              <w:rPr>
                <w:rFonts w:ascii="Arial" w:cs="Arial" w:eastAsia="Arial" w:hAnsi="Arial"/>
                <w:sz w:val="11"/>
                <w:szCs w:val="11"/>
                <w:color w:val="auto"/>
              </w:rPr>
              <w:t>25,661,972</w:t>
            </w:r>
          </w:p>
        </w:tc>
        <w:tc>
          <w:tcPr>
            <w:tcW w:w="0" w:type="dxa"/>
            <w:vAlign w:val="bottom"/>
          </w:tcPr>
          <w:p>
            <w:pPr>
              <w:spacing w:after="0"/>
              <w:rPr>
                <w:sz w:val="1"/>
                <w:szCs w:val="1"/>
                <w:color w:val="auto"/>
              </w:rPr>
            </w:pPr>
          </w:p>
        </w:tc>
      </w:tr>
      <w:tr>
        <w:trPr>
          <w:trHeight w:val="125"/>
        </w:trPr>
        <w:tc>
          <w:tcPr>
            <w:tcW w:w="2120" w:type="dxa"/>
            <w:vAlign w:val="bottom"/>
            <w:shd w:val="clear" w:color="auto" w:fill="D9D9D9"/>
          </w:tcPr>
          <w:p>
            <w:pPr>
              <w:ind w:left="120"/>
              <w:spacing w:after="0" w:line="125" w:lineRule="exact"/>
              <w:rPr>
                <w:sz w:val="20"/>
                <w:szCs w:val="20"/>
                <w:color w:val="auto"/>
              </w:rPr>
            </w:pPr>
            <w:r>
              <w:rPr>
                <w:rFonts w:ascii="Arial" w:cs="Arial" w:eastAsia="Arial" w:hAnsi="Arial"/>
                <w:sz w:val="12"/>
                <w:szCs w:val="12"/>
                <w:color w:val="auto"/>
              </w:rPr>
              <w:t>Chairman of the Board and</w:t>
            </w:r>
          </w:p>
        </w:tc>
        <w:tc>
          <w:tcPr>
            <w:tcW w:w="60" w:type="dxa"/>
            <w:vAlign w:val="bottom"/>
            <w:shd w:val="clear" w:color="auto" w:fill="D9D9D9"/>
          </w:tcPr>
          <w:p>
            <w:pPr>
              <w:spacing w:after="0"/>
              <w:rPr>
                <w:sz w:val="10"/>
                <w:szCs w:val="10"/>
                <w:color w:val="auto"/>
              </w:rPr>
            </w:pPr>
          </w:p>
        </w:tc>
        <w:tc>
          <w:tcPr>
            <w:tcW w:w="360" w:type="dxa"/>
            <w:vAlign w:val="bottom"/>
            <w:gridSpan w:val="2"/>
            <w:shd w:val="clear" w:color="auto" w:fill="D9D9D9"/>
          </w:tcPr>
          <w:p>
            <w:pPr>
              <w:jc w:val="right"/>
              <w:ind w:right="60"/>
              <w:spacing w:after="0" w:line="125" w:lineRule="exact"/>
              <w:rPr>
                <w:sz w:val="20"/>
                <w:szCs w:val="20"/>
                <w:color w:val="auto"/>
              </w:rPr>
            </w:pPr>
            <w:r>
              <w:rPr>
                <w:rFonts w:ascii="Arial" w:cs="Arial" w:eastAsia="Arial" w:hAnsi="Arial"/>
                <w:sz w:val="12"/>
                <w:szCs w:val="12"/>
                <w:color w:val="auto"/>
              </w:rPr>
              <w:t>2022</w:t>
            </w:r>
          </w:p>
        </w:tc>
        <w:tc>
          <w:tcPr>
            <w:tcW w:w="80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1,700,000</w:t>
            </w:r>
          </w:p>
        </w:tc>
        <w:tc>
          <w:tcPr>
            <w:tcW w:w="5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15,301,308</w:t>
            </w:r>
          </w:p>
        </w:tc>
        <w:tc>
          <w:tcPr>
            <w:tcW w:w="7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3,598,419</w:t>
            </w:r>
          </w:p>
        </w:tc>
        <w:tc>
          <w:tcPr>
            <w:tcW w:w="100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3,927,000</w:t>
            </w:r>
          </w:p>
        </w:tc>
        <w:tc>
          <w:tcPr>
            <w:tcW w:w="10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439,214</w:t>
            </w:r>
          </w:p>
        </w:tc>
        <w:tc>
          <w:tcPr>
            <w:tcW w:w="96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1,321,244</w:t>
            </w:r>
          </w:p>
        </w:tc>
        <w:tc>
          <w:tcPr>
            <w:tcW w:w="160" w:type="dxa"/>
            <w:vAlign w:val="bottom"/>
            <w:shd w:val="clear" w:color="auto" w:fill="D9D9D9"/>
          </w:tcPr>
          <w:p>
            <w:pPr>
              <w:spacing w:after="0"/>
              <w:rPr>
                <w:sz w:val="10"/>
                <w:szCs w:val="10"/>
                <w:color w:val="auto"/>
              </w:rPr>
            </w:pPr>
          </w:p>
        </w:tc>
        <w:tc>
          <w:tcPr>
            <w:tcW w:w="680" w:type="dxa"/>
            <w:vAlign w:val="bottom"/>
            <w:shd w:val="clear" w:color="auto" w:fill="D9D9D9"/>
          </w:tcPr>
          <w:p>
            <w:pPr>
              <w:jc w:val="right"/>
              <w:spacing w:after="0" w:line="125" w:lineRule="exact"/>
              <w:rPr>
                <w:sz w:val="20"/>
                <w:szCs w:val="20"/>
                <w:color w:val="auto"/>
              </w:rPr>
            </w:pPr>
            <w:r>
              <w:rPr>
                <w:rFonts w:ascii="Arial" w:cs="Arial" w:eastAsia="Arial" w:hAnsi="Arial"/>
                <w:sz w:val="12"/>
                <w:szCs w:val="12"/>
                <w:color w:val="auto"/>
              </w:rPr>
              <w:t>26,287,185</w:t>
            </w:r>
          </w:p>
        </w:tc>
        <w:tc>
          <w:tcPr>
            <w:tcW w:w="0" w:type="dxa"/>
            <w:vAlign w:val="bottom"/>
          </w:tcPr>
          <w:p>
            <w:pPr>
              <w:spacing w:after="0"/>
              <w:rPr>
                <w:sz w:val="1"/>
                <w:szCs w:val="1"/>
                <w:color w:val="auto"/>
              </w:rPr>
            </w:pPr>
          </w:p>
        </w:tc>
      </w:tr>
      <w:tr>
        <w:trPr>
          <w:trHeight w:val="141"/>
        </w:trPr>
        <w:tc>
          <w:tcPr>
            <w:tcW w:w="2120" w:type="dxa"/>
            <w:vAlign w:val="bottom"/>
            <w:shd w:val="clear" w:color="auto" w:fill="D9D9D9"/>
          </w:tcPr>
          <w:p>
            <w:pPr>
              <w:ind w:left="120"/>
              <w:spacing w:after="0"/>
              <w:rPr>
                <w:sz w:val="20"/>
                <w:szCs w:val="20"/>
                <w:color w:val="auto"/>
              </w:rPr>
            </w:pPr>
            <w:r>
              <w:rPr>
                <w:rFonts w:ascii="Arial" w:cs="Arial" w:eastAsia="Arial" w:hAnsi="Arial"/>
                <w:sz w:val="12"/>
                <w:szCs w:val="12"/>
                <w:color w:val="auto"/>
              </w:rPr>
              <w:t>Chief Executive Officer</w:t>
            </w:r>
          </w:p>
        </w:tc>
        <w:tc>
          <w:tcPr>
            <w:tcW w:w="60" w:type="dxa"/>
            <w:vAlign w:val="bottom"/>
            <w:shd w:val="clear" w:color="auto" w:fill="D9D9D9"/>
          </w:tcPr>
          <w:p>
            <w:pPr>
              <w:spacing w:after="0"/>
              <w:rPr>
                <w:sz w:val="12"/>
                <w:szCs w:val="12"/>
                <w:color w:val="auto"/>
              </w:rPr>
            </w:pPr>
          </w:p>
        </w:tc>
        <w:tc>
          <w:tcPr>
            <w:tcW w:w="360" w:type="dxa"/>
            <w:vAlign w:val="bottom"/>
            <w:gridSpan w:val="2"/>
            <w:shd w:val="clear" w:color="auto" w:fill="D9D9D9"/>
          </w:tcPr>
          <w:p>
            <w:pPr>
              <w:jc w:val="right"/>
              <w:ind w:right="60"/>
              <w:spacing w:after="0"/>
              <w:rPr>
                <w:sz w:val="20"/>
                <w:szCs w:val="20"/>
                <w:color w:val="auto"/>
              </w:rPr>
            </w:pPr>
            <w:r>
              <w:rPr>
                <w:rFonts w:ascii="Arial" w:cs="Arial" w:eastAsia="Arial" w:hAnsi="Arial"/>
                <w:sz w:val="12"/>
                <w:szCs w:val="12"/>
                <w:color w:val="auto"/>
              </w:rPr>
              <w:t>2021</w:t>
            </w:r>
          </w:p>
        </w:tc>
        <w:tc>
          <w:tcPr>
            <w:tcW w:w="80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1,700,000</w:t>
            </w:r>
          </w:p>
        </w:tc>
        <w:tc>
          <w:tcPr>
            <w:tcW w:w="54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12,573,689</w:t>
            </w:r>
          </w:p>
        </w:tc>
        <w:tc>
          <w:tcPr>
            <w:tcW w:w="7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3,134,649</w:t>
            </w:r>
          </w:p>
        </w:tc>
        <w:tc>
          <w:tcPr>
            <w:tcW w:w="100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4,908,750</w:t>
            </w:r>
          </w:p>
        </w:tc>
        <w:tc>
          <w:tcPr>
            <w:tcW w:w="1020" w:type="dxa"/>
            <w:vAlign w:val="bottom"/>
            <w:shd w:val="clear" w:color="auto" w:fill="D9D9D9"/>
          </w:tcPr>
          <w:p>
            <w:pPr>
              <w:jc w:val="right"/>
              <w:ind w:right="62"/>
              <w:spacing w:after="0"/>
              <w:rPr>
                <w:sz w:val="20"/>
                <w:szCs w:val="20"/>
                <w:color w:val="auto"/>
              </w:rPr>
            </w:pPr>
            <w:r>
              <w:rPr>
                <w:rFonts w:ascii="Arial" w:cs="Arial" w:eastAsia="Arial" w:hAnsi="Arial"/>
                <w:sz w:val="12"/>
                <w:szCs w:val="12"/>
                <w:color w:val="auto"/>
              </w:rPr>
              <w:t>780,993</w:t>
            </w:r>
          </w:p>
        </w:tc>
        <w:tc>
          <w:tcPr>
            <w:tcW w:w="960" w:type="dxa"/>
            <w:vAlign w:val="bottom"/>
            <w:shd w:val="clear" w:color="auto" w:fill="D9D9D9"/>
          </w:tcPr>
          <w:p>
            <w:pPr>
              <w:jc w:val="right"/>
              <w:ind w:right="22"/>
              <w:spacing w:after="0"/>
              <w:rPr>
                <w:sz w:val="20"/>
                <w:szCs w:val="20"/>
                <w:color w:val="auto"/>
              </w:rPr>
            </w:pPr>
            <w:r>
              <w:rPr>
                <w:rFonts w:ascii="Arial" w:cs="Arial" w:eastAsia="Arial" w:hAnsi="Arial"/>
                <w:sz w:val="12"/>
                <w:szCs w:val="12"/>
                <w:color w:val="auto"/>
              </w:rPr>
              <w:t>814,073</w:t>
            </w: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jc w:val="right"/>
              <w:spacing w:after="0"/>
              <w:rPr>
                <w:sz w:val="20"/>
                <w:szCs w:val="20"/>
                <w:color w:val="auto"/>
              </w:rPr>
            </w:pPr>
            <w:r>
              <w:rPr>
                <w:rFonts w:ascii="Arial" w:cs="Arial" w:eastAsia="Arial" w:hAnsi="Arial"/>
                <w:sz w:val="12"/>
                <w:szCs w:val="12"/>
                <w:color w:val="auto"/>
              </w:rPr>
              <w:t>23,912,154</w:t>
            </w:r>
          </w:p>
        </w:tc>
        <w:tc>
          <w:tcPr>
            <w:tcW w:w="0" w:type="dxa"/>
            <w:vAlign w:val="bottom"/>
          </w:tcPr>
          <w:p>
            <w:pPr>
              <w:spacing w:after="0"/>
              <w:rPr>
                <w:sz w:val="1"/>
                <w:szCs w:val="1"/>
                <w:color w:val="auto"/>
              </w:rPr>
            </w:pPr>
          </w:p>
        </w:tc>
      </w:tr>
      <w:tr>
        <w:trPr>
          <w:trHeight w:val="110"/>
        </w:trPr>
        <w:tc>
          <w:tcPr>
            <w:tcW w:w="2120" w:type="dxa"/>
            <w:vAlign w:val="bottom"/>
          </w:tcPr>
          <w:p>
            <w:pPr>
              <w:ind w:left="20"/>
              <w:spacing w:after="0" w:line="110" w:lineRule="exact"/>
              <w:rPr>
                <w:sz w:val="20"/>
                <w:szCs w:val="20"/>
                <w:color w:val="auto"/>
              </w:rPr>
            </w:pPr>
            <w:r>
              <w:rPr>
                <w:rFonts w:ascii="Arial" w:cs="Arial" w:eastAsia="Arial" w:hAnsi="Arial"/>
                <w:sz w:val="12"/>
                <w:szCs w:val="12"/>
                <w:color w:val="auto"/>
              </w:rPr>
              <w:t>Robert A. Michael</w:t>
            </w:r>
          </w:p>
        </w:tc>
        <w:tc>
          <w:tcPr>
            <w:tcW w:w="60" w:type="dxa"/>
            <w:vAlign w:val="bottom"/>
          </w:tcPr>
          <w:p>
            <w:pPr>
              <w:spacing w:after="0"/>
              <w:rPr>
                <w:sz w:val="9"/>
                <w:szCs w:val="9"/>
                <w:color w:val="auto"/>
              </w:rPr>
            </w:pPr>
          </w:p>
        </w:tc>
        <w:tc>
          <w:tcPr>
            <w:tcW w:w="360" w:type="dxa"/>
            <w:vAlign w:val="bottom"/>
            <w:gridSpan w:val="2"/>
          </w:tcPr>
          <w:p>
            <w:pPr>
              <w:jc w:val="right"/>
              <w:ind w:right="60"/>
              <w:spacing w:after="0" w:line="110" w:lineRule="exact"/>
              <w:rPr>
                <w:sz w:val="20"/>
                <w:szCs w:val="20"/>
                <w:color w:val="auto"/>
              </w:rPr>
            </w:pPr>
            <w:r>
              <w:rPr>
                <w:rFonts w:ascii="Arial" w:cs="Arial" w:eastAsia="Arial" w:hAnsi="Arial"/>
                <w:sz w:val="12"/>
                <w:szCs w:val="12"/>
                <w:color w:val="auto"/>
              </w:rPr>
              <w:t>2023</w:t>
            </w:r>
          </w:p>
        </w:tc>
        <w:tc>
          <w:tcPr>
            <w:tcW w:w="800" w:type="dxa"/>
            <w:vAlign w:val="bottom"/>
          </w:tcPr>
          <w:p>
            <w:pPr>
              <w:jc w:val="right"/>
              <w:ind w:right="22"/>
              <w:spacing w:after="0" w:line="110" w:lineRule="exact"/>
              <w:rPr>
                <w:sz w:val="20"/>
                <w:szCs w:val="20"/>
                <w:color w:val="auto"/>
              </w:rPr>
            </w:pPr>
            <w:r>
              <w:rPr>
                <w:rFonts w:ascii="Arial" w:cs="Arial" w:eastAsia="Arial" w:hAnsi="Arial"/>
                <w:sz w:val="12"/>
                <w:szCs w:val="12"/>
                <w:color w:val="auto"/>
              </w:rPr>
              <w:t>1,427,376</w:t>
            </w:r>
          </w:p>
        </w:tc>
        <w:tc>
          <w:tcPr>
            <w:tcW w:w="540" w:type="dxa"/>
            <w:vAlign w:val="bottom"/>
          </w:tcPr>
          <w:p>
            <w:pPr>
              <w:jc w:val="right"/>
              <w:ind w:right="62"/>
              <w:spacing w:after="0" w:line="110" w:lineRule="exact"/>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line="110" w:lineRule="exact"/>
              <w:rPr>
                <w:sz w:val="20"/>
                <w:szCs w:val="20"/>
                <w:color w:val="auto"/>
              </w:rPr>
            </w:pPr>
            <w:r>
              <w:rPr>
                <w:rFonts w:ascii="Arial" w:cs="Arial" w:eastAsia="Arial" w:hAnsi="Arial"/>
                <w:sz w:val="12"/>
                <w:szCs w:val="12"/>
                <w:color w:val="auto"/>
              </w:rPr>
              <w:t>5,440,297</w:t>
            </w:r>
          </w:p>
        </w:tc>
        <w:tc>
          <w:tcPr>
            <w:tcW w:w="7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1,365,031</w:t>
            </w:r>
          </w:p>
        </w:tc>
        <w:tc>
          <w:tcPr>
            <w:tcW w:w="10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3,000,000</w:t>
            </w:r>
          </w:p>
        </w:tc>
        <w:tc>
          <w:tcPr>
            <w:tcW w:w="10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3,019,112</w:t>
            </w:r>
          </w:p>
        </w:tc>
        <w:tc>
          <w:tcPr>
            <w:tcW w:w="960" w:type="dxa"/>
            <w:vAlign w:val="bottom"/>
          </w:tcPr>
          <w:p>
            <w:pPr>
              <w:jc w:val="right"/>
              <w:ind w:right="22"/>
              <w:spacing w:after="0" w:line="110" w:lineRule="exact"/>
              <w:rPr>
                <w:sz w:val="20"/>
                <w:szCs w:val="20"/>
                <w:color w:val="auto"/>
              </w:rPr>
            </w:pPr>
            <w:r>
              <w:rPr>
                <w:rFonts w:ascii="Arial" w:cs="Arial" w:eastAsia="Arial" w:hAnsi="Arial"/>
                <w:sz w:val="12"/>
                <w:szCs w:val="12"/>
                <w:color w:val="auto"/>
              </w:rPr>
              <w:t>189,504</w:t>
            </w:r>
          </w:p>
        </w:tc>
        <w:tc>
          <w:tcPr>
            <w:tcW w:w="16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2"/>
                <w:szCs w:val="12"/>
                <w:color w:val="auto"/>
              </w:rPr>
              <w:t>14,441,320</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line="125" w:lineRule="exact"/>
              <w:rPr>
                <w:sz w:val="20"/>
                <w:szCs w:val="20"/>
                <w:color w:val="auto"/>
              </w:rPr>
            </w:pPr>
            <w:r>
              <w:rPr>
                <w:rFonts w:ascii="Arial" w:cs="Arial" w:eastAsia="Arial" w:hAnsi="Arial"/>
                <w:sz w:val="12"/>
                <w:szCs w:val="12"/>
                <w:color w:val="auto"/>
              </w:rPr>
              <w:t>President and Chief</w:t>
            </w:r>
          </w:p>
        </w:tc>
        <w:tc>
          <w:tcPr>
            <w:tcW w:w="420" w:type="dxa"/>
            <w:vAlign w:val="bottom"/>
            <w:gridSpan w:val="3"/>
          </w:tcPr>
          <w:p>
            <w:pPr>
              <w:jc w:val="right"/>
              <w:ind w:right="60"/>
              <w:spacing w:after="0" w:line="125" w:lineRule="exact"/>
              <w:rPr>
                <w:sz w:val="20"/>
                <w:szCs w:val="20"/>
                <w:color w:val="auto"/>
              </w:rPr>
            </w:pPr>
            <w:r>
              <w:rPr>
                <w:rFonts w:ascii="Arial" w:cs="Arial" w:eastAsia="Arial" w:hAnsi="Arial"/>
                <w:sz w:val="12"/>
                <w:szCs w:val="12"/>
                <w:color w:val="auto"/>
              </w:rPr>
              <w:t>2022</w:t>
            </w:r>
          </w:p>
        </w:tc>
        <w:tc>
          <w:tcPr>
            <w:tcW w:w="800" w:type="dxa"/>
            <w:vAlign w:val="bottom"/>
          </w:tcPr>
          <w:p>
            <w:pPr>
              <w:jc w:val="right"/>
              <w:ind w:right="22"/>
              <w:spacing w:after="0" w:line="125" w:lineRule="exact"/>
              <w:rPr>
                <w:sz w:val="20"/>
                <w:szCs w:val="20"/>
                <w:color w:val="auto"/>
              </w:rPr>
            </w:pPr>
            <w:r>
              <w:rPr>
                <w:rFonts w:ascii="Arial" w:cs="Arial" w:eastAsia="Arial" w:hAnsi="Arial"/>
                <w:sz w:val="12"/>
                <w:szCs w:val="12"/>
                <w:color w:val="auto"/>
              </w:rPr>
              <w:t>1,330,000</w:t>
            </w:r>
          </w:p>
        </w:tc>
        <w:tc>
          <w:tcPr>
            <w:tcW w:w="540" w:type="dxa"/>
            <w:vAlign w:val="bottom"/>
          </w:tcPr>
          <w:p>
            <w:pPr>
              <w:jc w:val="right"/>
              <w:ind w:right="62"/>
              <w:spacing w:after="0" w:line="125" w:lineRule="exact"/>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line="125" w:lineRule="exact"/>
              <w:rPr>
                <w:sz w:val="20"/>
                <w:szCs w:val="20"/>
                <w:color w:val="auto"/>
              </w:rPr>
            </w:pPr>
            <w:r>
              <w:rPr>
                <w:rFonts w:ascii="Arial" w:cs="Arial" w:eastAsia="Arial" w:hAnsi="Arial"/>
                <w:sz w:val="12"/>
                <w:szCs w:val="12"/>
                <w:color w:val="auto"/>
              </w:rPr>
              <w:t>4,675,204</w:t>
            </w:r>
          </w:p>
        </w:tc>
        <w:tc>
          <w:tcPr>
            <w:tcW w:w="7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1,099,516</w:t>
            </w:r>
          </w:p>
        </w:tc>
        <w:tc>
          <w:tcPr>
            <w:tcW w:w="10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2,510,625</w:t>
            </w:r>
          </w:p>
        </w:tc>
        <w:tc>
          <w:tcPr>
            <w:tcW w:w="10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1,607</w:t>
            </w:r>
          </w:p>
        </w:tc>
        <w:tc>
          <w:tcPr>
            <w:tcW w:w="960" w:type="dxa"/>
            <w:vAlign w:val="bottom"/>
          </w:tcPr>
          <w:p>
            <w:pPr>
              <w:jc w:val="right"/>
              <w:ind w:right="22"/>
              <w:spacing w:after="0" w:line="125" w:lineRule="exact"/>
              <w:rPr>
                <w:sz w:val="20"/>
                <w:szCs w:val="20"/>
                <w:color w:val="auto"/>
              </w:rPr>
            </w:pPr>
            <w:r>
              <w:rPr>
                <w:rFonts w:ascii="Arial" w:cs="Arial" w:eastAsia="Arial" w:hAnsi="Arial"/>
                <w:sz w:val="12"/>
                <w:szCs w:val="12"/>
                <w:color w:val="auto"/>
              </w:rPr>
              <w:t>157,417</w:t>
            </w:r>
          </w:p>
        </w:tc>
        <w:tc>
          <w:tcPr>
            <w:tcW w:w="1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9,774,369</w:t>
            </w: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rPr>
                <w:sz w:val="20"/>
                <w:szCs w:val="20"/>
                <w:color w:val="auto"/>
              </w:rPr>
            </w:pPr>
            <w:r>
              <w:rPr>
                <w:rFonts w:ascii="Arial" w:cs="Arial" w:eastAsia="Arial" w:hAnsi="Arial"/>
                <w:sz w:val="12"/>
                <w:szCs w:val="12"/>
                <w:color w:val="auto"/>
              </w:rPr>
              <w:t>Operating Officer</w:t>
            </w:r>
          </w:p>
        </w:tc>
        <w:tc>
          <w:tcPr>
            <w:tcW w:w="420" w:type="dxa"/>
            <w:vAlign w:val="bottom"/>
            <w:gridSpan w:val="3"/>
          </w:tcPr>
          <w:p>
            <w:pPr>
              <w:jc w:val="right"/>
              <w:ind w:right="60"/>
              <w:spacing w:after="0"/>
              <w:rPr>
                <w:sz w:val="20"/>
                <w:szCs w:val="20"/>
                <w:color w:val="auto"/>
              </w:rPr>
            </w:pPr>
            <w:r>
              <w:rPr>
                <w:rFonts w:ascii="Arial" w:cs="Arial" w:eastAsia="Arial" w:hAnsi="Arial"/>
                <w:sz w:val="12"/>
                <w:szCs w:val="12"/>
                <w:color w:val="auto"/>
              </w:rPr>
              <w:t>2021</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1,129,881</w:t>
            </w: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4,258,823</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1,061,733</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2,630,000</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2,525,840</w:t>
            </w: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61,389</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11,667,666</w:t>
            </w:r>
          </w:p>
        </w:tc>
        <w:tc>
          <w:tcPr>
            <w:tcW w:w="0" w:type="dxa"/>
            <w:vAlign w:val="bottom"/>
          </w:tcPr>
          <w:p>
            <w:pPr>
              <w:spacing w:after="0"/>
              <w:rPr>
                <w:sz w:val="1"/>
                <w:szCs w:val="1"/>
                <w:color w:val="auto"/>
              </w:rPr>
            </w:pPr>
          </w:p>
        </w:tc>
      </w:tr>
      <w:tr>
        <w:trPr>
          <w:trHeight w:val="110"/>
        </w:trPr>
        <w:tc>
          <w:tcPr>
            <w:tcW w:w="2120" w:type="dxa"/>
            <w:vAlign w:val="bottom"/>
            <w:shd w:val="clear" w:color="auto" w:fill="D9D9D9"/>
          </w:tcPr>
          <w:p>
            <w:pPr>
              <w:ind w:left="20"/>
              <w:spacing w:after="0" w:line="110" w:lineRule="exact"/>
              <w:rPr>
                <w:sz w:val="20"/>
                <w:szCs w:val="20"/>
                <w:color w:val="auto"/>
              </w:rPr>
            </w:pPr>
            <w:r>
              <w:rPr>
                <w:rFonts w:ascii="Arial" w:cs="Arial" w:eastAsia="Arial" w:hAnsi="Arial"/>
                <w:sz w:val="12"/>
                <w:szCs w:val="12"/>
                <w:color w:val="auto"/>
              </w:rPr>
              <w:t>Scott T. Reents</w:t>
            </w:r>
          </w:p>
        </w:tc>
        <w:tc>
          <w:tcPr>
            <w:tcW w:w="420" w:type="dxa"/>
            <w:vAlign w:val="bottom"/>
            <w:gridSpan w:val="3"/>
            <w:shd w:val="clear" w:color="auto" w:fill="D9D9D9"/>
          </w:tcPr>
          <w:p>
            <w:pPr>
              <w:jc w:val="right"/>
              <w:ind w:right="60"/>
              <w:spacing w:after="0" w:line="110" w:lineRule="exact"/>
              <w:rPr>
                <w:sz w:val="20"/>
                <w:szCs w:val="20"/>
                <w:color w:val="auto"/>
              </w:rPr>
            </w:pPr>
            <w:r>
              <w:rPr>
                <w:rFonts w:ascii="Arial" w:cs="Arial" w:eastAsia="Arial" w:hAnsi="Arial"/>
                <w:sz w:val="12"/>
                <w:szCs w:val="12"/>
                <w:color w:val="auto"/>
              </w:rPr>
              <w:t>2023</w:t>
            </w:r>
          </w:p>
        </w:tc>
        <w:tc>
          <w:tcPr>
            <w:tcW w:w="800" w:type="dxa"/>
            <w:vAlign w:val="bottom"/>
            <w:shd w:val="clear" w:color="auto" w:fill="D9D9D9"/>
          </w:tcPr>
          <w:p>
            <w:pPr>
              <w:jc w:val="right"/>
              <w:ind w:right="22"/>
              <w:spacing w:after="0" w:line="110" w:lineRule="exact"/>
              <w:rPr>
                <w:sz w:val="20"/>
                <w:szCs w:val="20"/>
                <w:color w:val="auto"/>
              </w:rPr>
            </w:pPr>
            <w:r>
              <w:rPr>
                <w:rFonts w:ascii="Arial" w:cs="Arial" w:eastAsia="Arial" w:hAnsi="Arial"/>
                <w:sz w:val="12"/>
                <w:szCs w:val="12"/>
                <w:color w:val="auto"/>
              </w:rPr>
              <w:t>973,077</w:t>
            </w:r>
          </w:p>
        </w:tc>
        <w:tc>
          <w:tcPr>
            <w:tcW w:w="54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4,029,950</w:t>
            </w:r>
          </w:p>
        </w:tc>
        <w:tc>
          <w:tcPr>
            <w:tcW w:w="72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1,011,112</w:t>
            </w:r>
          </w:p>
        </w:tc>
        <w:tc>
          <w:tcPr>
            <w:tcW w:w="100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1,850,000</w:t>
            </w:r>
          </w:p>
        </w:tc>
        <w:tc>
          <w:tcPr>
            <w:tcW w:w="102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2,012,889</w:t>
            </w:r>
          </w:p>
        </w:tc>
        <w:tc>
          <w:tcPr>
            <w:tcW w:w="960" w:type="dxa"/>
            <w:vAlign w:val="bottom"/>
            <w:shd w:val="clear" w:color="auto" w:fill="D9D9D9"/>
          </w:tcPr>
          <w:p>
            <w:pPr>
              <w:jc w:val="right"/>
              <w:ind w:right="22"/>
              <w:spacing w:after="0" w:line="110" w:lineRule="exact"/>
              <w:rPr>
                <w:sz w:val="20"/>
                <w:szCs w:val="20"/>
                <w:color w:val="auto"/>
              </w:rPr>
            </w:pPr>
            <w:r>
              <w:rPr>
                <w:rFonts w:ascii="Arial" w:cs="Arial" w:eastAsia="Arial" w:hAnsi="Arial"/>
                <w:sz w:val="12"/>
                <w:szCs w:val="12"/>
                <w:color w:val="auto"/>
              </w:rPr>
              <w:t>309,684</w:t>
            </w:r>
          </w:p>
        </w:tc>
        <w:tc>
          <w:tcPr>
            <w:tcW w:w="160" w:type="dxa"/>
            <w:vAlign w:val="bottom"/>
            <w:shd w:val="clear" w:color="auto" w:fill="D9D9D9"/>
          </w:tcPr>
          <w:p>
            <w:pPr>
              <w:spacing w:after="0"/>
              <w:rPr>
                <w:sz w:val="9"/>
                <w:szCs w:val="9"/>
                <w:color w:val="auto"/>
              </w:rPr>
            </w:pPr>
          </w:p>
        </w:tc>
        <w:tc>
          <w:tcPr>
            <w:tcW w:w="680" w:type="dxa"/>
            <w:vAlign w:val="bottom"/>
            <w:shd w:val="clear" w:color="auto" w:fill="D9D9D9"/>
          </w:tcPr>
          <w:p>
            <w:pPr>
              <w:jc w:val="right"/>
              <w:spacing w:after="0" w:line="110" w:lineRule="exact"/>
              <w:rPr>
                <w:sz w:val="20"/>
                <w:szCs w:val="20"/>
                <w:color w:val="auto"/>
              </w:rPr>
            </w:pPr>
            <w:r>
              <w:rPr>
                <w:rFonts w:ascii="Arial" w:cs="Arial" w:eastAsia="Arial" w:hAnsi="Arial"/>
                <w:sz w:val="12"/>
                <w:szCs w:val="12"/>
                <w:color w:val="auto"/>
              </w:rPr>
              <w:t>10,186,712</w:t>
            </w:r>
          </w:p>
        </w:tc>
        <w:tc>
          <w:tcPr>
            <w:tcW w:w="0" w:type="dxa"/>
            <w:vAlign w:val="bottom"/>
          </w:tcPr>
          <w:p>
            <w:pPr>
              <w:spacing w:after="0"/>
              <w:rPr>
                <w:sz w:val="1"/>
                <w:szCs w:val="1"/>
                <w:color w:val="auto"/>
              </w:rPr>
            </w:pPr>
          </w:p>
        </w:tc>
      </w:tr>
      <w:tr>
        <w:trPr>
          <w:trHeight w:val="125"/>
        </w:trPr>
        <w:tc>
          <w:tcPr>
            <w:tcW w:w="2120" w:type="dxa"/>
            <w:vAlign w:val="bottom"/>
            <w:shd w:val="clear" w:color="auto" w:fill="D9D9D9"/>
          </w:tcPr>
          <w:p>
            <w:pPr>
              <w:ind w:left="120"/>
              <w:spacing w:after="0" w:line="125" w:lineRule="exact"/>
              <w:rPr>
                <w:sz w:val="20"/>
                <w:szCs w:val="20"/>
                <w:color w:val="auto"/>
              </w:rPr>
            </w:pPr>
            <w:r>
              <w:rPr>
                <w:rFonts w:ascii="Arial" w:cs="Arial" w:eastAsia="Arial" w:hAnsi="Arial"/>
                <w:sz w:val="12"/>
                <w:szCs w:val="12"/>
                <w:color w:val="auto"/>
              </w:rPr>
              <w:t>Executive Vice President, Chief</w:t>
            </w:r>
          </w:p>
        </w:tc>
        <w:tc>
          <w:tcPr>
            <w:tcW w:w="60" w:type="dxa"/>
            <w:vAlign w:val="bottom"/>
            <w:shd w:val="clear" w:color="auto" w:fill="D9D9D9"/>
          </w:tcPr>
          <w:p>
            <w:pPr>
              <w:spacing w:after="0"/>
              <w:rPr>
                <w:sz w:val="10"/>
                <w:szCs w:val="10"/>
                <w:color w:val="auto"/>
              </w:rPr>
            </w:pPr>
          </w:p>
        </w:tc>
        <w:tc>
          <w:tcPr>
            <w:tcW w:w="360" w:type="dxa"/>
            <w:vAlign w:val="bottom"/>
            <w:gridSpan w:val="2"/>
            <w:shd w:val="clear" w:color="auto" w:fill="D9D9D9"/>
          </w:tcPr>
          <w:p>
            <w:pPr>
              <w:jc w:val="right"/>
              <w:ind w:right="60"/>
              <w:spacing w:after="0" w:line="125" w:lineRule="exact"/>
              <w:rPr>
                <w:sz w:val="20"/>
                <w:szCs w:val="20"/>
                <w:color w:val="auto"/>
              </w:rPr>
            </w:pPr>
            <w:r>
              <w:rPr>
                <w:rFonts w:ascii="Arial" w:cs="Arial" w:eastAsia="Arial" w:hAnsi="Arial"/>
                <w:sz w:val="12"/>
                <w:szCs w:val="12"/>
                <w:color w:val="auto"/>
              </w:rPr>
              <w:t>2022</w:t>
            </w:r>
          </w:p>
        </w:tc>
        <w:tc>
          <w:tcPr>
            <w:tcW w:w="80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753,139</w:t>
            </w:r>
          </w:p>
        </w:tc>
        <w:tc>
          <w:tcPr>
            <w:tcW w:w="5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2,104,732</w:t>
            </w:r>
          </w:p>
        </w:tc>
        <w:tc>
          <w:tcPr>
            <w:tcW w:w="7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259,874</w:t>
            </w:r>
          </w:p>
        </w:tc>
        <w:tc>
          <w:tcPr>
            <w:tcW w:w="100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1,400,000</w:t>
            </w:r>
          </w:p>
        </w:tc>
        <w:tc>
          <w:tcPr>
            <w:tcW w:w="10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973,716</w:t>
            </w:r>
          </w:p>
        </w:tc>
        <w:tc>
          <w:tcPr>
            <w:tcW w:w="96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130,475</w:t>
            </w:r>
          </w:p>
        </w:tc>
        <w:tc>
          <w:tcPr>
            <w:tcW w:w="160" w:type="dxa"/>
            <w:vAlign w:val="bottom"/>
            <w:shd w:val="clear" w:color="auto" w:fill="D9D9D9"/>
          </w:tcPr>
          <w:p>
            <w:pPr>
              <w:spacing w:after="0"/>
              <w:rPr>
                <w:sz w:val="10"/>
                <w:szCs w:val="10"/>
                <w:color w:val="auto"/>
              </w:rPr>
            </w:pPr>
          </w:p>
        </w:tc>
        <w:tc>
          <w:tcPr>
            <w:tcW w:w="680" w:type="dxa"/>
            <w:vAlign w:val="bottom"/>
            <w:shd w:val="clear" w:color="auto" w:fill="D9D9D9"/>
          </w:tcPr>
          <w:p>
            <w:pPr>
              <w:jc w:val="right"/>
              <w:spacing w:after="0" w:line="125" w:lineRule="exact"/>
              <w:rPr>
                <w:sz w:val="20"/>
                <w:szCs w:val="20"/>
                <w:color w:val="auto"/>
              </w:rPr>
            </w:pPr>
            <w:r>
              <w:rPr>
                <w:rFonts w:ascii="Arial" w:cs="Arial" w:eastAsia="Arial" w:hAnsi="Arial"/>
                <w:sz w:val="12"/>
                <w:szCs w:val="12"/>
                <w:color w:val="auto"/>
              </w:rPr>
              <w:t>5,621,936</w:t>
            </w:r>
          </w:p>
        </w:tc>
        <w:tc>
          <w:tcPr>
            <w:tcW w:w="0" w:type="dxa"/>
            <w:vAlign w:val="bottom"/>
          </w:tcPr>
          <w:p>
            <w:pPr>
              <w:spacing w:after="0"/>
              <w:rPr>
                <w:sz w:val="1"/>
                <w:szCs w:val="1"/>
                <w:color w:val="auto"/>
              </w:rPr>
            </w:pPr>
          </w:p>
        </w:tc>
      </w:tr>
      <w:tr>
        <w:trPr>
          <w:trHeight w:val="141"/>
        </w:trPr>
        <w:tc>
          <w:tcPr>
            <w:tcW w:w="2120" w:type="dxa"/>
            <w:vAlign w:val="bottom"/>
            <w:shd w:val="clear" w:color="auto" w:fill="D9D9D9"/>
          </w:tcPr>
          <w:p>
            <w:pPr>
              <w:ind w:left="120"/>
              <w:spacing w:after="0"/>
              <w:rPr>
                <w:sz w:val="20"/>
                <w:szCs w:val="20"/>
                <w:color w:val="auto"/>
              </w:rPr>
            </w:pPr>
            <w:r>
              <w:rPr>
                <w:rFonts w:ascii="Arial" w:cs="Arial" w:eastAsia="Arial" w:hAnsi="Arial"/>
                <w:sz w:val="12"/>
                <w:szCs w:val="12"/>
                <w:color w:val="auto"/>
              </w:rPr>
              <w:t>Financial Officer</w:t>
            </w:r>
          </w:p>
        </w:tc>
        <w:tc>
          <w:tcPr>
            <w:tcW w:w="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120" w:type="dxa"/>
            <w:vAlign w:val="bottom"/>
          </w:tcPr>
          <w:p>
            <w:pPr>
              <w:ind w:left="20"/>
              <w:spacing w:after="0" w:line="110" w:lineRule="exact"/>
              <w:rPr>
                <w:sz w:val="20"/>
                <w:szCs w:val="20"/>
                <w:color w:val="auto"/>
              </w:rPr>
            </w:pPr>
            <w:r>
              <w:rPr>
                <w:rFonts w:ascii="Arial" w:cs="Arial" w:eastAsia="Arial" w:hAnsi="Arial"/>
                <w:sz w:val="12"/>
                <w:szCs w:val="12"/>
                <w:color w:val="auto"/>
              </w:rPr>
              <w:t>Jeffrey R. Stewart</w:t>
            </w:r>
          </w:p>
        </w:tc>
        <w:tc>
          <w:tcPr>
            <w:tcW w:w="60" w:type="dxa"/>
            <w:vAlign w:val="bottom"/>
          </w:tcPr>
          <w:p>
            <w:pPr>
              <w:spacing w:after="0"/>
              <w:rPr>
                <w:sz w:val="9"/>
                <w:szCs w:val="9"/>
                <w:color w:val="auto"/>
              </w:rPr>
            </w:pPr>
          </w:p>
        </w:tc>
        <w:tc>
          <w:tcPr>
            <w:tcW w:w="360" w:type="dxa"/>
            <w:vAlign w:val="bottom"/>
            <w:gridSpan w:val="2"/>
          </w:tcPr>
          <w:p>
            <w:pPr>
              <w:jc w:val="right"/>
              <w:ind w:right="60"/>
              <w:spacing w:after="0" w:line="110" w:lineRule="exact"/>
              <w:rPr>
                <w:sz w:val="20"/>
                <w:szCs w:val="20"/>
                <w:color w:val="auto"/>
              </w:rPr>
            </w:pPr>
            <w:r>
              <w:rPr>
                <w:rFonts w:ascii="Arial" w:cs="Arial" w:eastAsia="Arial" w:hAnsi="Arial"/>
                <w:sz w:val="12"/>
                <w:szCs w:val="12"/>
                <w:color w:val="auto"/>
              </w:rPr>
              <w:t>2023</w:t>
            </w:r>
          </w:p>
        </w:tc>
        <w:tc>
          <w:tcPr>
            <w:tcW w:w="800" w:type="dxa"/>
            <w:vAlign w:val="bottom"/>
          </w:tcPr>
          <w:p>
            <w:pPr>
              <w:jc w:val="right"/>
              <w:ind w:right="22"/>
              <w:spacing w:after="0" w:line="110" w:lineRule="exact"/>
              <w:rPr>
                <w:sz w:val="20"/>
                <w:szCs w:val="20"/>
                <w:color w:val="auto"/>
              </w:rPr>
            </w:pPr>
            <w:r>
              <w:rPr>
                <w:rFonts w:ascii="Arial" w:cs="Arial" w:eastAsia="Arial" w:hAnsi="Arial"/>
                <w:sz w:val="12"/>
                <w:szCs w:val="12"/>
                <w:color w:val="auto"/>
              </w:rPr>
              <w:t>1,188,500</w:t>
            </w:r>
          </w:p>
        </w:tc>
        <w:tc>
          <w:tcPr>
            <w:tcW w:w="540" w:type="dxa"/>
            <w:vAlign w:val="bottom"/>
          </w:tcPr>
          <w:p>
            <w:pPr>
              <w:jc w:val="right"/>
              <w:ind w:right="62"/>
              <w:spacing w:after="0" w:line="110" w:lineRule="exact"/>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line="110" w:lineRule="exact"/>
              <w:rPr>
                <w:sz w:val="20"/>
                <w:szCs w:val="20"/>
                <w:color w:val="auto"/>
              </w:rPr>
            </w:pPr>
            <w:r>
              <w:rPr>
                <w:rFonts w:ascii="Arial" w:cs="Arial" w:eastAsia="Arial" w:hAnsi="Arial"/>
                <w:sz w:val="12"/>
                <w:szCs w:val="12"/>
                <w:color w:val="auto"/>
              </w:rPr>
              <w:t>4,190,943</w:t>
            </w:r>
          </w:p>
        </w:tc>
        <w:tc>
          <w:tcPr>
            <w:tcW w:w="7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1,051,574</w:t>
            </w:r>
          </w:p>
        </w:tc>
        <w:tc>
          <w:tcPr>
            <w:tcW w:w="10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2,525,000</w:t>
            </w:r>
          </w:p>
        </w:tc>
        <w:tc>
          <w:tcPr>
            <w:tcW w:w="1020" w:type="dxa"/>
            <w:vAlign w:val="bottom"/>
          </w:tcPr>
          <w:p>
            <w:pPr>
              <w:jc w:val="right"/>
              <w:ind w:right="62"/>
              <w:spacing w:after="0" w:line="110" w:lineRule="exact"/>
              <w:rPr>
                <w:sz w:val="20"/>
                <w:szCs w:val="20"/>
                <w:color w:val="auto"/>
              </w:rPr>
            </w:pPr>
            <w:r>
              <w:rPr>
                <w:rFonts w:ascii="Arial" w:cs="Arial" w:eastAsia="Arial" w:hAnsi="Arial"/>
                <w:sz w:val="12"/>
                <w:szCs w:val="12"/>
                <w:color w:val="auto"/>
              </w:rPr>
              <w:t>5,791,678</w:t>
            </w:r>
          </w:p>
        </w:tc>
        <w:tc>
          <w:tcPr>
            <w:tcW w:w="960" w:type="dxa"/>
            <w:vAlign w:val="bottom"/>
          </w:tcPr>
          <w:p>
            <w:pPr>
              <w:jc w:val="right"/>
              <w:ind w:right="22"/>
              <w:spacing w:after="0" w:line="110" w:lineRule="exact"/>
              <w:rPr>
                <w:sz w:val="20"/>
                <w:szCs w:val="20"/>
                <w:color w:val="auto"/>
              </w:rPr>
            </w:pPr>
            <w:r>
              <w:rPr>
                <w:rFonts w:ascii="Arial" w:cs="Arial" w:eastAsia="Arial" w:hAnsi="Arial"/>
                <w:sz w:val="12"/>
                <w:szCs w:val="12"/>
                <w:color w:val="auto"/>
              </w:rPr>
              <w:t>601,863</w:t>
            </w:r>
          </w:p>
        </w:tc>
        <w:tc>
          <w:tcPr>
            <w:tcW w:w="16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2"/>
                <w:szCs w:val="12"/>
                <w:color w:val="auto"/>
              </w:rPr>
              <w:t>15,349,558</w:t>
            </w:r>
          </w:p>
        </w:tc>
        <w:tc>
          <w:tcPr>
            <w:tcW w:w="0" w:type="dxa"/>
            <w:vAlign w:val="bottom"/>
          </w:tcPr>
          <w:p>
            <w:pPr>
              <w:spacing w:after="0"/>
              <w:rPr>
                <w:sz w:val="1"/>
                <w:szCs w:val="1"/>
                <w:color w:val="auto"/>
              </w:rPr>
            </w:pPr>
          </w:p>
        </w:tc>
      </w:tr>
      <w:tr>
        <w:trPr>
          <w:trHeight w:val="125"/>
        </w:trPr>
        <w:tc>
          <w:tcPr>
            <w:tcW w:w="2120" w:type="dxa"/>
            <w:vAlign w:val="bottom"/>
          </w:tcPr>
          <w:p>
            <w:pPr>
              <w:ind w:left="120"/>
              <w:spacing w:after="0" w:line="125" w:lineRule="exact"/>
              <w:rPr>
                <w:sz w:val="20"/>
                <w:szCs w:val="20"/>
                <w:color w:val="auto"/>
              </w:rPr>
            </w:pPr>
            <w:r>
              <w:rPr>
                <w:rFonts w:ascii="Arial" w:cs="Arial" w:eastAsia="Arial" w:hAnsi="Arial"/>
                <w:sz w:val="12"/>
                <w:szCs w:val="12"/>
                <w:color w:val="auto"/>
              </w:rPr>
              <w:t>Executive Vice President, Chief</w:t>
            </w:r>
          </w:p>
        </w:tc>
        <w:tc>
          <w:tcPr>
            <w:tcW w:w="420" w:type="dxa"/>
            <w:vAlign w:val="bottom"/>
            <w:gridSpan w:val="3"/>
          </w:tcPr>
          <w:p>
            <w:pPr>
              <w:jc w:val="right"/>
              <w:ind w:right="60"/>
              <w:spacing w:after="0" w:line="125" w:lineRule="exact"/>
              <w:rPr>
                <w:sz w:val="20"/>
                <w:szCs w:val="20"/>
                <w:color w:val="auto"/>
              </w:rPr>
            </w:pPr>
            <w:r>
              <w:rPr>
                <w:rFonts w:ascii="Arial" w:cs="Arial" w:eastAsia="Arial" w:hAnsi="Arial"/>
                <w:sz w:val="12"/>
                <w:szCs w:val="12"/>
                <w:color w:val="auto"/>
              </w:rPr>
              <w:t>2022</w:t>
            </w:r>
          </w:p>
        </w:tc>
        <w:tc>
          <w:tcPr>
            <w:tcW w:w="800" w:type="dxa"/>
            <w:vAlign w:val="bottom"/>
          </w:tcPr>
          <w:p>
            <w:pPr>
              <w:jc w:val="right"/>
              <w:ind w:right="22"/>
              <w:spacing w:after="0" w:line="125" w:lineRule="exact"/>
              <w:rPr>
                <w:sz w:val="20"/>
                <w:szCs w:val="20"/>
                <w:color w:val="auto"/>
              </w:rPr>
            </w:pPr>
            <w:r>
              <w:rPr>
                <w:rFonts w:ascii="Arial" w:cs="Arial" w:eastAsia="Arial" w:hAnsi="Arial"/>
                <w:sz w:val="12"/>
                <w:szCs w:val="12"/>
                <w:color w:val="auto"/>
              </w:rPr>
              <w:t>1,106,458</w:t>
            </w:r>
          </w:p>
        </w:tc>
        <w:tc>
          <w:tcPr>
            <w:tcW w:w="540" w:type="dxa"/>
            <w:vAlign w:val="bottom"/>
          </w:tcPr>
          <w:p>
            <w:pPr>
              <w:jc w:val="right"/>
              <w:ind w:right="62"/>
              <w:spacing w:after="0" w:line="125" w:lineRule="exact"/>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line="125" w:lineRule="exact"/>
              <w:rPr>
                <w:sz w:val="20"/>
                <w:szCs w:val="20"/>
                <w:color w:val="auto"/>
              </w:rPr>
            </w:pPr>
            <w:r>
              <w:rPr>
                <w:rFonts w:ascii="Arial" w:cs="Arial" w:eastAsia="Arial" w:hAnsi="Arial"/>
                <w:sz w:val="12"/>
                <w:szCs w:val="12"/>
                <w:color w:val="auto"/>
              </w:rPr>
              <w:t>5,612,478</w:t>
            </w:r>
          </w:p>
        </w:tc>
        <w:tc>
          <w:tcPr>
            <w:tcW w:w="7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849,618</w:t>
            </w:r>
          </w:p>
        </w:tc>
        <w:tc>
          <w:tcPr>
            <w:tcW w:w="10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1,654,208</w:t>
            </w:r>
          </w:p>
        </w:tc>
        <w:tc>
          <w:tcPr>
            <w:tcW w:w="102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179,792</w:t>
            </w:r>
          </w:p>
        </w:tc>
        <w:tc>
          <w:tcPr>
            <w:tcW w:w="960" w:type="dxa"/>
            <w:vAlign w:val="bottom"/>
          </w:tcPr>
          <w:p>
            <w:pPr>
              <w:jc w:val="right"/>
              <w:ind w:right="22"/>
              <w:spacing w:after="0" w:line="125" w:lineRule="exact"/>
              <w:rPr>
                <w:sz w:val="20"/>
                <w:szCs w:val="20"/>
                <w:color w:val="auto"/>
              </w:rPr>
            </w:pPr>
            <w:r>
              <w:rPr>
                <w:rFonts w:ascii="Arial" w:cs="Arial" w:eastAsia="Arial" w:hAnsi="Arial"/>
                <w:sz w:val="12"/>
                <w:szCs w:val="12"/>
                <w:color w:val="auto"/>
              </w:rPr>
              <w:t>222,565</w:t>
            </w:r>
          </w:p>
        </w:tc>
        <w:tc>
          <w:tcPr>
            <w:tcW w:w="1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2"/>
                <w:szCs w:val="12"/>
                <w:color w:val="auto"/>
              </w:rPr>
              <w:t>9,625,119</w:t>
            </w:r>
          </w:p>
        </w:tc>
        <w:tc>
          <w:tcPr>
            <w:tcW w:w="0" w:type="dxa"/>
            <w:vAlign w:val="bottom"/>
          </w:tcPr>
          <w:p>
            <w:pPr>
              <w:spacing w:after="0"/>
              <w:rPr>
                <w:sz w:val="1"/>
                <w:szCs w:val="1"/>
                <w:color w:val="auto"/>
              </w:rPr>
            </w:pPr>
          </w:p>
        </w:tc>
      </w:tr>
      <w:tr>
        <w:trPr>
          <w:trHeight w:val="141"/>
        </w:trPr>
        <w:tc>
          <w:tcPr>
            <w:tcW w:w="2120" w:type="dxa"/>
            <w:vAlign w:val="bottom"/>
          </w:tcPr>
          <w:p>
            <w:pPr>
              <w:ind w:left="120"/>
              <w:spacing w:after="0"/>
              <w:rPr>
                <w:sz w:val="20"/>
                <w:szCs w:val="20"/>
                <w:color w:val="auto"/>
              </w:rPr>
            </w:pPr>
            <w:r>
              <w:rPr>
                <w:rFonts w:ascii="Arial" w:cs="Arial" w:eastAsia="Arial" w:hAnsi="Arial"/>
                <w:sz w:val="12"/>
                <w:szCs w:val="12"/>
                <w:color w:val="auto"/>
              </w:rPr>
              <w:t>Commercial Officer</w:t>
            </w:r>
          </w:p>
        </w:tc>
        <w:tc>
          <w:tcPr>
            <w:tcW w:w="420" w:type="dxa"/>
            <w:vAlign w:val="bottom"/>
            <w:gridSpan w:val="3"/>
          </w:tcPr>
          <w:p>
            <w:pPr>
              <w:jc w:val="right"/>
              <w:ind w:right="60"/>
              <w:spacing w:after="0"/>
              <w:rPr>
                <w:sz w:val="20"/>
                <w:szCs w:val="20"/>
                <w:color w:val="auto"/>
              </w:rPr>
            </w:pPr>
            <w:r>
              <w:rPr>
                <w:rFonts w:ascii="Arial" w:cs="Arial" w:eastAsia="Arial" w:hAnsi="Arial"/>
                <w:sz w:val="12"/>
                <w:szCs w:val="12"/>
                <w:color w:val="auto"/>
              </w:rPr>
              <w:t>2021</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1,074,231</w:t>
            </w:r>
          </w:p>
        </w:tc>
        <w:tc>
          <w:tcPr>
            <w:tcW w:w="540" w:type="dxa"/>
            <w:vAlign w:val="bottom"/>
          </w:tcPr>
          <w:p>
            <w:pPr>
              <w:jc w:val="right"/>
              <w:ind w:right="62"/>
              <w:spacing w:after="0"/>
              <w:rPr>
                <w:sz w:val="20"/>
                <w:szCs w:val="20"/>
                <w:color w:val="auto"/>
              </w:rPr>
            </w:pPr>
            <w:r>
              <w:rPr>
                <w:rFonts w:ascii="Arial" w:cs="Arial" w:eastAsia="Arial" w:hAnsi="Arial"/>
                <w:sz w:val="12"/>
                <w:szCs w:val="12"/>
                <w:color w:val="auto"/>
              </w:rPr>
              <w:t>0</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2,839,144</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707,822</w:t>
            </w:r>
          </w:p>
        </w:tc>
        <w:tc>
          <w:tcPr>
            <w:tcW w:w="1000" w:type="dxa"/>
            <w:vAlign w:val="bottom"/>
          </w:tcPr>
          <w:p>
            <w:pPr>
              <w:jc w:val="right"/>
              <w:ind w:right="62"/>
              <w:spacing w:after="0"/>
              <w:rPr>
                <w:sz w:val="20"/>
                <w:szCs w:val="20"/>
                <w:color w:val="auto"/>
              </w:rPr>
            </w:pPr>
            <w:r>
              <w:rPr>
                <w:rFonts w:ascii="Arial" w:cs="Arial" w:eastAsia="Arial" w:hAnsi="Arial"/>
                <w:sz w:val="12"/>
                <w:szCs w:val="12"/>
                <w:color w:val="auto"/>
              </w:rPr>
              <w:t>2,050,000</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2,212,898</w:t>
            </w:r>
          </w:p>
        </w:tc>
        <w:tc>
          <w:tcPr>
            <w:tcW w:w="960" w:type="dxa"/>
            <w:vAlign w:val="bottom"/>
          </w:tcPr>
          <w:p>
            <w:pPr>
              <w:jc w:val="right"/>
              <w:ind w:right="22"/>
              <w:spacing w:after="0"/>
              <w:rPr>
                <w:sz w:val="20"/>
                <w:szCs w:val="20"/>
                <w:color w:val="auto"/>
              </w:rPr>
            </w:pPr>
            <w:r>
              <w:rPr>
                <w:rFonts w:ascii="Arial" w:cs="Arial" w:eastAsia="Arial" w:hAnsi="Arial"/>
                <w:sz w:val="12"/>
                <w:szCs w:val="12"/>
                <w:color w:val="auto"/>
              </w:rPr>
              <w:t>129,001</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9,013,096</w:t>
            </w:r>
          </w:p>
        </w:tc>
        <w:tc>
          <w:tcPr>
            <w:tcW w:w="0" w:type="dxa"/>
            <w:vAlign w:val="bottom"/>
          </w:tcPr>
          <w:p>
            <w:pPr>
              <w:spacing w:after="0"/>
              <w:rPr>
                <w:sz w:val="1"/>
                <w:szCs w:val="1"/>
                <w:color w:val="auto"/>
              </w:rPr>
            </w:pPr>
          </w:p>
        </w:tc>
      </w:tr>
      <w:tr>
        <w:trPr>
          <w:trHeight w:val="110"/>
        </w:trPr>
        <w:tc>
          <w:tcPr>
            <w:tcW w:w="2120" w:type="dxa"/>
            <w:vAlign w:val="bottom"/>
            <w:shd w:val="clear" w:color="auto" w:fill="D9D9D9"/>
          </w:tcPr>
          <w:p>
            <w:pPr>
              <w:ind w:left="20"/>
              <w:spacing w:after="0" w:line="110" w:lineRule="exact"/>
              <w:rPr>
                <w:sz w:val="20"/>
                <w:szCs w:val="20"/>
                <w:color w:val="auto"/>
              </w:rPr>
            </w:pPr>
            <w:r>
              <w:rPr>
                <w:rFonts w:ascii="Arial" w:cs="Arial" w:eastAsia="Arial" w:hAnsi="Arial"/>
                <w:sz w:val="12"/>
                <w:szCs w:val="12"/>
                <w:color w:val="auto"/>
              </w:rPr>
              <w:t>Azita Saleki-Gerhardt</w:t>
            </w:r>
          </w:p>
        </w:tc>
        <w:tc>
          <w:tcPr>
            <w:tcW w:w="420" w:type="dxa"/>
            <w:vAlign w:val="bottom"/>
            <w:gridSpan w:val="3"/>
            <w:shd w:val="clear" w:color="auto" w:fill="D9D9D9"/>
          </w:tcPr>
          <w:p>
            <w:pPr>
              <w:jc w:val="right"/>
              <w:ind w:right="60"/>
              <w:spacing w:after="0" w:line="110" w:lineRule="exact"/>
              <w:rPr>
                <w:sz w:val="20"/>
                <w:szCs w:val="20"/>
                <w:color w:val="auto"/>
              </w:rPr>
            </w:pPr>
            <w:r>
              <w:rPr>
                <w:rFonts w:ascii="Arial" w:cs="Arial" w:eastAsia="Arial" w:hAnsi="Arial"/>
                <w:sz w:val="12"/>
                <w:szCs w:val="12"/>
                <w:color w:val="auto"/>
              </w:rPr>
              <w:t>2023</w:t>
            </w:r>
          </w:p>
        </w:tc>
        <w:tc>
          <w:tcPr>
            <w:tcW w:w="800" w:type="dxa"/>
            <w:vAlign w:val="bottom"/>
            <w:shd w:val="clear" w:color="auto" w:fill="D9D9D9"/>
          </w:tcPr>
          <w:p>
            <w:pPr>
              <w:jc w:val="right"/>
              <w:ind w:right="22"/>
              <w:spacing w:after="0" w:line="110" w:lineRule="exact"/>
              <w:rPr>
                <w:sz w:val="20"/>
                <w:szCs w:val="20"/>
                <w:color w:val="auto"/>
              </w:rPr>
            </w:pPr>
            <w:r>
              <w:rPr>
                <w:rFonts w:ascii="Arial" w:cs="Arial" w:eastAsia="Arial" w:hAnsi="Arial"/>
                <w:sz w:val="12"/>
                <w:szCs w:val="12"/>
                <w:color w:val="auto"/>
              </w:rPr>
              <w:t>941,005</w:t>
            </w:r>
          </w:p>
        </w:tc>
        <w:tc>
          <w:tcPr>
            <w:tcW w:w="54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2,740,197</w:t>
            </w:r>
          </w:p>
        </w:tc>
        <w:tc>
          <w:tcPr>
            <w:tcW w:w="72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687,562</w:t>
            </w:r>
          </w:p>
        </w:tc>
        <w:tc>
          <w:tcPr>
            <w:tcW w:w="100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1,850,000</w:t>
            </w:r>
          </w:p>
        </w:tc>
        <w:tc>
          <w:tcPr>
            <w:tcW w:w="1020" w:type="dxa"/>
            <w:vAlign w:val="bottom"/>
            <w:shd w:val="clear" w:color="auto" w:fill="D9D9D9"/>
          </w:tcPr>
          <w:p>
            <w:pPr>
              <w:jc w:val="right"/>
              <w:ind w:right="62"/>
              <w:spacing w:after="0" w:line="110" w:lineRule="exact"/>
              <w:rPr>
                <w:sz w:val="20"/>
                <w:szCs w:val="20"/>
                <w:color w:val="auto"/>
              </w:rPr>
            </w:pPr>
            <w:r>
              <w:rPr>
                <w:rFonts w:ascii="Arial" w:cs="Arial" w:eastAsia="Arial" w:hAnsi="Arial"/>
                <w:sz w:val="12"/>
                <w:szCs w:val="12"/>
                <w:color w:val="auto"/>
              </w:rPr>
              <w:t>2,361,465</w:t>
            </w:r>
          </w:p>
        </w:tc>
        <w:tc>
          <w:tcPr>
            <w:tcW w:w="960" w:type="dxa"/>
            <w:vAlign w:val="bottom"/>
            <w:shd w:val="clear" w:color="auto" w:fill="D9D9D9"/>
          </w:tcPr>
          <w:p>
            <w:pPr>
              <w:jc w:val="right"/>
              <w:ind w:right="22"/>
              <w:spacing w:after="0" w:line="110" w:lineRule="exact"/>
              <w:rPr>
                <w:sz w:val="20"/>
                <w:szCs w:val="20"/>
                <w:color w:val="auto"/>
              </w:rPr>
            </w:pPr>
            <w:r>
              <w:rPr>
                <w:rFonts w:ascii="Arial" w:cs="Arial" w:eastAsia="Arial" w:hAnsi="Arial"/>
                <w:sz w:val="12"/>
                <w:szCs w:val="12"/>
                <w:color w:val="auto"/>
              </w:rPr>
              <w:t>719,423</w:t>
            </w:r>
          </w:p>
        </w:tc>
        <w:tc>
          <w:tcPr>
            <w:tcW w:w="160" w:type="dxa"/>
            <w:vAlign w:val="bottom"/>
            <w:shd w:val="clear" w:color="auto" w:fill="D9D9D9"/>
          </w:tcPr>
          <w:p>
            <w:pPr>
              <w:spacing w:after="0"/>
              <w:rPr>
                <w:sz w:val="9"/>
                <w:szCs w:val="9"/>
                <w:color w:val="auto"/>
              </w:rPr>
            </w:pPr>
          </w:p>
        </w:tc>
        <w:tc>
          <w:tcPr>
            <w:tcW w:w="680" w:type="dxa"/>
            <w:vAlign w:val="bottom"/>
            <w:shd w:val="clear" w:color="auto" w:fill="D9D9D9"/>
          </w:tcPr>
          <w:p>
            <w:pPr>
              <w:jc w:val="right"/>
              <w:spacing w:after="0" w:line="110" w:lineRule="exact"/>
              <w:rPr>
                <w:sz w:val="20"/>
                <w:szCs w:val="20"/>
                <w:color w:val="auto"/>
              </w:rPr>
            </w:pPr>
            <w:r>
              <w:rPr>
                <w:rFonts w:ascii="Arial" w:cs="Arial" w:eastAsia="Arial" w:hAnsi="Arial"/>
                <w:sz w:val="12"/>
                <w:szCs w:val="12"/>
                <w:color w:val="auto"/>
              </w:rPr>
              <w:t>9,299,652</w:t>
            </w:r>
          </w:p>
        </w:tc>
        <w:tc>
          <w:tcPr>
            <w:tcW w:w="0" w:type="dxa"/>
            <w:vAlign w:val="bottom"/>
          </w:tcPr>
          <w:p>
            <w:pPr>
              <w:spacing w:after="0"/>
              <w:rPr>
                <w:sz w:val="1"/>
                <w:szCs w:val="1"/>
                <w:color w:val="auto"/>
              </w:rPr>
            </w:pPr>
          </w:p>
        </w:tc>
      </w:tr>
      <w:tr>
        <w:trPr>
          <w:trHeight w:val="125"/>
        </w:trPr>
        <w:tc>
          <w:tcPr>
            <w:tcW w:w="2120" w:type="dxa"/>
            <w:vAlign w:val="bottom"/>
            <w:shd w:val="clear" w:color="auto" w:fill="D9D9D9"/>
          </w:tcPr>
          <w:p>
            <w:pPr>
              <w:ind w:left="120"/>
              <w:spacing w:after="0" w:line="125" w:lineRule="exact"/>
              <w:rPr>
                <w:sz w:val="20"/>
                <w:szCs w:val="20"/>
                <w:color w:val="auto"/>
              </w:rPr>
            </w:pPr>
            <w:r>
              <w:rPr>
                <w:rFonts w:ascii="Arial" w:cs="Arial" w:eastAsia="Arial" w:hAnsi="Arial"/>
                <w:sz w:val="12"/>
                <w:szCs w:val="12"/>
                <w:color w:val="auto"/>
              </w:rPr>
              <w:t>Executive Vice President, Chief</w:t>
            </w:r>
          </w:p>
        </w:tc>
        <w:tc>
          <w:tcPr>
            <w:tcW w:w="60" w:type="dxa"/>
            <w:vAlign w:val="bottom"/>
            <w:shd w:val="clear" w:color="auto" w:fill="D9D9D9"/>
          </w:tcPr>
          <w:p>
            <w:pPr>
              <w:spacing w:after="0"/>
              <w:rPr>
                <w:sz w:val="10"/>
                <w:szCs w:val="10"/>
                <w:color w:val="auto"/>
              </w:rPr>
            </w:pPr>
          </w:p>
        </w:tc>
        <w:tc>
          <w:tcPr>
            <w:tcW w:w="360" w:type="dxa"/>
            <w:vAlign w:val="bottom"/>
            <w:gridSpan w:val="2"/>
            <w:shd w:val="clear" w:color="auto" w:fill="D9D9D9"/>
          </w:tcPr>
          <w:p>
            <w:pPr>
              <w:jc w:val="right"/>
              <w:ind w:right="60"/>
              <w:spacing w:after="0" w:line="125" w:lineRule="exact"/>
              <w:rPr>
                <w:sz w:val="20"/>
                <w:szCs w:val="20"/>
                <w:color w:val="auto"/>
              </w:rPr>
            </w:pPr>
            <w:r>
              <w:rPr>
                <w:rFonts w:ascii="Arial" w:cs="Arial" w:eastAsia="Arial" w:hAnsi="Arial"/>
                <w:sz w:val="12"/>
                <w:szCs w:val="12"/>
                <w:color w:val="auto"/>
              </w:rPr>
              <w:t>2022</w:t>
            </w:r>
          </w:p>
        </w:tc>
        <w:tc>
          <w:tcPr>
            <w:tcW w:w="80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866,413</w:t>
            </w:r>
          </w:p>
        </w:tc>
        <w:tc>
          <w:tcPr>
            <w:tcW w:w="5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0</w:t>
            </w:r>
          </w:p>
        </w:tc>
        <w:tc>
          <w:tcPr>
            <w:tcW w:w="84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5,399,913</w:t>
            </w:r>
          </w:p>
        </w:tc>
        <w:tc>
          <w:tcPr>
            <w:tcW w:w="7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799,644</w:t>
            </w:r>
          </w:p>
        </w:tc>
        <w:tc>
          <w:tcPr>
            <w:tcW w:w="100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1,439,255</w:t>
            </w:r>
          </w:p>
        </w:tc>
        <w:tc>
          <w:tcPr>
            <w:tcW w:w="1020" w:type="dxa"/>
            <w:vAlign w:val="bottom"/>
            <w:shd w:val="clear" w:color="auto" w:fill="D9D9D9"/>
          </w:tcPr>
          <w:p>
            <w:pPr>
              <w:jc w:val="right"/>
              <w:ind w:right="62"/>
              <w:spacing w:after="0" w:line="125" w:lineRule="exact"/>
              <w:rPr>
                <w:sz w:val="20"/>
                <w:szCs w:val="20"/>
                <w:color w:val="auto"/>
              </w:rPr>
            </w:pPr>
            <w:r>
              <w:rPr>
                <w:rFonts w:ascii="Arial" w:cs="Arial" w:eastAsia="Arial" w:hAnsi="Arial"/>
                <w:sz w:val="12"/>
                <w:szCs w:val="12"/>
                <w:color w:val="auto"/>
              </w:rPr>
              <w:t>223,236</w:t>
            </w:r>
          </w:p>
        </w:tc>
        <w:tc>
          <w:tcPr>
            <w:tcW w:w="960" w:type="dxa"/>
            <w:vAlign w:val="bottom"/>
            <w:shd w:val="clear" w:color="auto" w:fill="D9D9D9"/>
          </w:tcPr>
          <w:p>
            <w:pPr>
              <w:jc w:val="right"/>
              <w:ind w:right="22"/>
              <w:spacing w:after="0" w:line="125" w:lineRule="exact"/>
              <w:rPr>
                <w:sz w:val="20"/>
                <w:szCs w:val="20"/>
                <w:color w:val="auto"/>
              </w:rPr>
            </w:pPr>
            <w:r>
              <w:rPr>
                <w:rFonts w:ascii="Arial" w:cs="Arial" w:eastAsia="Arial" w:hAnsi="Arial"/>
                <w:sz w:val="12"/>
                <w:szCs w:val="12"/>
                <w:color w:val="auto"/>
              </w:rPr>
              <w:t>271,087</w:t>
            </w:r>
          </w:p>
        </w:tc>
        <w:tc>
          <w:tcPr>
            <w:tcW w:w="160" w:type="dxa"/>
            <w:vAlign w:val="bottom"/>
            <w:shd w:val="clear" w:color="auto" w:fill="D9D9D9"/>
          </w:tcPr>
          <w:p>
            <w:pPr>
              <w:spacing w:after="0"/>
              <w:rPr>
                <w:sz w:val="10"/>
                <w:szCs w:val="10"/>
                <w:color w:val="auto"/>
              </w:rPr>
            </w:pPr>
          </w:p>
        </w:tc>
        <w:tc>
          <w:tcPr>
            <w:tcW w:w="680" w:type="dxa"/>
            <w:vAlign w:val="bottom"/>
            <w:shd w:val="clear" w:color="auto" w:fill="D9D9D9"/>
          </w:tcPr>
          <w:p>
            <w:pPr>
              <w:jc w:val="right"/>
              <w:spacing w:after="0" w:line="125" w:lineRule="exact"/>
              <w:rPr>
                <w:sz w:val="20"/>
                <w:szCs w:val="20"/>
                <w:color w:val="auto"/>
              </w:rPr>
            </w:pPr>
            <w:r>
              <w:rPr>
                <w:rFonts w:ascii="Arial" w:cs="Arial" w:eastAsia="Arial" w:hAnsi="Arial"/>
                <w:sz w:val="12"/>
                <w:szCs w:val="12"/>
                <w:color w:val="auto"/>
              </w:rPr>
              <w:t>8,999,548</w:t>
            </w:r>
          </w:p>
        </w:tc>
        <w:tc>
          <w:tcPr>
            <w:tcW w:w="0" w:type="dxa"/>
            <w:vAlign w:val="bottom"/>
          </w:tcPr>
          <w:p>
            <w:pPr>
              <w:spacing w:after="0"/>
              <w:rPr>
                <w:sz w:val="1"/>
                <w:szCs w:val="1"/>
                <w:color w:val="auto"/>
              </w:rPr>
            </w:pPr>
          </w:p>
        </w:tc>
      </w:tr>
      <w:tr>
        <w:trPr>
          <w:trHeight w:val="141"/>
        </w:trPr>
        <w:tc>
          <w:tcPr>
            <w:tcW w:w="2120" w:type="dxa"/>
            <w:vAlign w:val="bottom"/>
            <w:shd w:val="clear" w:color="auto" w:fill="D9D9D9"/>
          </w:tcPr>
          <w:p>
            <w:pPr>
              <w:ind w:left="120"/>
              <w:spacing w:after="0"/>
              <w:rPr>
                <w:sz w:val="20"/>
                <w:szCs w:val="20"/>
                <w:color w:val="auto"/>
              </w:rPr>
            </w:pPr>
            <w:r>
              <w:rPr>
                <w:rFonts w:ascii="Arial" w:cs="Arial" w:eastAsia="Arial" w:hAnsi="Arial"/>
                <w:sz w:val="12"/>
                <w:szCs w:val="12"/>
                <w:color w:val="auto"/>
              </w:rPr>
              <w:t>Operations Officer</w:t>
            </w:r>
          </w:p>
        </w:tc>
        <w:tc>
          <w:tcPr>
            <w:tcW w:w="60" w:type="dxa"/>
            <w:vAlign w:val="bottom"/>
            <w:shd w:val="clear" w:color="auto" w:fill="D9D9D9"/>
          </w:tcPr>
          <w:p>
            <w:pPr>
              <w:spacing w:after="0"/>
              <w:rPr>
                <w:sz w:val="12"/>
                <w:szCs w:val="12"/>
                <w:color w:val="auto"/>
              </w:rPr>
            </w:pPr>
          </w:p>
        </w:tc>
        <w:tc>
          <w:tcPr>
            <w:tcW w:w="140" w:type="dxa"/>
            <w:vAlign w:val="bottom"/>
            <w:shd w:val="clear" w:color="auto" w:fill="D9D9D9"/>
          </w:tcPr>
          <w:p>
            <w:pPr>
              <w:spacing w:after="0"/>
              <w:rPr>
                <w:sz w:val="12"/>
                <w:szCs w:val="12"/>
                <w:color w:val="auto"/>
              </w:rPr>
            </w:pPr>
          </w:p>
        </w:tc>
        <w:tc>
          <w:tcPr>
            <w:tcW w:w="220" w:type="dxa"/>
            <w:vAlign w:val="bottom"/>
            <w:shd w:val="clear" w:color="auto" w:fill="D9D9D9"/>
          </w:tcPr>
          <w:p>
            <w:pPr>
              <w:spacing w:after="0"/>
              <w:rPr>
                <w:sz w:val="12"/>
                <w:szCs w:val="12"/>
                <w:color w:val="auto"/>
              </w:rPr>
            </w:pPr>
          </w:p>
        </w:tc>
        <w:tc>
          <w:tcPr>
            <w:tcW w:w="800" w:type="dxa"/>
            <w:vAlign w:val="bottom"/>
            <w:shd w:val="clear" w:color="auto" w:fill="D9D9D9"/>
          </w:tcPr>
          <w:p>
            <w:pPr>
              <w:spacing w:after="0"/>
              <w:rPr>
                <w:sz w:val="12"/>
                <w:szCs w:val="12"/>
                <w:color w:val="auto"/>
              </w:rPr>
            </w:pPr>
          </w:p>
        </w:tc>
        <w:tc>
          <w:tcPr>
            <w:tcW w:w="540" w:type="dxa"/>
            <w:vAlign w:val="bottom"/>
            <w:shd w:val="clear" w:color="auto" w:fill="D9D9D9"/>
          </w:tcPr>
          <w:p>
            <w:pPr>
              <w:spacing w:after="0"/>
              <w:rPr>
                <w:sz w:val="12"/>
                <w:szCs w:val="12"/>
                <w:color w:val="auto"/>
              </w:rPr>
            </w:pPr>
          </w:p>
        </w:tc>
        <w:tc>
          <w:tcPr>
            <w:tcW w:w="840" w:type="dxa"/>
            <w:vAlign w:val="bottom"/>
            <w:shd w:val="clear" w:color="auto" w:fill="D9D9D9"/>
          </w:tcPr>
          <w:p>
            <w:pPr>
              <w:spacing w:after="0"/>
              <w:rPr>
                <w:sz w:val="12"/>
                <w:szCs w:val="12"/>
                <w:color w:val="auto"/>
              </w:rPr>
            </w:pPr>
          </w:p>
        </w:tc>
        <w:tc>
          <w:tcPr>
            <w:tcW w:w="720" w:type="dxa"/>
            <w:vAlign w:val="bottom"/>
            <w:shd w:val="clear" w:color="auto" w:fill="D9D9D9"/>
          </w:tcPr>
          <w:p>
            <w:pPr>
              <w:spacing w:after="0"/>
              <w:rPr>
                <w:sz w:val="12"/>
                <w:szCs w:val="12"/>
                <w:color w:val="auto"/>
              </w:rPr>
            </w:pPr>
          </w:p>
        </w:tc>
        <w:tc>
          <w:tcPr>
            <w:tcW w:w="100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9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8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80" w:hanging="308"/>
        <w:spacing w:after="0" w:line="237"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generally determines the grant date fair value of stock awards by multiplying the number of shares granted by the average of the high and low market prices of one share of AbbVie common stock on the award grant date. The grant date fair value of performance shares with a TSR market condition are determined using the Monte Carlo simulation model.</w:t>
      </w:r>
    </w:p>
    <w:p>
      <w:pPr>
        <w:spacing w:after="0" w:line="168" w:lineRule="exact"/>
        <w:rPr>
          <w:rFonts w:ascii="Arial" w:cs="Arial" w:eastAsia="Arial" w:hAnsi="Arial"/>
          <w:sz w:val="17"/>
          <w:szCs w:val="17"/>
          <w:color w:val="auto"/>
        </w:rPr>
      </w:pPr>
    </w:p>
    <w:p>
      <w:pPr>
        <w:ind w:left="320" w:right="60" w:hanging="308"/>
        <w:spacing w:after="0" w:line="236"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accordance with SEC rules, the amounts in this column represent the aggregate grant date fair value of the awards determined in accordance with FASB ASC Topic 718. 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if any, eventually realized by the NEO. The weighted-average assumptions used to estimate the grant date fair value of options granted in 2023, along with the weighted-average grant date fair value,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125730</wp:posOffset>
            </wp:positionV>
            <wp:extent cx="47034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03445" cy="8255"/>
                    </a:xfrm>
                    <a:prstGeom prst="rect">
                      <a:avLst/>
                    </a:prstGeom>
                    <a:noFill/>
                  </pic:spPr>
                </pic:pic>
              </a:graphicData>
            </a:graphic>
          </wp:anchor>
        </w:drawing>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Assumption</w:t>
      </w:r>
    </w:p>
    <w:p>
      <w:pPr>
        <w:spacing w:after="0" w:line="10"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4280" w:type="dxa"/>
            <w:vAlign w:val="bottom"/>
            <w:tcBorders>
              <w:top w:val="single" w:sz="8" w:color="071D49"/>
            </w:tcBorders>
            <w:shd w:val="clear" w:color="auto" w:fill="E7E7E8"/>
          </w:tcPr>
          <w:p>
            <w:pPr>
              <w:spacing w:after="0" w:line="193" w:lineRule="exact"/>
              <w:rPr>
                <w:sz w:val="20"/>
                <w:szCs w:val="20"/>
                <w:color w:val="auto"/>
              </w:rPr>
            </w:pPr>
            <w:r>
              <w:rPr>
                <w:rFonts w:ascii="Arial" w:cs="Arial" w:eastAsia="Arial" w:hAnsi="Arial"/>
                <w:sz w:val="17"/>
                <w:szCs w:val="17"/>
                <w:color w:val="auto"/>
              </w:rPr>
              <w:t>Risk</w:t>
            </w:r>
            <w:r>
              <w:rPr>
                <w:rFonts w:ascii="MS PGothic" w:cs="MS PGothic" w:eastAsia="MS PGothic" w:hAnsi="MS PGothic"/>
                <w:sz w:val="17"/>
                <w:szCs w:val="17"/>
                <w:color w:val="auto"/>
              </w:rPr>
              <w:t>‑</w:t>
            </w:r>
            <w:r>
              <w:rPr>
                <w:rFonts w:ascii="Arial" w:cs="Arial" w:eastAsia="Arial" w:hAnsi="Arial"/>
                <w:sz w:val="17"/>
                <w:szCs w:val="17"/>
                <w:color w:val="auto"/>
              </w:rPr>
              <w:t>free interest rate</w:t>
            </w:r>
          </w:p>
        </w:tc>
        <w:tc>
          <w:tcPr>
            <w:tcW w:w="2320" w:type="dxa"/>
            <w:vAlign w:val="bottom"/>
            <w:tcBorders>
              <w:top w:val="single" w:sz="8" w:color="071D49"/>
            </w:tcBorders>
            <w:shd w:val="clear" w:color="auto" w:fill="E7E7E8"/>
          </w:tcPr>
          <w:p>
            <w:pPr>
              <w:spacing w:after="0"/>
              <w:rPr>
                <w:sz w:val="16"/>
                <w:szCs w:val="16"/>
                <w:color w:val="auto"/>
              </w:rPr>
            </w:pPr>
          </w:p>
        </w:tc>
        <w:tc>
          <w:tcPr>
            <w:tcW w:w="820" w:type="dxa"/>
            <w:vAlign w:val="bottom"/>
            <w:tcBorders>
              <w:top w:val="single" w:sz="8" w:color="071D49"/>
            </w:tcBorders>
            <w:shd w:val="clear" w:color="auto" w:fill="E7E7E8"/>
          </w:tcPr>
          <w:p>
            <w:pPr>
              <w:jc w:val="right"/>
              <w:spacing w:after="0" w:line="193" w:lineRule="exact"/>
              <w:rPr>
                <w:sz w:val="20"/>
                <w:szCs w:val="20"/>
                <w:color w:val="auto"/>
              </w:rPr>
            </w:pPr>
            <w:r>
              <w:rPr>
                <w:rFonts w:ascii="Arial" w:cs="Arial" w:eastAsia="Arial" w:hAnsi="Arial"/>
                <w:sz w:val="17"/>
                <w:szCs w:val="17"/>
                <w:color w:val="auto"/>
              </w:rPr>
              <w:t>3.92 %</w:t>
            </w:r>
          </w:p>
        </w:tc>
      </w:tr>
      <w:tr>
        <w:trPr>
          <w:trHeight w:val="188"/>
        </w:trPr>
        <w:tc>
          <w:tcPr>
            <w:tcW w:w="4280" w:type="dxa"/>
            <w:vAlign w:val="bottom"/>
          </w:tcPr>
          <w:p>
            <w:pPr>
              <w:spacing w:after="0" w:line="188" w:lineRule="exact"/>
              <w:rPr>
                <w:sz w:val="20"/>
                <w:szCs w:val="20"/>
                <w:color w:val="auto"/>
              </w:rPr>
            </w:pPr>
            <w:r>
              <w:rPr>
                <w:rFonts w:ascii="Arial" w:cs="Arial" w:eastAsia="Arial" w:hAnsi="Arial"/>
                <w:sz w:val="17"/>
                <w:szCs w:val="17"/>
                <w:color w:val="auto"/>
              </w:rPr>
              <w:t>Average life of options (years)</w:t>
            </w:r>
          </w:p>
        </w:tc>
        <w:tc>
          <w:tcPr>
            <w:tcW w:w="2320" w:type="dxa"/>
            <w:vAlign w:val="bottom"/>
          </w:tcPr>
          <w:p>
            <w:pPr>
              <w:spacing w:after="0"/>
              <w:rPr>
                <w:sz w:val="16"/>
                <w:szCs w:val="16"/>
                <w:color w:val="auto"/>
              </w:rPr>
            </w:pPr>
          </w:p>
        </w:tc>
        <w:tc>
          <w:tcPr>
            <w:tcW w:w="820" w:type="dxa"/>
            <w:vAlign w:val="bottom"/>
          </w:tcPr>
          <w:p>
            <w:pPr>
              <w:jc w:val="right"/>
              <w:ind w:right="157"/>
              <w:spacing w:after="0" w:line="188" w:lineRule="exact"/>
              <w:rPr>
                <w:sz w:val="20"/>
                <w:szCs w:val="20"/>
                <w:color w:val="auto"/>
              </w:rPr>
            </w:pPr>
            <w:r>
              <w:rPr>
                <w:rFonts w:ascii="Arial" w:cs="Arial" w:eastAsia="Arial" w:hAnsi="Arial"/>
                <w:sz w:val="17"/>
                <w:szCs w:val="17"/>
                <w:color w:val="auto"/>
              </w:rPr>
              <w:t>5.8</w:t>
            </w:r>
          </w:p>
        </w:tc>
      </w:tr>
      <w:tr>
        <w:trPr>
          <w:trHeight w:val="188"/>
        </w:trPr>
        <w:tc>
          <w:tcPr>
            <w:tcW w:w="4280" w:type="dxa"/>
            <w:vAlign w:val="bottom"/>
            <w:shd w:val="clear" w:color="auto" w:fill="E7E7E8"/>
          </w:tcPr>
          <w:p>
            <w:pPr>
              <w:spacing w:after="0" w:line="188" w:lineRule="exact"/>
              <w:rPr>
                <w:sz w:val="20"/>
                <w:szCs w:val="20"/>
                <w:color w:val="auto"/>
              </w:rPr>
            </w:pPr>
            <w:r>
              <w:rPr>
                <w:rFonts w:ascii="Arial" w:cs="Arial" w:eastAsia="Arial" w:hAnsi="Arial"/>
                <w:sz w:val="17"/>
                <w:szCs w:val="17"/>
                <w:color w:val="auto"/>
              </w:rPr>
              <w:t>Volatility</w:t>
            </w:r>
          </w:p>
        </w:tc>
        <w:tc>
          <w:tcPr>
            <w:tcW w:w="2320" w:type="dxa"/>
            <w:vAlign w:val="bottom"/>
            <w:shd w:val="clear" w:color="auto" w:fill="E7E7E8"/>
          </w:tcPr>
          <w:p>
            <w:pPr>
              <w:spacing w:after="0"/>
              <w:rPr>
                <w:sz w:val="16"/>
                <w:szCs w:val="16"/>
                <w:color w:val="auto"/>
              </w:rPr>
            </w:pPr>
          </w:p>
        </w:tc>
        <w:tc>
          <w:tcPr>
            <w:tcW w:w="820" w:type="dxa"/>
            <w:vAlign w:val="bottom"/>
            <w:shd w:val="clear" w:color="auto" w:fill="E7E7E8"/>
          </w:tcPr>
          <w:p>
            <w:pPr>
              <w:jc w:val="right"/>
              <w:spacing w:after="0" w:line="188" w:lineRule="exact"/>
              <w:rPr>
                <w:sz w:val="20"/>
                <w:szCs w:val="20"/>
                <w:color w:val="auto"/>
              </w:rPr>
            </w:pPr>
            <w:r>
              <w:rPr>
                <w:rFonts w:ascii="Arial" w:cs="Arial" w:eastAsia="Arial" w:hAnsi="Arial"/>
                <w:sz w:val="17"/>
                <w:szCs w:val="17"/>
                <w:color w:val="auto"/>
              </w:rPr>
              <w:t>26.00 %</w:t>
            </w:r>
          </w:p>
        </w:tc>
      </w:tr>
      <w:tr>
        <w:trPr>
          <w:trHeight w:val="188"/>
        </w:trPr>
        <w:tc>
          <w:tcPr>
            <w:tcW w:w="4280" w:type="dxa"/>
            <w:vAlign w:val="bottom"/>
          </w:tcPr>
          <w:p>
            <w:pPr>
              <w:spacing w:after="0" w:line="188" w:lineRule="exact"/>
              <w:rPr>
                <w:sz w:val="20"/>
                <w:szCs w:val="20"/>
                <w:color w:val="auto"/>
              </w:rPr>
            </w:pPr>
            <w:r>
              <w:rPr>
                <w:rFonts w:ascii="Arial" w:cs="Arial" w:eastAsia="Arial" w:hAnsi="Arial"/>
                <w:sz w:val="17"/>
                <w:szCs w:val="17"/>
                <w:color w:val="auto"/>
              </w:rPr>
              <w:t>Dividend yield</w:t>
            </w:r>
          </w:p>
        </w:tc>
        <w:tc>
          <w:tcPr>
            <w:tcW w:w="232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Arial" w:cs="Arial" w:eastAsia="Arial" w:hAnsi="Arial"/>
                <w:sz w:val="17"/>
                <w:szCs w:val="17"/>
                <w:color w:val="auto"/>
              </w:rPr>
              <w:t>3.77 %</w:t>
            </w:r>
          </w:p>
        </w:tc>
      </w:tr>
      <w:tr>
        <w:trPr>
          <w:trHeight w:val="188"/>
        </w:trPr>
        <w:tc>
          <w:tcPr>
            <w:tcW w:w="4280" w:type="dxa"/>
            <w:vAlign w:val="bottom"/>
            <w:tcBorders>
              <w:bottom w:val="single" w:sz="8" w:color="071D49"/>
            </w:tcBorders>
            <w:shd w:val="clear" w:color="auto" w:fill="E7E7E8"/>
          </w:tcPr>
          <w:p>
            <w:pPr>
              <w:spacing w:after="0" w:line="188" w:lineRule="exact"/>
              <w:rPr>
                <w:sz w:val="20"/>
                <w:szCs w:val="20"/>
                <w:color w:val="auto"/>
              </w:rPr>
            </w:pPr>
            <w:r>
              <w:rPr>
                <w:rFonts w:ascii="Arial" w:cs="Arial" w:eastAsia="Arial" w:hAnsi="Arial"/>
                <w:sz w:val="17"/>
                <w:szCs w:val="17"/>
                <w:color w:val="auto"/>
              </w:rPr>
              <w:t>Fair value per stock option</w:t>
            </w:r>
          </w:p>
        </w:tc>
        <w:tc>
          <w:tcPr>
            <w:tcW w:w="2320" w:type="dxa"/>
            <w:vAlign w:val="bottom"/>
            <w:tcBorders>
              <w:bottom w:val="single" w:sz="8" w:color="071D49"/>
            </w:tcBorders>
            <w:shd w:val="clear" w:color="auto" w:fill="E7E7E8"/>
          </w:tcPr>
          <w:p>
            <w:pPr>
              <w:jc w:val="right"/>
              <w:ind w:right="77"/>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071D49"/>
            </w:tcBorders>
            <w:shd w:val="clear" w:color="auto" w:fill="E7E7E8"/>
          </w:tcPr>
          <w:p>
            <w:pPr>
              <w:jc w:val="right"/>
              <w:ind w:right="157"/>
              <w:spacing w:after="0" w:line="188" w:lineRule="exact"/>
              <w:rPr>
                <w:sz w:val="20"/>
                <w:szCs w:val="20"/>
                <w:color w:val="auto"/>
              </w:rPr>
            </w:pPr>
            <w:r>
              <w:rPr>
                <w:rFonts w:ascii="Arial" w:cs="Arial" w:eastAsia="Arial" w:hAnsi="Arial"/>
                <w:sz w:val="17"/>
                <w:szCs w:val="17"/>
                <w:color w:val="auto"/>
              </w:rPr>
              <w:t>29.95</w:t>
            </w:r>
          </w:p>
        </w:tc>
      </w:tr>
    </w:tbl>
    <w:p>
      <w:pPr>
        <w:spacing w:after="0" w:line="183" w:lineRule="exact"/>
        <w:rPr>
          <w:sz w:val="20"/>
          <w:szCs w:val="20"/>
          <w:color w:val="auto"/>
        </w:rPr>
      </w:pPr>
    </w:p>
    <w:p>
      <w:pPr>
        <w:ind w:left="320" w:right="80" w:hanging="308"/>
        <w:spacing w:after="0" w:line="246" w:lineRule="auto"/>
        <w:tabs>
          <w:tab w:leader="none" w:pos="3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compensation reported in this column for 2023 was earned as a performance-based incentive award pursuant to the AbbVie Performance Incentive Plan. Additional information regarding the plan can be found in the “Compensation Plan Elements” section of this proxy statement.</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56" w:name="page57"/>
    <w:bookmarkEnd w:id="5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308" w:right="80" w:hanging="308"/>
        <w:spacing w:after="0" w:line="246" w:lineRule="auto"/>
        <w:tabs>
          <w:tab w:leader="none" w:pos="30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plan amounts shown below are reported in this column, excluding negative amounts under the AbbVie Pension Plan and the AbbVie Supplemental Pension Plan in accordance with SEC rules. The amounts shown below beside each NEO’s name are for 2023, 2022, and 2021, respectively, as applicable.</w:t>
      </w:r>
    </w:p>
    <w:p>
      <w:pPr>
        <w:spacing w:after="0" w:line="164" w:lineRule="exact"/>
        <w:rPr>
          <w:rFonts w:ascii="Arial" w:cs="Arial" w:eastAsia="Arial" w:hAnsi="Arial"/>
          <w:sz w:val="17"/>
          <w:szCs w:val="17"/>
          <w:color w:val="auto"/>
        </w:rPr>
      </w:pPr>
    </w:p>
    <w:p>
      <w:pPr>
        <w:ind w:left="308"/>
        <w:spacing w:after="0"/>
        <w:rPr>
          <w:rFonts w:ascii="Arial" w:cs="Arial" w:eastAsia="Arial" w:hAnsi="Arial"/>
          <w:sz w:val="17"/>
          <w:szCs w:val="17"/>
          <w:color w:val="auto"/>
        </w:rPr>
      </w:pPr>
      <w:r>
        <w:rPr>
          <w:rFonts w:ascii="Arial" w:cs="Arial" w:eastAsia="Arial" w:hAnsi="Arial"/>
          <w:sz w:val="17"/>
          <w:szCs w:val="17"/>
          <w:i w:val="1"/>
          <w:iCs w:val="1"/>
          <w:color w:val="auto"/>
        </w:rPr>
        <w:t>AbbVie Pension Plan</w:t>
      </w:r>
    </w:p>
    <w:p>
      <w:pPr>
        <w:spacing w:after="0" w:line="190" w:lineRule="exact"/>
        <w:rPr>
          <w:sz w:val="20"/>
          <w:szCs w:val="20"/>
          <w:color w:val="auto"/>
        </w:rPr>
      </w:pPr>
    </w:p>
    <w:p>
      <w:pPr>
        <w:ind w:left="308" w:right="60" w:hanging="8"/>
        <w:spacing w:after="0" w:line="261" w:lineRule="auto"/>
        <w:tabs>
          <w:tab w:leader="none" w:pos="521" w:val="left"/>
        </w:tabs>
        <w:numPr>
          <w:ilvl w:val="0"/>
          <w:numId w:val="80"/>
        </w:numPr>
        <w:rPr>
          <w:rFonts w:ascii="Arial" w:cs="Arial" w:eastAsia="Arial" w:hAnsi="Arial"/>
          <w:sz w:val="17"/>
          <w:szCs w:val="17"/>
          <w:color w:val="auto"/>
        </w:rPr>
      </w:pPr>
      <w:r>
        <w:rPr>
          <w:rFonts w:ascii="Arial" w:cs="Arial" w:eastAsia="Arial" w:hAnsi="Arial"/>
          <w:sz w:val="17"/>
          <w:szCs w:val="17"/>
          <w:color w:val="auto"/>
        </w:rPr>
        <w:t>Gonzalez: $927 / $(48,867) / $(9,939); R. Michael: $119,233 / $(269,837) / $30,894; S. Reents: $90,112 / $(11,195); J. Stewart: $277,907 / $(263,944) / $37,175; and A. Saleki-Gerhardt: $190,794 / $(202,627).</w:t>
      </w:r>
    </w:p>
    <w:p>
      <w:pPr>
        <w:spacing w:after="0" w:line="140" w:lineRule="exact"/>
        <w:rPr>
          <w:sz w:val="20"/>
          <w:szCs w:val="20"/>
          <w:color w:val="auto"/>
        </w:rPr>
      </w:pPr>
    </w:p>
    <w:p>
      <w:pPr>
        <w:ind w:left="308"/>
        <w:spacing w:after="0"/>
        <w:rPr>
          <w:sz w:val="20"/>
          <w:szCs w:val="20"/>
          <w:color w:val="auto"/>
        </w:rPr>
      </w:pPr>
      <w:r>
        <w:rPr>
          <w:rFonts w:ascii="Arial" w:cs="Arial" w:eastAsia="Arial" w:hAnsi="Arial"/>
          <w:sz w:val="17"/>
          <w:szCs w:val="17"/>
          <w:i w:val="1"/>
          <w:iCs w:val="1"/>
          <w:color w:val="auto"/>
        </w:rPr>
        <w:t>AbbVie Supplemental Pension Plan</w:t>
      </w:r>
    </w:p>
    <w:p>
      <w:pPr>
        <w:spacing w:after="0" w:line="190" w:lineRule="exact"/>
        <w:rPr>
          <w:sz w:val="20"/>
          <w:szCs w:val="20"/>
          <w:color w:val="auto"/>
        </w:rPr>
      </w:pPr>
    </w:p>
    <w:p>
      <w:pPr>
        <w:ind w:left="308" w:right="240" w:hanging="8"/>
        <w:spacing w:after="0" w:line="246" w:lineRule="auto"/>
        <w:tabs>
          <w:tab w:leader="none" w:pos="521" w:val="left"/>
        </w:tabs>
        <w:numPr>
          <w:ilvl w:val="0"/>
          <w:numId w:val="81"/>
        </w:numPr>
        <w:rPr>
          <w:rFonts w:ascii="Arial" w:cs="Arial" w:eastAsia="Arial" w:hAnsi="Arial"/>
          <w:sz w:val="17"/>
          <w:szCs w:val="17"/>
          <w:color w:val="auto"/>
        </w:rPr>
      </w:pPr>
      <w:r>
        <w:rPr>
          <w:rFonts w:ascii="Arial" w:cs="Arial" w:eastAsia="Arial" w:hAnsi="Arial"/>
          <w:sz w:val="17"/>
          <w:szCs w:val="17"/>
          <w:color w:val="auto"/>
        </w:rPr>
        <w:t>Gonzalez: $(154,979) / $(3,814,003) / $(1,096,337); R. Michael: $2,776,666 / $(1,162,821) / $2,494,946; S. Reents: $1,627,895 / $893,948; J. Stewart: $4,918,891 / $(1,248,100) / $1,899,249; and A. Saleki-Gerhardt: $1,462,884 / $(1,289,139).</w:t>
      </w:r>
    </w:p>
    <w:p>
      <w:pPr>
        <w:spacing w:after="0" w:line="162" w:lineRule="exact"/>
        <w:rPr>
          <w:sz w:val="20"/>
          <w:szCs w:val="20"/>
          <w:color w:val="auto"/>
        </w:rPr>
      </w:pPr>
    </w:p>
    <w:p>
      <w:pPr>
        <w:ind w:left="308" w:right="120"/>
        <w:spacing w:after="0"/>
        <w:rPr>
          <w:sz w:val="20"/>
          <w:szCs w:val="20"/>
          <w:color w:val="auto"/>
        </w:rPr>
      </w:pPr>
      <w:r>
        <w:rPr>
          <w:rFonts w:ascii="Arial" w:cs="Arial" w:eastAsia="Arial" w:hAnsi="Arial"/>
          <w:sz w:val="17"/>
          <w:szCs w:val="17"/>
          <w:color w:val="auto"/>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spacing w:after="0" w:line="171" w:lineRule="exact"/>
        <w:rPr>
          <w:sz w:val="20"/>
          <w:szCs w:val="20"/>
          <w:color w:val="auto"/>
        </w:rPr>
      </w:pPr>
    </w:p>
    <w:p>
      <w:pPr>
        <w:ind w:left="308"/>
        <w:spacing w:after="0"/>
        <w:rPr>
          <w:sz w:val="20"/>
          <w:szCs w:val="20"/>
          <w:color w:val="auto"/>
        </w:rPr>
      </w:pPr>
      <w:r>
        <w:rPr>
          <w:rFonts w:ascii="Arial" w:cs="Arial" w:eastAsia="Arial" w:hAnsi="Arial"/>
          <w:sz w:val="17"/>
          <w:szCs w:val="17"/>
          <w:i w:val="1"/>
          <w:iCs w:val="1"/>
          <w:color w:val="auto"/>
        </w:rPr>
        <w:t>Non-Qualified Defined Contribution Plan Earnings</w:t>
      </w:r>
    </w:p>
    <w:p>
      <w:pPr>
        <w:spacing w:after="0" w:line="190" w:lineRule="exact"/>
        <w:rPr>
          <w:sz w:val="20"/>
          <w:szCs w:val="20"/>
          <w:color w:val="auto"/>
        </w:rPr>
      </w:pPr>
    </w:p>
    <w:p>
      <w:pPr>
        <w:ind w:left="308" w:right="540"/>
        <w:spacing w:after="0" w:line="261" w:lineRule="auto"/>
        <w:rPr>
          <w:sz w:val="20"/>
          <w:szCs w:val="20"/>
          <w:color w:val="auto"/>
        </w:rPr>
      </w:pPr>
      <w:r>
        <w:rPr>
          <w:rFonts w:ascii="Arial" w:cs="Arial" w:eastAsia="Arial" w:hAnsi="Arial"/>
          <w:sz w:val="17"/>
          <w:szCs w:val="17"/>
          <w:color w:val="auto"/>
        </w:rPr>
        <w:t>The totals in this column include reportable interest credited under the AbbVie Performance Incentive Plan and the AbbVie Supplemental Savings Plan.</w:t>
      </w:r>
    </w:p>
    <w:p>
      <w:pPr>
        <w:spacing w:after="0" w:line="150" w:lineRule="exact"/>
        <w:rPr>
          <w:sz w:val="20"/>
          <w:szCs w:val="20"/>
          <w:color w:val="auto"/>
        </w:rPr>
      </w:pPr>
    </w:p>
    <w:p>
      <w:pPr>
        <w:ind w:left="308" w:right="560" w:hanging="8"/>
        <w:spacing w:after="0" w:line="261" w:lineRule="auto"/>
        <w:tabs>
          <w:tab w:leader="none" w:pos="521" w:val="left"/>
        </w:tabs>
        <w:numPr>
          <w:ilvl w:val="1"/>
          <w:numId w:val="82"/>
        </w:numPr>
        <w:rPr>
          <w:rFonts w:ascii="Arial" w:cs="Arial" w:eastAsia="Arial" w:hAnsi="Arial"/>
          <w:sz w:val="17"/>
          <w:szCs w:val="17"/>
          <w:color w:val="auto"/>
        </w:rPr>
      </w:pPr>
      <w:r>
        <w:rPr>
          <w:rFonts w:ascii="Arial" w:cs="Arial" w:eastAsia="Arial" w:hAnsi="Arial"/>
          <w:sz w:val="17"/>
          <w:szCs w:val="17"/>
          <w:color w:val="auto"/>
        </w:rPr>
        <w:t>Gonzalez: $1,331,617 / $439,214 / $780,933; R. Michael: $123,213 / $1,607; S. Reents: $294,882 / $79,768; J. Stewart: $594,880 / $179,792 / $276,474; and A. Saleki-Gerhardt: $707,787 / $223,236.</w:t>
      </w:r>
    </w:p>
    <w:p>
      <w:pPr>
        <w:spacing w:after="0" w:line="150" w:lineRule="exact"/>
        <w:rPr>
          <w:rFonts w:ascii="Arial" w:cs="Arial" w:eastAsia="Arial" w:hAnsi="Arial"/>
          <w:sz w:val="17"/>
          <w:szCs w:val="17"/>
          <w:color w:val="auto"/>
        </w:rPr>
      </w:pPr>
    </w:p>
    <w:p>
      <w:pPr>
        <w:ind w:left="308" w:right="20" w:hanging="308"/>
        <w:spacing w:after="0" w:line="246" w:lineRule="auto"/>
        <w:tabs>
          <w:tab w:leader="none" w:pos="30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p>
      <w:pPr>
        <w:spacing w:after="0" w:line="162" w:lineRule="exact"/>
        <w:rPr>
          <w:rFonts w:ascii="Arial" w:cs="Arial" w:eastAsia="Arial" w:hAnsi="Arial"/>
          <w:sz w:val="17"/>
          <w:szCs w:val="17"/>
          <w:color w:val="auto"/>
        </w:rPr>
      </w:pPr>
    </w:p>
    <w:p>
      <w:pPr>
        <w:ind w:left="308" w:right="120"/>
        <w:spacing w:after="0" w:line="248" w:lineRule="auto"/>
        <w:rPr>
          <w:rFonts w:ascii="Arial" w:cs="Arial" w:eastAsia="Arial" w:hAnsi="Arial"/>
          <w:sz w:val="17"/>
          <w:szCs w:val="17"/>
          <w:color w:val="auto"/>
        </w:rPr>
      </w:pPr>
      <w:r>
        <w:rPr>
          <w:rFonts w:ascii="Arial" w:cs="Arial" w:eastAsia="Arial" w:hAnsi="Arial"/>
          <w:sz w:val="16"/>
          <w:szCs w:val="16"/>
          <w:color w:val="auto"/>
        </w:rPr>
        <w:t>The present value of a pension benefit is determined, in part, by the discount rate used for accounting purposes. The discount rate is determined by reference to the prevailing market rate of interest. In 2023, interest rates decreased and the discount rates used for the Pension Plan and the Supplemental Pension Plan were decreased to reflect that change. A decrease in the discount rate increases the present value of participants’ pension benefits while actual monthly payments to be made to participants are not changed. The discount rate used for 2023 was 5.14% for the Pension Plan and 5.12% for the Supplemental Pension Plan. The discount rate used for 2022 was 5.32% for the Pension Plan and</w:t>
      </w:r>
    </w:p>
    <w:p>
      <w:pPr>
        <w:spacing w:after="0" w:line="1" w:lineRule="exact"/>
        <w:rPr>
          <w:rFonts w:ascii="Arial" w:cs="Arial" w:eastAsia="Arial" w:hAnsi="Arial"/>
          <w:sz w:val="17"/>
          <w:szCs w:val="17"/>
          <w:color w:val="auto"/>
        </w:rPr>
      </w:pPr>
    </w:p>
    <w:p>
      <w:pPr>
        <w:ind w:left="308" w:right="180"/>
        <w:spacing w:after="0" w:line="237" w:lineRule="auto"/>
        <w:rPr>
          <w:rFonts w:ascii="Arial" w:cs="Arial" w:eastAsia="Arial" w:hAnsi="Arial"/>
          <w:sz w:val="17"/>
          <w:szCs w:val="17"/>
          <w:color w:val="auto"/>
        </w:rPr>
      </w:pPr>
      <w:r>
        <w:rPr>
          <w:rFonts w:ascii="Arial" w:cs="Arial" w:eastAsia="Arial" w:hAnsi="Arial"/>
          <w:sz w:val="17"/>
          <w:szCs w:val="17"/>
          <w:color w:val="auto"/>
        </w:rPr>
        <w:t>5.30% for the Supplemental Pension Plan. The discount rate used for 2021 was 3.25% for the Pension Plan and 3.21% for the Supplemental Pension Plan. The mortality assumptions that apply for actuarial purposes also affect pension values.</w:t>
      </w:r>
    </w:p>
    <w:p>
      <w:pPr>
        <w:spacing w:after="0" w:line="168" w:lineRule="exact"/>
        <w:rPr>
          <w:rFonts w:ascii="Arial" w:cs="Arial" w:eastAsia="Arial" w:hAnsi="Arial"/>
          <w:sz w:val="17"/>
          <w:szCs w:val="17"/>
          <w:color w:val="auto"/>
        </w:rPr>
      </w:pPr>
    </w:p>
    <w:p>
      <w:pPr>
        <w:ind w:left="308" w:right="220"/>
        <w:spacing w:after="0" w:line="237" w:lineRule="auto"/>
        <w:rPr>
          <w:rFonts w:ascii="Arial" w:cs="Arial" w:eastAsia="Arial" w:hAnsi="Arial"/>
          <w:sz w:val="17"/>
          <w:szCs w:val="17"/>
          <w:color w:val="auto"/>
        </w:rPr>
      </w:pPr>
      <w:r>
        <w:rPr>
          <w:rFonts w:ascii="Arial" w:cs="Arial" w:eastAsia="Arial" w:hAnsi="Arial"/>
          <w:sz w:val="17"/>
          <w:szCs w:val="17"/>
          <w:color w:val="auto"/>
        </w:rPr>
        <w:t>In addition to the effect of the changes in actuarial assumptions, the change in pension value reflects the application of the benefit formulas under the Pension Plan and the Supplemental Pension Plan, which are described in the section of this proxy statement captioned “Pension Benefits.” As participants’ pay changes, the formulas yield revised pension values. Furthermore, as a participant ages and service credit accumulates year over year (before the participant is eligible for unreduced pension benefits), the present value of their pension benefits increases, even without changes in pay or actuarial assumptions.</w:t>
      </w:r>
    </w:p>
    <w:p>
      <w:pPr>
        <w:spacing w:after="0" w:line="168" w:lineRule="exact"/>
        <w:rPr>
          <w:rFonts w:ascii="Arial" w:cs="Arial" w:eastAsia="Arial" w:hAnsi="Arial"/>
          <w:sz w:val="17"/>
          <w:szCs w:val="17"/>
          <w:color w:val="auto"/>
        </w:rPr>
      </w:pPr>
    </w:p>
    <w:p>
      <w:pPr>
        <w:ind w:left="308" w:right="1020" w:hanging="308"/>
        <w:spacing w:after="0" w:line="476" w:lineRule="auto"/>
        <w:tabs>
          <w:tab w:leader="none" w:pos="30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The amounts shown below are reported in this column for 2023, 2022 and 2021, respectively, as applicable. </w:t>
      </w:r>
      <w:r>
        <w:rPr>
          <w:rFonts w:ascii="Arial" w:cs="Arial" w:eastAsia="Arial" w:hAnsi="Arial"/>
          <w:sz w:val="17"/>
          <w:szCs w:val="17"/>
          <w:i w:val="1"/>
          <w:iCs w:val="1"/>
          <w:color w:val="auto"/>
        </w:rPr>
        <w:t>Earnings for Non-Qualified Defined Benefit and Non-Qualified Defined Contribution Plans</w:t>
      </w:r>
    </w:p>
    <w:p>
      <w:pPr>
        <w:ind w:left="308" w:hanging="8"/>
        <w:spacing w:after="0" w:line="261" w:lineRule="auto"/>
        <w:tabs>
          <w:tab w:leader="none" w:pos="521" w:val="left"/>
        </w:tabs>
        <w:numPr>
          <w:ilvl w:val="1"/>
          <w:numId w:val="83"/>
        </w:numPr>
        <w:rPr>
          <w:rFonts w:ascii="Arial" w:cs="Arial" w:eastAsia="Arial" w:hAnsi="Arial"/>
          <w:sz w:val="17"/>
          <w:szCs w:val="17"/>
          <w:color w:val="auto"/>
        </w:rPr>
      </w:pPr>
      <w:r>
        <w:rPr>
          <w:rFonts w:ascii="Arial" w:cs="Arial" w:eastAsia="Arial" w:hAnsi="Arial"/>
          <w:sz w:val="17"/>
          <w:szCs w:val="17"/>
          <w:color w:val="auto"/>
        </w:rPr>
        <w:t>Gonzalez: $1,227,973 / $358,975 / $130,314; R. Michael: $4,438; S. Reents: $229,677 / $65,517; J. Stewart: $511,604 / $138,457 / $46,571; and A. Saleki-Gerhardt: $630,257 / $180,839.</w:t>
      </w:r>
    </w:p>
    <w:p>
      <w:pPr>
        <w:spacing w:after="0" w:line="200" w:lineRule="exact"/>
        <w:rPr>
          <w:sz w:val="20"/>
          <w:szCs w:val="20"/>
          <w:color w:val="auto"/>
        </w:rPr>
      </w:pPr>
    </w:p>
    <w:p>
      <w:pPr>
        <w:spacing w:after="0" w:line="34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54</w:t>
      </w:r>
      <w:r>
        <w:rPr>
          <w:sz w:val="20"/>
          <w:szCs w:val="20"/>
          <w:color w:val="auto"/>
        </w:rPr>
        <w:tab/>
      </w:r>
      <w:r>
        <w:rPr>
          <w:sz w:val="1"/>
          <w:szCs w:val="1"/>
          <w:color w:val="auto"/>
        </w:rPr>
        <w:drawing>
          <wp:inline distT="0" distB="0" distL="0" distR="0">
            <wp:extent cx="810260" cy="15113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485" w:right="1319" w:bottom="1440" w:gutter="0" w:footer="0" w:header="0"/>
        </w:sectPr>
      </w:pPr>
    </w:p>
    <w:bookmarkStart w:id="57" w:name="page58"/>
    <w:bookmarkEnd w:id="5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320" w:right="160"/>
        <w:spacing w:after="0" w:line="238" w:lineRule="auto"/>
        <w:rPr>
          <w:sz w:val="20"/>
          <w:szCs w:val="20"/>
          <w:color w:val="auto"/>
        </w:rPr>
      </w:pPr>
      <w:r>
        <w:rPr>
          <w:rFonts w:ascii="Arial" w:cs="Arial" w:eastAsia="Arial" w:hAnsi="Arial"/>
          <w:sz w:val="17"/>
          <w:szCs w:val="17"/>
          <w:color w:val="auto"/>
        </w:rPr>
        <w:t>Each of the NEOs’ awards under the AbbVie Performance Incentive Plan is paid in cash to the NEO on a current basis and, for eligible NEOs, may be deposited into a grantor trust established by the NEO, net of maximum tax withholdings. Each of the eligible NEOs has also established grantor trusts in connection with the AbbVie Supplemental Pension Plan and the AbbVie Supplemental Savings Plan. These amounts include earnings net of the reportable interest included in footnote (4).</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Employer Contributions to Defined Contribution Plans</w:t>
      </w:r>
    </w:p>
    <w:p>
      <w:pPr>
        <w:spacing w:after="0" w:line="190" w:lineRule="exact"/>
        <w:rPr>
          <w:sz w:val="20"/>
          <w:szCs w:val="20"/>
          <w:color w:val="auto"/>
        </w:rPr>
      </w:pPr>
    </w:p>
    <w:p>
      <w:pPr>
        <w:ind w:left="320" w:right="500" w:hanging="8"/>
        <w:spacing w:after="0" w:line="261" w:lineRule="auto"/>
        <w:tabs>
          <w:tab w:leader="none" w:pos="533" w:val="left"/>
        </w:tabs>
        <w:numPr>
          <w:ilvl w:val="0"/>
          <w:numId w:val="84"/>
        </w:numPr>
        <w:rPr>
          <w:rFonts w:ascii="Arial" w:cs="Arial" w:eastAsia="Arial" w:hAnsi="Arial"/>
          <w:sz w:val="17"/>
          <w:szCs w:val="17"/>
          <w:color w:val="auto"/>
        </w:rPr>
      </w:pPr>
      <w:r>
        <w:rPr>
          <w:rFonts w:ascii="Arial" w:cs="Arial" w:eastAsia="Arial" w:hAnsi="Arial"/>
          <w:sz w:val="17"/>
          <w:szCs w:val="17"/>
          <w:color w:val="auto"/>
        </w:rPr>
        <w:t>Gonzalez: $85,000 / $85,000 / $85,000; R. Michael: $71,369 / $66,500 / $14,500; S. Reents: $48,654 / $37,657; J. Stewart: $59,425 / $55,323 / $53,712; and A. Saleki-Gerhardt: $47,050 / $43,321.</w:t>
      </w:r>
    </w:p>
    <w:p>
      <w:pPr>
        <w:spacing w:after="0" w:line="150" w:lineRule="exact"/>
        <w:rPr>
          <w:sz w:val="20"/>
          <w:szCs w:val="20"/>
          <w:color w:val="auto"/>
        </w:rPr>
      </w:pPr>
    </w:p>
    <w:p>
      <w:pPr>
        <w:ind w:left="320" w:right="60"/>
        <w:spacing w:after="0" w:line="236" w:lineRule="auto"/>
        <w:rPr>
          <w:sz w:val="20"/>
          <w:szCs w:val="20"/>
          <w:color w:val="auto"/>
        </w:rPr>
      </w:pPr>
      <w:r>
        <w:rPr>
          <w:rFonts w:ascii="Arial" w:cs="Arial" w:eastAsia="Arial" w:hAnsi="Arial"/>
          <w:sz w:val="17"/>
          <w:szCs w:val="17"/>
          <w:color w:val="auto"/>
        </w:rPr>
        <w:t>These amounts include AbbVie contributions to the AbbVie Savings Plan and the AbbVie Supplemental Savings Plan, as applicable. The Supplemental Savings Plan permits eligible NEOs to contribute amounts in excess of the annual limit set by the Internal Revenue Code for employee contributions to 401(k) plans up to the excess of (i) 18 percent of their base salary over (ii) the amount contributed to AbbVie’s tax-qualified 401(k) plan. AbbVie matches participant contributions at the rate of 250 percent of the first 2 percent of compensation contributed to the plan. The eligible NEOs have these amounts paid to them in cash on a current basis and deposited into a grantor trust established by the NEO, net of maximum tax withholdings.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2023 Compensation</w:t>
      </w:r>
    </w:p>
    <w:p>
      <w:pPr>
        <w:spacing w:after="0" w:line="190" w:lineRule="exact"/>
        <w:rPr>
          <w:sz w:val="20"/>
          <w:szCs w:val="20"/>
          <w:color w:val="auto"/>
        </w:rPr>
      </w:pPr>
    </w:p>
    <w:p>
      <w:pPr>
        <w:jc w:val="both"/>
        <w:ind w:left="320" w:right="360"/>
        <w:spacing w:after="0"/>
        <w:rPr>
          <w:sz w:val="20"/>
          <w:szCs w:val="20"/>
          <w:color w:val="auto"/>
        </w:rPr>
      </w:pPr>
      <w:r>
        <w:rPr>
          <w:rFonts w:ascii="Arial" w:cs="Arial" w:eastAsia="Arial" w:hAnsi="Arial"/>
          <w:sz w:val="17"/>
          <w:szCs w:val="17"/>
          <w:color w:val="auto"/>
        </w:rPr>
        <w:t>The totals shown in the table include the cost of providing a corporate automobile less the amount reimbursed by the NEO: R. Gonzalez: $25,465; R. Michael: $21,571; S. Reents: $21,353; J. Stewart: $20,834; and A. Saleki-Gerhardt: $21,965. AbbVie imputes income to the NEO, if required, and the NEO pays taxes in accordance with tax regulations without gross-ups.</w:t>
      </w:r>
    </w:p>
    <w:p>
      <w:pPr>
        <w:spacing w:after="0" w:line="169" w:lineRule="exact"/>
        <w:rPr>
          <w:sz w:val="20"/>
          <w:szCs w:val="20"/>
          <w:color w:val="auto"/>
        </w:rPr>
      </w:pPr>
    </w:p>
    <w:p>
      <w:pPr>
        <w:ind w:left="320" w:right="140"/>
        <w:spacing w:after="0" w:line="246" w:lineRule="auto"/>
        <w:rPr>
          <w:sz w:val="20"/>
          <w:szCs w:val="20"/>
          <w:color w:val="auto"/>
        </w:rPr>
      </w:pPr>
      <w:r>
        <w:rPr>
          <w:rFonts w:ascii="Arial" w:cs="Arial" w:eastAsia="Arial" w:hAnsi="Arial"/>
          <w:sz w:val="17"/>
          <w:szCs w:val="17"/>
          <w:color w:val="auto"/>
        </w:rPr>
        <w:t>The totals shown in the table include a financial planning services allowance for each NEO: R. Gonzalez: $10,000; R. Michael: $10,000; S. Reents: $10,000; J. Stewart: $10,000; and A. Saleki-Gerhardt: $10,000. AbbVie imputes income to the NEO, if required, and the NEO pays taxes in accordance with tax regulations without gross-ups.</w:t>
      </w:r>
    </w:p>
    <w:p>
      <w:pPr>
        <w:spacing w:after="0" w:line="162" w:lineRule="exact"/>
        <w:rPr>
          <w:sz w:val="20"/>
          <w:szCs w:val="20"/>
          <w:color w:val="auto"/>
        </w:rPr>
      </w:pPr>
    </w:p>
    <w:p>
      <w:pPr>
        <w:ind w:left="320" w:right="60"/>
        <w:spacing w:after="0" w:line="238" w:lineRule="auto"/>
        <w:rPr>
          <w:sz w:val="20"/>
          <w:szCs w:val="20"/>
          <w:color w:val="auto"/>
        </w:rPr>
      </w:pPr>
      <w:r>
        <w:rPr>
          <w:rFonts w:ascii="Arial" w:cs="Arial" w:eastAsia="Arial" w:hAnsi="Arial"/>
          <w:sz w:val="17"/>
          <w:szCs w:val="17"/>
          <w:color w:val="auto"/>
        </w:rPr>
        <w:t>The totals shown in the table include the following costs for non-business-related air travel and services: R. Gonzalez: $642,157; R. Michael: $82,126; and A. Saleki-Gerhardt: $10,151. AbbVie determines the incremental cost for flights based on the direct cost to AbbVie, including fuel costs, parking, handling and landing fees, catering, travel fees, and other miscellaneous direct costs. AbbVie imputes income to the NEO, if required, and the NEO pays taxes in accordance with tax regulations without gross-ups.</w:t>
      </w:r>
    </w:p>
    <w:p>
      <w:pPr>
        <w:spacing w:after="0" w:line="169" w:lineRule="exact"/>
        <w:rPr>
          <w:sz w:val="20"/>
          <w:szCs w:val="20"/>
          <w:color w:val="auto"/>
        </w:rPr>
      </w:pPr>
    </w:p>
    <w:p>
      <w:pPr>
        <w:ind w:left="320" w:right="320"/>
        <w:spacing w:after="0" w:line="261" w:lineRule="auto"/>
        <w:rPr>
          <w:sz w:val="20"/>
          <w:szCs w:val="20"/>
          <w:color w:val="auto"/>
        </w:rPr>
      </w:pPr>
      <w:r>
        <w:rPr>
          <w:rFonts w:ascii="Arial" w:cs="Arial" w:eastAsia="Arial" w:hAnsi="Arial"/>
          <w:sz w:val="17"/>
          <w:szCs w:val="17"/>
          <w:color w:val="auto"/>
        </w:rPr>
        <w:t>The NEOs also are eligible to participate in an executive disability benefit, which is described on page 70 of this proxy statement.</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58" w:name="page59"/>
    <w:bookmarkEnd w:id="5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EXECUTIVE COMPENSATION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2023 Grants of Plan-Based Awards</w:t>
      </w:r>
    </w:p>
    <w:p>
      <w:pPr>
        <w:spacing w:after="0" w:line="215" w:lineRule="exact"/>
        <w:rPr>
          <w:sz w:val="20"/>
          <w:szCs w:val="20"/>
          <w:color w:val="auto"/>
        </w:rPr>
      </w:pPr>
    </w:p>
    <w:p>
      <w:pPr>
        <w:ind w:left="20" w:right="240"/>
        <w:spacing w:after="0" w:line="261" w:lineRule="auto"/>
        <w:rPr>
          <w:sz w:val="20"/>
          <w:szCs w:val="20"/>
          <w:color w:val="auto"/>
        </w:rPr>
      </w:pPr>
      <w:r>
        <w:rPr>
          <w:rFonts w:ascii="Arial" w:cs="Arial" w:eastAsia="Arial" w:hAnsi="Arial"/>
          <w:sz w:val="17"/>
          <w:szCs w:val="17"/>
          <w:color w:val="auto"/>
        </w:rPr>
        <w:t>The following table summarizes the equity awards granted under the AbbVie Amended and Restated 2013 Incentive Stock Program to the NEOs during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454968"/>
              </w:rPr>
              <w:t>Estimated</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Future</w:t>
            </w:r>
          </w:p>
        </w:tc>
        <w:tc>
          <w:tcPr>
            <w:tcW w:w="220" w:type="dxa"/>
            <w:vAlign w:val="bottom"/>
          </w:tcPr>
          <w:p>
            <w:pPr>
              <w:spacing w:after="0"/>
              <w:rPr>
                <w:sz w:val="10"/>
                <w:szCs w:val="10"/>
                <w:color w:val="auto"/>
              </w:rPr>
            </w:pPr>
          </w:p>
        </w:tc>
        <w:tc>
          <w:tcPr>
            <w:tcW w:w="940" w:type="dxa"/>
            <w:vAlign w:val="bottom"/>
            <w:vMerge w:val="restart"/>
          </w:tcPr>
          <w:p>
            <w:pPr>
              <w:jc w:val="right"/>
              <w:ind w:right="156"/>
              <w:spacing w:after="0"/>
              <w:rPr>
                <w:sz w:val="20"/>
                <w:szCs w:val="20"/>
                <w:color w:val="auto"/>
              </w:rPr>
            </w:pPr>
            <w:r>
              <w:rPr>
                <w:rFonts w:ascii="Arial" w:cs="Arial" w:eastAsia="Arial" w:hAnsi="Arial"/>
                <w:sz w:val="12"/>
                <w:szCs w:val="12"/>
                <w:b w:val="1"/>
                <w:bCs w:val="1"/>
                <w:color w:val="454968"/>
              </w:rPr>
              <w:t>All Other</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454968"/>
              </w:rPr>
              <w:t>Estimated Future</w:t>
            </w: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Payouts</w:t>
            </w:r>
          </w:p>
        </w:tc>
        <w:tc>
          <w:tcPr>
            <w:tcW w:w="2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Under</w:t>
            </w:r>
          </w:p>
        </w:tc>
        <w:tc>
          <w:tcPr>
            <w:tcW w:w="220" w:type="dxa"/>
            <w:vAlign w:val="bottom"/>
          </w:tcPr>
          <w:p>
            <w:pPr>
              <w:spacing w:after="0"/>
              <w:rPr>
                <w:sz w:val="10"/>
                <w:szCs w:val="10"/>
                <w:color w:val="auto"/>
              </w:rPr>
            </w:pPr>
          </w:p>
        </w:tc>
        <w:tc>
          <w:tcPr>
            <w:tcW w:w="940" w:type="dxa"/>
            <w:vAlign w:val="bottom"/>
          </w:tcPr>
          <w:p>
            <w:pPr>
              <w:jc w:val="right"/>
              <w:ind w:right="156"/>
              <w:spacing w:after="0" w:line="125" w:lineRule="exact"/>
              <w:rPr>
                <w:sz w:val="20"/>
                <w:szCs w:val="20"/>
                <w:color w:val="auto"/>
              </w:rPr>
            </w:pPr>
            <w:r>
              <w:rPr>
                <w:rFonts w:ascii="Arial" w:cs="Arial" w:eastAsia="Arial" w:hAnsi="Arial"/>
                <w:sz w:val="12"/>
                <w:szCs w:val="12"/>
                <w:b w:val="1"/>
                <w:bCs w:val="1"/>
                <w:color w:val="454968"/>
              </w:rPr>
              <w:t>Option</w:t>
            </w:r>
          </w:p>
        </w:tc>
        <w:tc>
          <w:tcPr>
            <w:tcW w:w="160" w:type="dxa"/>
            <w:vAlign w:val="bottom"/>
          </w:tcPr>
          <w:p>
            <w:pPr>
              <w:spacing w:after="0"/>
              <w:rPr>
                <w:sz w:val="10"/>
                <w:szCs w:val="10"/>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2"/>
                <w:szCs w:val="12"/>
                <w:b w:val="1"/>
                <w:bCs w:val="1"/>
                <w:color w:val="454968"/>
              </w:rPr>
              <w:t>Exercise</w:t>
            </w:r>
          </w:p>
        </w:tc>
        <w:tc>
          <w:tcPr>
            <w:tcW w:w="1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w w:val="96"/>
              </w:rPr>
              <w:t>Payouts Under</w:t>
            </w: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Equity</w:t>
            </w:r>
          </w:p>
        </w:tc>
        <w:tc>
          <w:tcPr>
            <w:tcW w:w="220" w:type="dxa"/>
            <w:vAlign w:val="bottom"/>
          </w:tcPr>
          <w:p>
            <w:pPr>
              <w:spacing w:after="0"/>
              <w:rPr>
                <w:sz w:val="10"/>
                <w:szCs w:val="10"/>
                <w:color w:val="auto"/>
              </w:rPr>
            </w:pPr>
          </w:p>
        </w:tc>
        <w:tc>
          <w:tcPr>
            <w:tcW w:w="940" w:type="dxa"/>
            <w:vAlign w:val="bottom"/>
          </w:tcPr>
          <w:p>
            <w:pPr>
              <w:jc w:val="right"/>
              <w:ind w:right="156"/>
              <w:spacing w:after="0" w:line="125" w:lineRule="exact"/>
              <w:rPr>
                <w:sz w:val="20"/>
                <w:szCs w:val="20"/>
                <w:color w:val="auto"/>
              </w:rPr>
            </w:pPr>
            <w:r>
              <w:rPr>
                <w:rFonts w:ascii="Arial" w:cs="Arial" w:eastAsia="Arial" w:hAnsi="Arial"/>
                <w:sz w:val="12"/>
                <w:szCs w:val="12"/>
                <w:b w:val="1"/>
                <w:bCs w:val="1"/>
                <w:color w:val="454968"/>
              </w:rPr>
              <w:t>Awards:</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360" w:type="dxa"/>
            <w:vAlign w:val="bottom"/>
            <w:vMerge w:val="restart"/>
          </w:tcPr>
          <w:p>
            <w:pPr>
              <w:jc w:val="right"/>
              <w:ind w:right="473"/>
              <w:spacing w:after="0"/>
              <w:rPr>
                <w:sz w:val="20"/>
                <w:szCs w:val="20"/>
                <w:color w:val="auto"/>
              </w:rPr>
            </w:pPr>
            <w:r>
              <w:rPr>
                <w:rFonts w:ascii="Arial" w:cs="Arial" w:eastAsia="Arial" w:hAnsi="Arial"/>
                <w:sz w:val="12"/>
                <w:szCs w:val="12"/>
                <w:b w:val="1"/>
                <w:bCs w:val="1"/>
                <w:color w:val="454968"/>
              </w:rPr>
              <w:t>Closing</w:t>
            </w: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Grant Date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Non-Equity</w:t>
            </w: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Incentive</w:t>
            </w:r>
          </w:p>
        </w:tc>
        <w:tc>
          <w:tcPr>
            <w:tcW w:w="220" w:type="dxa"/>
            <w:vAlign w:val="bottom"/>
          </w:tcPr>
          <w:p>
            <w:pPr>
              <w:spacing w:after="0"/>
              <w:rPr>
                <w:sz w:val="10"/>
                <w:szCs w:val="10"/>
                <w:color w:val="auto"/>
              </w:rPr>
            </w:pPr>
          </w:p>
        </w:tc>
        <w:tc>
          <w:tcPr>
            <w:tcW w:w="940" w:type="dxa"/>
            <w:vAlign w:val="bottom"/>
          </w:tcPr>
          <w:p>
            <w:pPr>
              <w:jc w:val="right"/>
              <w:ind w:right="156"/>
              <w:spacing w:after="0" w:line="125" w:lineRule="exact"/>
              <w:rPr>
                <w:sz w:val="20"/>
                <w:szCs w:val="20"/>
                <w:color w:val="auto"/>
              </w:rPr>
            </w:pPr>
            <w:r>
              <w:rPr>
                <w:rFonts w:ascii="Arial" w:cs="Arial" w:eastAsia="Arial" w:hAnsi="Arial"/>
                <w:sz w:val="12"/>
                <w:szCs w:val="12"/>
                <w:b w:val="1"/>
                <w:bCs w:val="1"/>
                <w:color w:val="454968"/>
              </w:rPr>
              <w:t>Numbers of</w:t>
            </w:r>
          </w:p>
        </w:tc>
        <w:tc>
          <w:tcPr>
            <w:tcW w:w="160" w:type="dxa"/>
            <w:vAlign w:val="bottom"/>
          </w:tcPr>
          <w:p>
            <w:pPr>
              <w:spacing w:after="0"/>
              <w:rPr>
                <w:sz w:val="10"/>
                <w:szCs w:val="10"/>
                <w:color w:val="auto"/>
              </w:rPr>
            </w:pPr>
          </w:p>
        </w:tc>
        <w:tc>
          <w:tcPr>
            <w:tcW w:w="660" w:type="dxa"/>
            <w:vAlign w:val="bottom"/>
          </w:tcPr>
          <w:p>
            <w:pPr>
              <w:jc w:val="right"/>
              <w:ind w:right="55"/>
              <w:spacing w:after="0" w:line="125" w:lineRule="exact"/>
              <w:rPr>
                <w:sz w:val="20"/>
                <w:szCs w:val="20"/>
                <w:color w:val="auto"/>
              </w:rPr>
            </w:pPr>
            <w:r>
              <w:rPr>
                <w:rFonts w:ascii="Arial" w:cs="Arial" w:eastAsia="Arial" w:hAnsi="Arial"/>
                <w:sz w:val="12"/>
                <w:szCs w:val="12"/>
                <w:b w:val="1"/>
                <w:bCs w:val="1"/>
                <w:color w:val="454968"/>
              </w:rPr>
              <w:t>or Base</w:t>
            </w:r>
          </w:p>
        </w:tc>
        <w:tc>
          <w:tcPr>
            <w:tcW w:w="13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Incentive Plan</w:t>
            </w: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Plan</w:t>
            </w:r>
          </w:p>
        </w:tc>
        <w:tc>
          <w:tcPr>
            <w:tcW w:w="220" w:type="dxa"/>
            <w:vAlign w:val="bottom"/>
          </w:tcPr>
          <w:p>
            <w:pPr>
              <w:spacing w:after="0"/>
              <w:rPr>
                <w:sz w:val="10"/>
                <w:szCs w:val="10"/>
                <w:color w:val="auto"/>
              </w:rPr>
            </w:pPr>
          </w:p>
        </w:tc>
        <w:tc>
          <w:tcPr>
            <w:tcW w:w="940" w:type="dxa"/>
            <w:vAlign w:val="bottom"/>
          </w:tcPr>
          <w:p>
            <w:pPr>
              <w:jc w:val="right"/>
              <w:ind w:right="156"/>
              <w:spacing w:after="0" w:line="125" w:lineRule="exact"/>
              <w:rPr>
                <w:sz w:val="20"/>
                <w:szCs w:val="20"/>
                <w:color w:val="auto"/>
              </w:rPr>
            </w:pPr>
            <w:r>
              <w:rPr>
                <w:rFonts w:ascii="Arial" w:cs="Arial" w:eastAsia="Arial" w:hAnsi="Arial"/>
                <w:sz w:val="12"/>
                <w:szCs w:val="12"/>
                <w:b w:val="1"/>
                <w:bCs w:val="1"/>
                <w:color w:val="454968"/>
              </w:rPr>
              <w:t>Securities</w:t>
            </w:r>
          </w:p>
        </w:tc>
        <w:tc>
          <w:tcPr>
            <w:tcW w:w="160" w:type="dxa"/>
            <w:vAlign w:val="bottom"/>
          </w:tcPr>
          <w:p>
            <w:pPr>
              <w:spacing w:after="0"/>
              <w:rPr>
                <w:sz w:val="10"/>
                <w:szCs w:val="10"/>
                <w:color w:val="auto"/>
              </w:rPr>
            </w:pPr>
          </w:p>
        </w:tc>
        <w:tc>
          <w:tcPr>
            <w:tcW w:w="660" w:type="dxa"/>
            <w:vAlign w:val="bottom"/>
          </w:tcPr>
          <w:p>
            <w:pPr>
              <w:jc w:val="right"/>
              <w:ind w:right="55"/>
              <w:spacing w:after="0" w:line="125" w:lineRule="exact"/>
              <w:rPr>
                <w:sz w:val="20"/>
                <w:szCs w:val="20"/>
                <w:color w:val="auto"/>
              </w:rPr>
            </w:pPr>
            <w:r>
              <w:rPr>
                <w:rFonts w:ascii="Arial" w:cs="Arial" w:eastAsia="Arial" w:hAnsi="Arial"/>
                <w:sz w:val="12"/>
                <w:szCs w:val="12"/>
                <w:b w:val="1"/>
                <w:bCs w:val="1"/>
                <w:color w:val="454968"/>
              </w:rPr>
              <w:t>Price of</w:t>
            </w:r>
          </w:p>
        </w:tc>
        <w:tc>
          <w:tcPr>
            <w:tcW w:w="1360" w:type="dxa"/>
            <w:vAlign w:val="bottom"/>
          </w:tcPr>
          <w:p>
            <w:pPr>
              <w:jc w:val="right"/>
              <w:ind w:right="473"/>
              <w:spacing w:after="0" w:line="125" w:lineRule="exact"/>
              <w:rPr>
                <w:sz w:val="20"/>
                <w:szCs w:val="20"/>
                <w:color w:val="auto"/>
              </w:rPr>
            </w:pPr>
            <w:r>
              <w:rPr>
                <w:rFonts w:ascii="Arial" w:cs="Arial" w:eastAsia="Arial" w:hAnsi="Arial"/>
                <w:sz w:val="12"/>
                <w:szCs w:val="12"/>
                <w:b w:val="1"/>
                <w:bCs w:val="1"/>
                <w:color w:val="454968"/>
              </w:rPr>
              <w:t>Market</w:t>
            </w: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Fair Value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bottom w:val="single" w:sz="8" w:color="071D49"/>
            </w:tcBorders>
          </w:tcPr>
          <w:p>
            <w:pPr>
              <w:spacing w:after="0"/>
              <w:rPr>
                <w:sz w:val="12"/>
                <w:szCs w:val="12"/>
                <w:color w:val="auto"/>
              </w:rPr>
            </w:pPr>
          </w:p>
        </w:tc>
        <w:tc>
          <w:tcPr>
            <w:tcW w:w="880" w:type="dxa"/>
            <w:vAlign w:val="bottom"/>
            <w:tcBorders>
              <w:bottom w:val="single" w:sz="8" w:color="071D49"/>
            </w:tcBorders>
          </w:tcPr>
          <w:p>
            <w:pPr>
              <w:jc w:val="right"/>
              <w:spacing w:after="0" w:line="143" w:lineRule="exact"/>
              <w:rPr>
                <w:sz w:val="20"/>
                <w:szCs w:val="20"/>
                <w:color w:val="auto"/>
              </w:rPr>
            </w:pPr>
            <w:r>
              <w:rPr>
                <w:rFonts w:ascii="Arial" w:cs="Arial" w:eastAsia="Arial" w:hAnsi="Arial"/>
                <w:sz w:val="11"/>
                <w:szCs w:val="11"/>
                <w:b w:val="1"/>
                <w:bCs w:val="1"/>
                <w:color w:val="454968"/>
              </w:rPr>
              <w:t>Awards</w:t>
            </w:r>
            <w:r>
              <w:rPr>
                <w:rFonts w:ascii="Arial" w:cs="Arial" w:eastAsia="Arial" w:hAnsi="Arial"/>
                <w:sz w:val="16"/>
                <w:szCs w:val="16"/>
                <w:b w:val="1"/>
                <w:bCs w:val="1"/>
                <w:color w:val="454968"/>
                <w:vertAlign w:val="superscript"/>
              </w:rPr>
              <w:t>(1)</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454968"/>
              </w:rPr>
              <w:t>Awards</w:t>
            </w:r>
          </w:p>
        </w:tc>
        <w:tc>
          <w:tcPr>
            <w:tcW w:w="220" w:type="dxa"/>
            <w:vAlign w:val="bottom"/>
          </w:tcPr>
          <w:p>
            <w:pPr>
              <w:spacing w:after="0"/>
              <w:rPr>
                <w:sz w:val="12"/>
                <w:szCs w:val="12"/>
                <w:color w:val="auto"/>
              </w:rPr>
            </w:pPr>
          </w:p>
        </w:tc>
        <w:tc>
          <w:tcPr>
            <w:tcW w:w="940" w:type="dxa"/>
            <w:vAlign w:val="bottom"/>
          </w:tcPr>
          <w:p>
            <w:pPr>
              <w:jc w:val="right"/>
              <w:ind w:right="156"/>
              <w:spacing w:after="0"/>
              <w:rPr>
                <w:sz w:val="20"/>
                <w:szCs w:val="20"/>
                <w:color w:val="auto"/>
              </w:rPr>
            </w:pPr>
            <w:r>
              <w:rPr>
                <w:rFonts w:ascii="Arial" w:cs="Arial" w:eastAsia="Arial" w:hAnsi="Arial"/>
                <w:sz w:val="12"/>
                <w:szCs w:val="12"/>
                <w:b w:val="1"/>
                <w:bCs w:val="1"/>
                <w:color w:val="454968"/>
              </w:rPr>
              <w:t>Underlying</w:t>
            </w:r>
          </w:p>
        </w:tc>
        <w:tc>
          <w:tcPr>
            <w:tcW w:w="160" w:type="dxa"/>
            <w:vAlign w:val="bottom"/>
          </w:tcPr>
          <w:p>
            <w:pPr>
              <w:spacing w:after="0"/>
              <w:rPr>
                <w:sz w:val="12"/>
                <w:szCs w:val="12"/>
                <w:color w:val="auto"/>
              </w:rPr>
            </w:pPr>
          </w:p>
        </w:tc>
        <w:tc>
          <w:tcPr>
            <w:tcW w:w="660" w:type="dxa"/>
            <w:vAlign w:val="bottom"/>
          </w:tcPr>
          <w:p>
            <w:pPr>
              <w:jc w:val="right"/>
              <w:ind w:right="55"/>
              <w:spacing w:after="0"/>
              <w:rPr>
                <w:sz w:val="20"/>
                <w:szCs w:val="20"/>
                <w:color w:val="auto"/>
              </w:rPr>
            </w:pPr>
            <w:r>
              <w:rPr>
                <w:rFonts w:ascii="Arial" w:cs="Arial" w:eastAsia="Arial" w:hAnsi="Arial"/>
                <w:sz w:val="12"/>
                <w:szCs w:val="12"/>
                <w:b w:val="1"/>
                <w:bCs w:val="1"/>
                <w:color w:val="454968"/>
              </w:rPr>
              <w:t>Option</w:t>
            </w:r>
          </w:p>
        </w:tc>
        <w:tc>
          <w:tcPr>
            <w:tcW w:w="1360" w:type="dxa"/>
            <w:vAlign w:val="bottom"/>
          </w:tcPr>
          <w:p>
            <w:pPr>
              <w:jc w:val="right"/>
              <w:ind w:right="473"/>
              <w:spacing w:after="0"/>
              <w:rPr>
                <w:sz w:val="20"/>
                <w:szCs w:val="20"/>
                <w:color w:val="auto"/>
              </w:rPr>
            </w:pPr>
            <w:r>
              <w:rPr>
                <w:rFonts w:ascii="Arial" w:cs="Arial" w:eastAsia="Arial" w:hAnsi="Arial"/>
                <w:sz w:val="12"/>
                <w:szCs w:val="12"/>
                <w:b w:val="1"/>
                <w:bCs w:val="1"/>
                <w:color w:val="454968"/>
              </w:rPr>
              <w:t>Price on</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454968"/>
              </w:rPr>
              <w:t>of Stock</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2"/>
                <w:szCs w:val="12"/>
                <w:b w:val="1"/>
                <w:bCs w:val="1"/>
                <w:color w:val="454968"/>
              </w:rPr>
              <w:t>Name</w:t>
            </w:r>
          </w:p>
        </w:tc>
        <w:tc>
          <w:tcPr>
            <w:tcW w:w="220" w:type="dxa"/>
            <w:vAlign w:val="bottom"/>
          </w:tcPr>
          <w:p>
            <w:pPr>
              <w:spacing w:after="0"/>
              <w:rPr>
                <w:sz w:val="8"/>
                <w:szCs w:val="8"/>
                <w:color w:val="auto"/>
              </w:rPr>
            </w:pPr>
          </w:p>
        </w:tc>
        <w:tc>
          <w:tcPr>
            <w:tcW w:w="1040" w:type="dxa"/>
            <w:vAlign w:val="bottom"/>
            <w:gridSpan w:val="2"/>
          </w:tcPr>
          <w:p>
            <w:pPr>
              <w:jc w:val="right"/>
              <w:ind w:right="260"/>
              <w:spacing w:after="0" w:line="100" w:lineRule="exact"/>
              <w:rPr>
                <w:sz w:val="20"/>
                <w:szCs w:val="20"/>
                <w:color w:val="auto"/>
              </w:rPr>
            </w:pPr>
            <w:r>
              <w:rPr>
                <w:rFonts w:ascii="Arial" w:cs="Arial" w:eastAsia="Arial" w:hAnsi="Arial"/>
                <w:sz w:val="11"/>
                <w:szCs w:val="11"/>
                <w:b w:val="1"/>
                <w:bCs w:val="1"/>
                <w:color w:val="454968"/>
              </w:rPr>
              <w:t>Grant</w:t>
            </w:r>
          </w:p>
        </w:tc>
        <w:tc>
          <w:tcPr>
            <w:tcW w:w="38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Target</w:t>
            </w:r>
          </w:p>
        </w:tc>
        <w:tc>
          <w:tcPr>
            <w:tcW w:w="88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Maximum</w:t>
            </w:r>
          </w:p>
        </w:tc>
        <w:tc>
          <w:tcPr>
            <w:tcW w:w="88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Target</w:t>
            </w:r>
          </w:p>
        </w:tc>
        <w:tc>
          <w:tcPr>
            <w:tcW w:w="220" w:type="dxa"/>
            <w:vAlign w:val="bottom"/>
          </w:tcPr>
          <w:p>
            <w:pPr>
              <w:spacing w:after="0"/>
              <w:rPr>
                <w:sz w:val="8"/>
                <w:szCs w:val="8"/>
                <w:color w:val="auto"/>
              </w:rPr>
            </w:pPr>
          </w:p>
        </w:tc>
        <w:tc>
          <w:tcPr>
            <w:tcW w:w="940" w:type="dxa"/>
            <w:vAlign w:val="bottom"/>
          </w:tcPr>
          <w:p>
            <w:pPr>
              <w:jc w:val="right"/>
              <w:ind w:right="156"/>
              <w:spacing w:after="0" w:line="100" w:lineRule="exact"/>
              <w:rPr>
                <w:sz w:val="20"/>
                <w:szCs w:val="20"/>
                <w:color w:val="auto"/>
              </w:rPr>
            </w:pPr>
            <w:r>
              <w:rPr>
                <w:rFonts w:ascii="Arial" w:cs="Arial" w:eastAsia="Arial" w:hAnsi="Arial"/>
                <w:sz w:val="11"/>
                <w:szCs w:val="11"/>
                <w:b w:val="1"/>
                <w:bCs w:val="1"/>
                <w:color w:val="454968"/>
              </w:rPr>
              <w:t>Options</w:t>
            </w:r>
          </w:p>
        </w:tc>
        <w:tc>
          <w:tcPr>
            <w:tcW w:w="160" w:type="dxa"/>
            <w:vAlign w:val="bottom"/>
          </w:tcPr>
          <w:p>
            <w:pPr>
              <w:spacing w:after="0"/>
              <w:rPr>
                <w:sz w:val="8"/>
                <w:szCs w:val="8"/>
                <w:color w:val="auto"/>
              </w:rPr>
            </w:pPr>
          </w:p>
        </w:tc>
        <w:tc>
          <w:tcPr>
            <w:tcW w:w="660" w:type="dxa"/>
            <w:vAlign w:val="bottom"/>
          </w:tcPr>
          <w:p>
            <w:pPr>
              <w:jc w:val="right"/>
              <w:ind w:right="55"/>
              <w:spacing w:after="0" w:line="100" w:lineRule="exact"/>
              <w:rPr>
                <w:sz w:val="20"/>
                <w:szCs w:val="20"/>
                <w:color w:val="auto"/>
              </w:rPr>
            </w:pPr>
            <w:r>
              <w:rPr>
                <w:rFonts w:ascii="Arial" w:cs="Arial" w:eastAsia="Arial" w:hAnsi="Arial"/>
                <w:sz w:val="11"/>
                <w:szCs w:val="11"/>
                <w:b w:val="1"/>
                <w:bCs w:val="1"/>
                <w:color w:val="454968"/>
              </w:rPr>
              <w:t>Awards</w:t>
            </w:r>
          </w:p>
        </w:tc>
        <w:tc>
          <w:tcPr>
            <w:tcW w:w="1360" w:type="dxa"/>
            <w:vAlign w:val="bottom"/>
          </w:tcPr>
          <w:p>
            <w:pPr>
              <w:jc w:val="right"/>
              <w:ind w:right="473"/>
              <w:spacing w:after="0" w:line="100" w:lineRule="exact"/>
              <w:rPr>
                <w:sz w:val="20"/>
                <w:szCs w:val="20"/>
                <w:color w:val="auto"/>
              </w:rPr>
            </w:pPr>
            <w:r>
              <w:rPr>
                <w:rFonts w:ascii="Arial" w:cs="Arial" w:eastAsia="Arial" w:hAnsi="Arial"/>
                <w:sz w:val="11"/>
                <w:szCs w:val="11"/>
                <w:b w:val="1"/>
                <w:bCs w:val="1"/>
                <w:color w:val="454968"/>
              </w:rPr>
              <w:t>Grant</w:t>
            </w:r>
          </w:p>
        </w:tc>
        <w:tc>
          <w:tcPr>
            <w:tcW w:w="78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and Option</w:t>
            </w: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tcBorders>
              <w:bottom w:val="single" w:sz="8" w:color="071D49"/>
            </w:tcBorders>
            <w:vMerge w:val="continue"/>
          </w:tcPr>
          <w:p>
            <w:pPr>
              <w:spacing w:after="0"/>
              <w:rPr>
                <w:sz w:val="12"/>
                <w:szCs w:val="12"/>
                <w:color w:val="auto"/>
              </w:rPr>
            </w:pPr>
          </w:p>
        </w:tc>
        <w:tc>
          <w:tcPr>
            <w:tcW w:w="220" w:type="dxa"/>
            <w:vAlign w:val="bottom"/>
            <w:tcBorders>
              <w:bottom w:val="single" w:sz="8" w:color="071D49"/>
            </w:tcBorders>
          </w:tcPr>
          <w:p>
            <w:pPr>
              <w:spacing w:after="0"/>
              <w:rPr>
                <w:sz w:val="12"/>
                <w:szCs w:val="12"/>
                <w:color w:val="auto"/>
              </w:rPr>
            </w:pPr>
          </w:p>
        </w:tc>
        <w:tc>
          <w:tcPr>
            <w:tcW w:w="1040" w:type="dxa"/>
            <w:vAlign w:val="bottom"/>
            <w:tcBorders>
              <w:bottom w:val="single" w:sz="8" w:color="071D49"/>
            </w:tcBorders>
            <w:gridSpan w:val="2"/>
          </w:tcPr>
          <w:p>
            <w:pPr>
              <w:jc w:val="right"/>
              <w:ind w:right="260"/>
              <w:spacing w:after="0"/>
              <w:rPr>
                <w:sz w:val="20"/>
                <w:szCs w:val="20"/>
                <w:color w:val="auto"/>
              </w:rPr>
            </w:pPr>
            <w:r>
              <w:rPr>
                <w:rFonts w:ascii="Arial" w:cs="Arial" w:eastAsia="Arial" w:hAnsi="Arial"/>
                <w:sz w:val="12"/>
                <w:szCs w:val="12"/>
                <w:b w:val="1"/>
                <w:bCs w:val="1"/>
                <w:color w:val="454968"/>
              </w:rPr>
              <w:t>Date</w:t>
            </w:r>
          </w:p>
        </w:tc>
        <w:tc>
          <w:tcPr>
            <w:tcW w:w="38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454968"/>
              </w:rPr>
              <w:t>($)</w:t>
            </w: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454968"/>
              </w:rPr>
              <w:t>($)</w:t>
            </w:r>
          </w:p>
        </w:tc>
        <w:tc>
          <w:tcPr>
            <w:tcW w:w="88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454968"/>
              </w:rPr>
              <w:t>(#)</w:t>
            </w:r>
          </w:p>
        </w:tc>
        <w:tc>
          <w:tcPr>
            <w:tcW w:w="220" w:type="dxa"/>
            <w:vAlign w:val="bottom"/>
            <w:tcBorders>
              <w:bottom w:val="single" w:sz="8" w:color="071D49"/>
            </w:tcBorders>
          </w:tcPr>
          <w:p>
            <w:pPr>
              <w:spacing w:after="0"/>
              <w:rPr>
                <w:sz w:val="12"/>
                <w:szCs w:val="12"/>
                <w:color w:val="auto"/>
              </w:rPr>
            </w:pPr>
          </w:p>
        </w:tc>
        <w:tc>
          <w:tcPr>
            <w:tcW w:w="940" w:type="dxa"/>
            <w:vAlign w:val="bottom"/>
            <w:tcBorders>
              <w:bottom w:val="single" w:sz="8" w:color="071D49"/>
            </w:tcBorders>
          </w:tcPr>
          <w:p>
            <w:pPr>
              <w:jc w:val="right"/>
              <w:ind w:right="156"/>
              <w:spacing w:after="0"/>
              <w:rPr>
                <w:sz w:val="20"/>
                <w:szCs w:val="20"/>
                <w:color w:val="auto"/>
              </w:rPr>
            </w:pPr>
            <w:r>
              <w:rPr>
                <w:rFonts w:ascii="Arial" w:cs="Arial" w:eastAsia="Arial" w:hAnsi="Arial"/>
                <w:sz w:val="12"/>
                <w:szCs w:val="12"/>
                <w:b w:val="1"/>
                <w:bCs w:val="1"/>
                <w:color w:val="454968"/>
              </w:rPr>
              <w:t>(#)</w:t>
            </w:r>
          </w:p>
        </w:tc>
        <w:tc>
          <w:tcPr>
            <w:tcW w:w="160" w:type="dxa"/>
            <w:vAlign w:val="bottom"/>
            <w:tcBorders>
              <w:bottom w:val="single" w:sz="8" w:color="071D49"/>
            </w:tcBorders>
          </w:tcPr>
          <w:p>
            <w:pPr>
              <w:spacing w:after="0"/>
              <w:rPr>
                <w:sz w:val="12"/>
                <w:szCs w:val="12"/>
                <w:color w:val="auto"/>
              </w:rPr>
            </w:pPr>
          </w:p>
        </w:tc>
        <w:tc>
          <w:tcPr>
            <w:tcW w:w="660" w:type="dxa"/>
            <w:vAlign w:val="bottom"/>
            <w:tcBorders>
              <w:bottom w:val="single" w:sz="8" w:color="071D49"/>
            </w:tcBorders>
          </w:tcPr>
          <w:p>
            <w:pPr>
              <w:jc w:val="right"/>
              <w:ind w:right="55"/>
              <w:spacing w:after="0"/>
              <w:rPr>
                <w:sz w:val="20"/>
                <w:szCs w:val="20"/>
                <w:color w:val="auto"/>
              </w:rPr>
            </w:pPr>
            <w:r>
              <w:rPr>
                <w:rFonts w:ascii="Arial" w:cs="Arial" w:eastAsia="Arial" w:hAnsi="Arial"/>
                <w:sz w:val="12"/>
                <w:szCs w:val="12"/>
                <w:b w:val="1"/>
                <w:bCs w:val="1"/>
                <w:color w:val="454968"/>
              </w:rPr>
              <w:t>(#)</w:t>
            </w:r>
          </w:p>
        </w:tc>
        <w:tc>
          <w:tcPr>
            <w:tcW w:w="1360" w:type="dxa"/>
            <w:vAlign w:val="bottom"/>
            <w:tcBorders>
              <w:bottom w:val="single" w:sz="8" w:color="071D49"/>
            </w:tcBorders>
          </w:tcPr>
          <w:p>
            <w:pPr>
              <w:jc w:val="right"/>
              <w:ind w:right="473"/>
              <w:spacing w:after="0"/>
              <w:rPr>
                <w:sz w:val="20"/>
                <w:szCs w:val="20"/>
                <w:color w:val="auto"/>
              </w:rPr>
            </w:pPr>
            <w:r>
              <w:rPr>
                <w:rFonts w:ascii="Arial" w:cs="Arial" w:eastAsia="Arial" w:hAnsi="Arial"/>
                <w:sz w:val="12"/>
                <w:szCs w:val="12"/>
                <w:b w:val="1"/>
                <w:bCs w:val="1"/>
                <w:color w:val="454968"/>
              </w:rPr>
              <w:t>Date</w:t>
            </w:r>
          </w:p>
        </w:tc>
        <w:tc>
          <w:tcPr>
            <w:tcW w:w="780" w:type="dxa"/>
            <w:vAlign w:val="bottom"/>
            <w:tcBorders>
              <w:bottom w:val="single" w:sz="8" w:color="071D49"/>
            </w:tcBorders>
          </w:tcPr>
          <w:p>
            <w:pPr>
              <w:jc w:val="right"/>
              <w:spacing w:after="0"/>
              <w:rPr>
                <w:sz w:val="20"/>
                <w:szCs w:val="20"/>
                <w:color w:val="auto"/>
              </w:rPr>
            </w:pPr>
            <w:r>
              <w:rPr>
                <w:rFonts w:ascii="Arial" w:cs="Arial" w:eastAsia="Arial" w:hAnsi="Arial"/>
                <w:sz w:val="12"/>
                <w:szCs w:val="12"/>
                <w:b w:val="1"/>
                <w:bCs w:val="1"/>
                <w:color w:val="454968"/>
              </w:rPr>
              <w:t>Awards</w:t>
            </w:r>
          </w:p>
        </w:tc>
        <w:tc>
          <w:tcPr>
            <w:tcW w:w="24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500" w:type="dxa"/>
            <w:vAlign w:val="bottom"/>
            <w:shd w:val="clear" w:color="auto" w:fill="D9D9D9"/>
          </w:tcPr>
          <w:p>
            <w:pPr>
              <w:ind w:left="100"/>
              <w:spacing w:after="0" w:line="144" w:lineRule="exact"/>
              <w:rPr>
                <w:sz w:val="20"/>
                <w:szCs w:val="20"/>
                <w:color w:val="auto"/>
              </w:rPr>
            </w:pPr>
            <w:r>
              <w:rPr>
                <w:rFonts w:ascii="Arial" w:cs="Arial" w:eastAsia="Arial" w:hAnsi="Arial"/>
                <w:sz w:val="15"/>
                <w:szCs w:val="15"/>
                <w:color w:val="auto"/>
              </w:rPr>
              <w:t>R. Gonzalez</w:t>
            </w:r>
          </w:p>
        </w:tc>
        <w:tc>
          <w:tcPr>
            <w:tcW w:w="1260" w:type="dxa"/>
            <w:vAlign w:val="bottom"/>
            <w:gridSpan w:val="3"/>
            <w:shd w:val="clear" w:color="auto" w:fill="D9D9D9"/>
          </w:tcPr>
          <w:p>
            <w:pPr>
              <w:jc w:val="right"/>
              <w:ind w:right="280"/>
              <w:spacing w:after="0" w:line="144" w:lineRule="exact"/>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2"/>
                <w:szCs w:val="12"/>
                <w:color w:val="auto"/>
              </w:rPr>
            </w:pPr>
          </w:p>
        </w:tc>
        <w:tc>
          <w:tcPr>
            <w:tcW w:w="880" w:type="dxa"/>
            <w:vAlign w:val="bottom"/>
            <w:shd w:val="clear" w:color="auto" w:fill="D9D9D9"/>
          </w:tcPr>
          <w:p>
            <w:pPr>
              <w:spacing w:after="0"/>
              <w:rPr>
                <w:sz w:val="12"/>
                <w:szCs w:val="12"/>
                <w:color w:val="auto"/>
              </w:rPr>
            </w:pPr>
          </w:p>
        </w:tc>
        <w:tc>
          <w:tcPr>
            <w:tcW w:w="880" w:type="dxa"/>
            <w:vAlign w:val="bottom"/>
            <w:shd w:val="clear" w:color="auto" w:fill="D9D9D9"/>
          </w:tcPr>
          <w:p>
            <w:pPr>
              <w:jc w:val="right"/>
              <w:spacing w:after="0" w:line="144" w:lineRule="exact"/>
              <w:rPr>
                <w:sz w:val="20"/>
                <w:szCs w:val="20"/>
                <w:color w:val="auto"/>
              </w:rPr>
            </w:pPr>
            <w:r>
              <w:rPr>
                <w:rFonts w:ascii="Arial" w:cs="Arial" w:eastAsia="Arial" w:hAnsi="Arial"/>
                <w:sz w:val="15"/>
                <w:szCs w:val="15"/>
                <w:color w:val="auto"/>
              </w:rPr>
              <w:t>45,448</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(2)</w:t>
            </w:r>
          </w:p>
        </w:tc>
        <w:tc>
          <w:tcPr>
            <w:tcW w:w="94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660" w:type="dxa"/>
            <w:vAlign w:val="bottom"/>
            <w:shd w:val="clear" w:color="auto" w:fill="D9D9D9"/>
          </w:tcPr>
          <w:p>
            <w:pPr>
              <w:spacing w:after="0"/>
              <w:rPr>
                <w:sz w:val="12"/>
                <w:szCs w:val="12"/>
                <w:color w:val="auto"/>
              </w:rPr>
            </w:pPr>
          </w:p>
        </w:tc>
        <w:tc>
          <w:tcPr>
            <w:tcW w:w="1360" w:type="dxa"/>
            <w:vAlign w:val="bottom"/>
            <w:shd w:val="clear" w:color="auto" w:fill="D9D9D9"/>
          </w:tcPr>
          <w:p>
            <w:pPr>
              <w:jc w:val="right"/>
              <w:ind w:right="13"/>
              <w:spacing w:after="0" w:line="144" w:lineRule="exact"/>
              <w:rPr>
                <w:sz w:val="20"/>
                <w:szCs w:val="20"/>
                <w:color w:val="auto"/>
              </w:rPr>
            </w:pPr>
            <w:r>
              <w:rPr>
                <w:rFonts w:ascii="Arial" w:cs="Arial" w:eastAsia="Arial" w:hAnsi="Arial"/>
                <w:sz w:val="15"/>
                <w:szCs w:val="15"/>
                <w:color w:val="auto"/>
              </w:rPr>
              <w:t>$</w:t>
            </w:r>
          </w:p>
        </w:tc>
        <w:tc>
          <w:tcPr>
            <w:tcW w:w="780" w:type="dxa"/>
            <w:vAlign w:val="bottom"/>
            <w:shd w:val="clear" w:color="auto" w:fill="D9D9D9"/>
          </w:tcPr>
          <w:p>
            <w:pPr>
              <w:jc w:val="right"/>
              <w:spacing w:after="0" w:line="144" w:lineRule="exact"/>
              <w:rPr>
                <w:sz w:val="20"/>
                <w:szCs w:val="20"/>
                <w:color w:val="auto"/>
              </w:rPr>
            </w:pPr>
            <w:r>
              <w:rPr>
                <w:rFonts w:ascii="Arial" w:cs="Arial" w:eastAsia="Arial" w:hAnsi="Arial"/>
                <w:sz w:val="15"/>
                <w:szCs w:val="15"/>
                <w:color w:val="auto"/>
              </w:rPr>
              <w:t>6,902,188</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45,448</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(3)</w:t>
            </w:r>
          </w:p>
        </w:tc>
        <w:tc>
          <w:tcPr>
            <w:tcW w:w="94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66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6,799,703</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40" w:type="dxa"/>
            <w:vAlign w:val="bottom"/>
            <w:shd w:val="clear" w:color="auto" w:fill="D9D9D9"/>
          </w:tcPr>
          <w:p>
            <w:pPr>
              <w:jc w:val="right"/>
              <w:spacing w:after="0" w:line="200" w:lineRule="exact"/>
              <w:rPr>
                <w:sz w:val="20"/>
                <w:szCs w:val="20"/>
                <w:color w:val="auto"/>
              </w:rPr>
            </w:pPr>
            <w:r>
              <w:rPr>
                <w:rFonts w:ascii="Arial" w:cs="Arial" w:eastAsia="Arial" w:hAnsi="Arial"/>
                <w:sz w:val="15"/>
                <w:szCs w:val="15"/>
                <w:color w:val="auto"/>
              </w:rPr>
              <w:t xml:space="preserve">114,787 </w:t>
            </w:r>
            <w:r>
              <w:rPr>
                <w:rFonts w:ascii="Arial" w:cs="Arial" w:eastAsia="Arial" w:hAnsi="Arial"/>
                <w:sz w:val="22"/>
                <w:szCs w:val="22"/>
                <w:color w:val="auto"/>
                <w:vertAlign w:val="superscript"/>
              </w:rPr>
              <w:t>(5)</w:t>
            </w:r>
          </w:p>
        </w:tc>
        <w:tc>
          <w:tcPr>
            <w:tcW w:w="1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D9D9D9"/>
          </w:tcPr>
          <w:p>
            <w:pPr>
              <w:jc w:val="right"/>
              <w:ind w:right="55"/>
              <w:spacing w:after="0"/>
              <w:rPr>
                <w:sz w:val="20"/>
                <w:szCs w:val="20"/>
                <w:color w:val="auto"/>
              </w:rPr>
            </w:pPr>
            <w:r>
              <w:rPr>
                <w:rFonts w:ascii="Arial" w:cs="Arial" w:eastAsia="Arial" w:hAnsi="Arial"/>
                <w:sz w:val="15"/>
                <w:szCs w:val="15"/>
                <w:color w:val="auto"/>
              </w:rPr>
              <w:t>149.62</w:t>
            </w:r>
          </w:p>
        </w:tc>
        <w:tc>
          <w:tcPr>
            <w:tcW w:w="1360" w:type="dxa"/>
            <w:vAlign w:val="bottom"/>
            <w:shd w:val="clear" w:color="auto" w:fill="D9D9D9"/>
          </w:tcPr>
          <w:p>
            <w:pPr>
              <w:jc w:val="right"/>
              <w:ind w:right="493"/>
              <w:spacing w:after="0"/>
              <w:rPr>
                <w:sz w:val="20"/>
                <w:szCs w:val="20"/>
                <w:color w:val="auto"/>
              </w:rPr>
            </w:pPr>
            <w:r>
              <w:rPr>
                <w:rFonts w:ascii="Arial" w:cs="Arial" w:eastAsia="Arial" w:hAnsi="Arial"/>
                <w:sz w:val="15"/>
                <w:szCs w:val="15"/>
                <w:color w:val="auto"/>
              </w:rPr>
              <w:t>$  149.53</w:t>
            </w: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3,437,871</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00" w:type="dxa"/>
            <w:vAlign w:val="bottom"/>
          </w:tcPr>
          <w:p>
            <w:pPr>
              <w:ind w:left="100"/>
              <w:spacing w:after="0" w:line="151" w:lineRule="exact"/>
              <w:rPr>
                <w:sz w:val="20"/>
                <w:szCs w:val="20"/>
                <w:color w:val="auto"/>
              </w:rPr>
            </w:pPr>
            <w:r>
              <w:rPr>
                <w:rFonts w:ascii="Arial" w:cs="Arial" w:eastAsia="Arial" w:hAnsi="Arial"/>
                <w:sz w:val="15"/>
                <w:szCs w:val="15"/>
                <w:color w:val="auto"/>
              </w:rPr>
              <w:t>R. Michael</w:t>
            </w:r>
          </w:p>
        </w:tc>
        <w:tc>
          <w:tcPr>
            <w:tcW w:w="220" w:type="dxa"/>
            <w:vAlign w:val="bottom"/>
          </w:tcPr>
          <w:p>
            <w:pPr>
              <w:spacing w:after="0"/>
              <w:rPr>
                <w:sz w:val="13"/>
                <w:szCs w:val="13"/>
                <w:color w:val="auto"/>
              </w:rPr>
            </w:pPr>
          </w:p>
        </w:tc>
        <w:tc>
          <w:tcPr>
            <w:tcW w:w="1040" w:type="dxa"/>
            <w:vAlign w:val="bottom"/>
            <w:gridSpan w:val="2"/>
          </w:tcPr>
          <w:p>
            <w:pPr>
              <w:jc w:val="right"/>
              <w:ind w:right="280"/>
              <w:spacing w:after="0" w:line="151" w:lineRule="exact"/>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5"/>
                <w:szCs w:val="15"/>
                <w:color w:val="auto"/>
              </w:rPr>
              <w:t>18,045</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(2)</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5"/>
                <w:szCs w:val="15"/>
                <w:color w:val="auto"/>
              </w:rPr>
              <w:t>2,740,494</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18,045</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(3)</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2,699,803</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5"/>
                <w:szCs w:val="15"/>
                <w:color w:val="auto"/>
              </w:rPr>
              <w:t xml:space="preserve">45,577 </w:t>
            </w:r>
            <w:r>
              <w:rPr>
                <w:rFonts w:ascii="Arial" w:cs="Arial" w:eastAsia="Arial" w:hAnsi="Arial"/>
                <w:sz w:val="22"/>
                <w:szCs w:val="22"/>
                <w:color w:val="auto"/>
                <w:vertAlign w:val="superscript"/>
              </w:rPr>
              <w:t>(5)</w:t>
            </w:r>
          </w:p>
        </w:tc>
        <w:tc>
          <w:tcPr>
            <w:tcW w:w="160" w:type="dxa"/>
            <w:vAlign w:val="bottom"/>
          </w:tcPr>
          <w:p>
            <w:pPr>
              <w:spacing w:after="0"/>
              <w:rPr>
                <w:sz w:val="17"/>
                <w:szCs w:val="17"/>
                <w:color w:val="auto"/>
              </w:rPr>
            </w:pPr>
          </w:p>
        </w:tc>
        <w:tc>
          <w:tcPr>
            <w:tcW w:w="660" w:type="dxa"/>
            <w:vAlign w:val="bottom"/>
          </w:tcPr>
          <w:p>
            <w:pPr>
              <w:jc w:val="right"/>
              <w:ind w:right="55"/>
              <w:spacing w:after="0"/>
              <w:rPr>
                <w:sz w:val="20"/>
                <w:szCs w:val="20"/>
                <w:color w:val="auto"/>
              </w:rPr>
            </w:pPr>
            <w:r>
              <w:rPr>
                <w:rFonts w:ascii="Arial" w:cs="Arial" w:eastAsia="Arial" w:hAnsi="Arial"/>
                <w:sz w:val="15"/>
                <w:szCs w:val="15"/>
                <w:color w:val="auto"/>
              </w:rPr>
              <w:t>149.62</w:t>
            </w:r>
          </w:p>
        </w:tc>
        <w:tc>
          <w:tcPr>
            <w:tcW w:w="1360" w:type="dxa"/>
            <w:vAlign w:val="bottom"/>
          </w:tcPr>
          <w:p>
            <w:pPr>
              <w:jc w:val="right"/>
              <w:ind w:right="493"/>
              <w:spacing w:after="0"/>
              <w:rPr>
                <w:sz w:val="20"/>
                <w:szCs w:val="20"/>
                <w:color w:val="auto"/>
              </w:rPr>
            </w:pPr>
            <w:r>
              <w:rPr>
                <w:rFonts w:ascii="Arial" w:cs="Arial" w:eastAsia="Arial" w:hAnsi="Arial"/>
                <w:sz w:val="15"/>
                <w:szCs w:val="15"/>
                <w:color w:val="auto"/>
              </w:rPr>
              <w:t>149.53</w:t>
            </w:r>
          </w:p>
        </w:tc>
        <w:tc>
          <w:tcPr>
            <w:tcW w:w="780" w:type="dxa"/>
            <w:vAlign w:val="bottom"/>
          </w:tcPr>
          <w:p>
            <w:pPr>
              <w:jc w:val="right"/>
              <w:spacing w:after="0"/>
              <w:rPr>
                <w:sz w:val="20"/>
                <w:szCs w:val="20"/>
                <w:color w:val="auto"/>
              </w:rPr>
            </w:pPr>
            <w:r>
              <w:rPr>
                <w:rFonts w:ascii="Arial" w:cs="Arial" w:eastAsia="Arial" w:hAnsi="Arial"/>
                <w:sz w:val="15"/>
                <w:szCs w:val="15"/>
                <w:color w:val="auto"/>
              </w:rPr>
              <w:t>1,365,031</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00" w:type="dxa"/>
            <w:vAlign w:val="bottom"/>
            <w:shd w:val="clear" w:color="auto" w:fill="D9D9D9"/>
          </w:tcPr>
          <w:p>
            <w:pPr>
              <w:ind w:left="100"/>
              <w:spacing w:after="0" w:line="151" w:lineRule="exact"/>
              <w:rPr>
                <w:sz w:val="20"/>
                <w:szCs w:val="20"/>
                <w:color w:val="auto"/>
              </w:rPr>
            </w:pPr>
            <w:r>
              <w:rPr>
                <w:rFonts w:ascii="Arial" w:cs="Arial" w:eastAsia="Arial" w:hAnsi="Arial"/>
                <w:sz w:val="15"/>
                <w:szCs w:val="15"/>
                <w:color w:val="auto"/>
              </w:rPr>
              <w:t>S. Reents</w:t>
            </w:r>
          </w:p>
        </w:tc>
        <w:tc>
          <w:tcPr>
            <w:tcW w:w="1260" w:type="dxa"/>
            <w:vAlign w:val="bottom"/>
            <w:gridSpan w:val="3"/>
            <w:shd w:val="clear" w:color="auto" w:fill="D9D9D9"/>
          </w:tcPr>
          <w:p>
            <w:pPr>
              <w:jc w:val="right"/>
              <w:ind w:right="280"/>
              <w:spacing w:after="0" w:line="151" w:lineRule="exact"/>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13,367</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(2)</w:t>
            </w:r>
          </w:p>
        </w:tc>
        <w:tc>
          <w:tcPr>
            <w:tcW w:w="9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660" w:type="dxa"/>
            <w:vAlign w:val="bottom"/>
            <w:shd w:val="clear" w:color="auto" w:fill="D9D9D9"/>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2,030,046</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13,367</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(3)</w:t>
            </w:r>
          </w:p>
        </w:tc>
        <w:tc>
          <w:tcPr>
            <w:tcW w:w="94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66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1,999,904</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40" w:type="dxa"/>
            <w:vAlign w:val="bottom"/>
            <w:shd w:val="clear" w:color="auto" w:fill="D9D9D9"/>
          </w:tcPr>
          <w:p>
            <w:pPr>
              <w:jc w:val="right"/>
              <w:spacing w:after="0" w:line="200" w:lineRule="exact"/>
              <w:rPr>
                <w:sz w:val="20"/>
                <w:szCs w:val="20"/>
                <w:color w:val="auto"/>
              </w:rPr>
            </w:pPr>
            <w:r>
              <w:rPr>
                <w:rFonts w:ascii="Arial" w:cs="Arial" w:eastAsia="Arial" w:hAnsi="Arial"/>
                <w:sz w:val="15"/>
                <w:szCs w:val="15"/>
                <w:color w:val="auto"/>
              </w:rPr>
              <w:t xml:space="preserve">33,760 </w:t>
            </w:r>
            <w:r>
              <w:rPr>
                <w:rFonts w:ascii="Arial" w:cs="Arial" w:eastAsia="Arial" w:hAnsi="Arial"/>
                <w:sz w:val="22"/>
                <w:szCs w:val="22"/>
                <w:color w:val="auto"/>
                <w:vertAlign w:val="superscript"/>
              </w:rPr>
              <w:t>(5)</w:t>
            </w:r>
          </w:p>
        </w:tc>
        <w:tc>
          <w:tcPr>
            <w:tcW w:w="160" w:type="dxa"/>
            <w:vAlign w:val="bottom"/>
            <w:shd w:val="clear" w:color="auto" w:fill="D9D9D9"/>
          </w:tcPr>
          <w:p>
            <w:pPr>
              <w:spacing w:after="0"/>
              <w:rPr>
                <w:sz w:val="17"/>
                <w:szCs w:val="17"/>
                <w:color w:val="auto"/>
              </w:rPr>
            </w:pPr>
          </w:p>
        </w:tc>
        <w:tc>
          <w:tcPr>
            <w:tcW w:w="660" w:type="dxa"/>
            <w:vAlign w:val="bottom"/>
            <w:shd w:val="clear" w:color="auto" w:fill="D9D9D9"/>
          </w:tcPr>
          <w:p>
            <w:pPr>
              <w:jc w:val="right"/>
              <w:ind w:right="55"/>
              <w:spacing w:after="0"/>
              <w:rPr>
                <w:sz w:val="20"/>
                <w:szCs w:val="20"/>
                <w:color w:val="auto"/>
              </w:rPr>
            </w:pPr>
            <w:r>
              <w:rPr>
                <w:rFonts w:ascii="Arial" w:cs="Arial" w:eastAsia="Arial" w:hAnsi="Arial"/>
                <w:sz w:val="15"/>
                <w:szCs w:val="15"/>
                <w:color w:val="auto"/>
              </w:rPr>
              <w:t>149.62</w:t>
            </w:r>
          </w:p>
        </w:tc>
        <w:tc>
          <w:tcPr>
            <w:tcW w:w="1360" w:type="dxa"/>
            <w:vAlign w:val="bottom"/>
            <w:shd w:val="clear" w:color="auto" w:fill="D9D9D9"/>
          </w:tcPr>
          <w:p>
            <w:pPr>
              <w:jc w:val="right"/>
              <w:ind w:right="493"/>
              <w:spacing w:after="0"/>
              <w:rPr>
                <w:sz w:val="20"/>
                <w:szCs w:val="20"/>
                <w:color w:val="auto"/>
              </w:rPr>
            </w:pPr>
            <w:r>
              <w:rPr>
                <w:rFonts w:ascii="Arial" w:cs="Arial" w:eastAsia="Arial" w:hAnsi="Arial"/>
                <w:sz w:val="15"/>
                <w:szCs w:val="15"/>
                <w:color w:val="auto"/>
              </w:rPr>
              <w:t>149.53</w:t>
            </w: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1,011,112</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00" w:type="dxa"/>
            <w:vAlign w:val="bottom"/>
          </w:tcPr>
          <w:p>
            <w:pPr>
              <w:ind w:left="100"/>
              <w:spacing w:after="0" w:line="151" w:lineRule="exact"/>
              <w:rPr>
                <w:sz w:val="20"/>
                <w:szCs w:val="20"/>
                <w:color w:val="auto"/>
              </w:rPr>
            </w:pPr>
            <w:r>
              <w:rPr>
                <w:rFonts w:ascii="Arial" w:cs="Arial" w:eastAsia="Arial" w:hAnsi="Arial"/>
                <w:sz w:val="15"/>
                <w:szCs w:val="15"/>
                <w:color w:val="auto"/>
              </w:rPr>
              <w:t>J. Stewart</w:t>
            </w:r>
          </w:p>
        </w:tc>
        <w:tc>
          <w:tcPr>
            <w:tcW w:w="220" w:type="dxa"/>
            <w:vAlign w:val="bottom"/>
          </w:tcPr>
          <w:p>
            <w:pPr>
              <w:spacing w:after="0"/>
              <w:rPr>
                <w:sz w:val="13"/>
                <w:szCs w:val="13"/>
                <w:color w:val="auto"/>
              </w:rPr>
            </w:pPr>
          </w:p>
        </w:tc>
        <w:tc>
          <w:tcPr>
            <w:tcW w:w="1040" w:type="dxa"/>
            <w:vAlign w:val="bottom"/>
            <w:gridSpan w:val="2"/>
          </w:tcPr>
          <w:p>
            <w:pPr>
              <w:jc w:val="right"/>
              <w:ind w:right="280"/>
              <w:spacing w:after="0" w:line="151" w:lineRule="exact"/>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5"/>
                <w:szCs w:val="15"/>
                <w:color w:val="auto"/>
              </w:rPr>
              <w:t>13,901</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(2)</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5"/>
                <w:szCs w:val="15"/>
                <w:color w:val="auto"/>
              </w:rPr>
              <w:t>2,111,145</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13,901</w:t>
            </w:r>
          </w:p>
        </w:tc>
        <w:tc>
          <w:tcPr>
            <w:tcW w:w="220" w:type="dxa"/>
            <w:vAlign w:val="bottom"/>
          </w:tcPr>
          <w:p>
            <w:pPr>
              <w:jc w:val="right"/>
              <w:ind w:right="24"/>
              <w:spacing w:after="0"/>
              <w:rPr>
                <w:sz w:val="20"/>
                <w:szCs w:val="20"/>
                <w:color w:val="auto"/>
              </w:rPr>
            </w:pPr>
            <w:r>
              <w:rPr>
                <w:rFonts w:ascii="Arial" w:cs="Arial" w:eastAsia="Arial" w:hAnsi="Arial"/>
                <w:sz w:val="11"/>
                <w:szCs w:val="11"/>
                <w:color w:val="auto"/>
                <w:w w:val="88"/>
              </w:rPr>
              <w:t>(3)</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2,079,798</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5"/>
                <w:szCs w:val="15"/>
                <w:color w:val="auto"/>
              </w:rPr>
              <w:t xml:space="preserve">35,111 </w:t>
            </w:r>
            <w:r>
              <w:rPr>
                <w:rFonts w:ascii="Arial" w:cs="Arial" w:eastAsia="Arial" w:hAnsi="Arial"/>
                <w:sz w:val="22"/>
                <w:szCs w:val="22"/>
                <w:color w:val="auto"/>
                <w:vertAlign w:val="superscript"/>
              </w:rPr>
              <w:t>(5)</w:t>
            </w:r>
          </w:p>
        </w:tc>
        <w:tc>
          <w:tcPr>
            <w:tcW w:w="160" w:type="dxa"/>
            <w:vAlign w:val="bottom"/>
          </w:tcPr>
          <w:p>
            <w:pPr>
              <w:spacing w:after="0"/>
              <w:rPr>
                <w:sz w:val="17"/>
                <w:szCs w:val="17"/>
                <w:color w:val="auto"/>
              </w:rPr>
            </w:pPr>
          </w:p>
        </w:tc>
        <w:tc>
          <w:tcPr>
            <w:tcW w:w="660" w:type="dxa"/>
            <w:vAlign w:val="bottom"/>
          </w:tcPr>
          <w:p>
            <w:pPr>
              <w:jc w:val="right"/>
              <w:ind w:right="55"/>
              <w:spacing w:after="0"/>
              <w:rPr>
                <w:sz w:val="20"/>
                <w:szCs w:val="20"/>
                <w:color w:val="auto"/>
              </w:rPr>
            </w:pPr>
            <w:r>
              <w:rPr>
                <w:rFonts w:ascii="Arial" w:cs="Arial" w:eastAsia="Arial" w:hAnsi="Arial"/>
                <w:sz w:val="15"/>
                <w:szCs w:val="15"/>
                <w:color w:val="auto"/>
              </w:rPr>
              <w:t>149.62</w:t>
            </w:r>
          </w:p>
        </w:tc>
        <w:tc>
          <w:tcPr>
            <w:tcW w:w="1360" w:type="dxa"/>
            <w:vAlign w:val="bottom"/>
          </w:tcPr>
          <w:p>
            <w:pPr>
              <w:jc w:val="right"/>
              <w:ind w:right="493"/>
              <w:spacing w:after="0"/>
              <w:rPr>
                <w:sz w:val="20"/>
                <w:szCs w:val="20"/>
                <w:color w:val="auto"/>
              </w:rPr>
            </w:pPr>
            <w:r>
              <w:rPr>
                <w:rFonts w:ascii="Arial" w:cs="Arial" w:eastAsia="Arial" w:hAnsi="Arial"/>
                <w:sz w:val="15"/>
                <w:szCs w:val="15"/>
                <w:color w:val="auto"/>
              </w:rPr>
              <w:t>149.53</w:t>
            </w:r>
          </w:p>
        </w:tc>
        <w:tc>
          <w:tcPr>
            <w:tcW w:w="780" w:type="dxa"/>
            <w:vAlign w:val="bottom"/>
          </w:tcPr>
          <w:p>
            <w:pPr>
              <w:jc w:val="right"/>
              <w:spacing w:after="0"/>
              <w:rPr>
                <w:sz w:val="20"/>
                <w:szCs w:val="20"/>
                <w:color w:val="auto"/>
              </w:rPr>
            </w:pPr>
            <w:r>
              <w:rPr>
                <w:rFonts w:ascii="Arial" w:cs="Arial" w:eastAsia="Arial" w:hAnsi="Arial"/>
                <w:sz w:val="15"/>
                <w:szCs w:val="15"/>
                <w:color w:val="auto"/>
              </w:rPr>
              <w:t>1,051,574</w:t>
            </w:r>
          </w:p>
        </w:tc>
        <w:tc>
          <w:tcPr>
            <w:tcW w:w="240" w:type="dxa"/>
            <w:vAlign w:val="bottom"/>
          </w:tcPr>
          <w:p>
            <w:pPr>
              <w:jc w:val="right"/>
              <w:ind w:right="24"/>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500" w:type="dxa"/>
            <w:vAlign w:val="bottom"/>
            <w:shd w:val="clear" w:color="auto" w:fill="D9D9D9"/>
          </w:tcPr>
          <w:p>
            <w:pPr>
              <w:ind w:left="100"/>
              <w:spacing w:after="0" w:line="151" w:lineRule="exact"/>
              <w:rPr>
                <w:sz w:val="20"/>
                <w:szCs w:val="20"/>
                <w:color w:val="auto"/>
              </w:rPr>
            </w:pPr>
            <w:r>
              <w:rPr>
                <w:rFonts w:ascii="Arial" w:cs="Arial" w:eastAsia="Arial" w:hAnsi="Arial"/>
                <w:sz w:val="15"/>
                <w:szCs w:val="15"/>
                <w:color w:val="auto"/>
              </w:rPr>
              <w:t>A. Saleki-Gerhardt</w:t>
            </w:r>
          </w:p>
        </w:tc>
        <w:tc>
          <w:tcPr>
            <w:tcW w:w="1260" w:type="dxa"/>
            <w:vAlign w:val="bottom"/>
            <w:gridSpan w:val="3"/>
            <w:shd w:val="clear" w:color="auto" w:fill="D9D9D9"/>
          </w:tcPr>
          <w:p>
            <w:pPr>
              <w:jc w:val="right"/>
              <w:ind w:right="280"/>
              <w:spacing w:after="0" w:line="151" w:lineRule="exact"/>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3"/>
                <w:szCs w:val="13"/>
                <w:color w:val="auto"/>
              </w:rPr>
            </w:pPr>
          </w:p>
        </w:tc>
        <w:tc>
          <w:tcPr>
            <w:tcW w:w="88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9,089</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(2)</w:t>
            </w:r>
          </w:p>
        </w:tc>
        <w:tc>
          <w:tcPr>
            <w:tcW w:w="9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660" w:type="dxa"/>
            <w:vAlign w:val="bottom"/>
            <w:shd w:val="clear" w:color="auto" w:fill="D9D9D9"/>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1,380,346</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9,089</w:t>
            </w:r>
          </w:p>
        </w:tc>
        <w:tc>
          <w:tcPr>
            <w:tcW w:w="22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88"/>
              </w:rPr>
              <w:t>(3)</w:t>
            </w:r>
          </w:p>
        </w:tc>
        <w:tc>
          <w:tcPr>
            <w:tcW w:w="940" w:type="dxa"/>
            <w:vAlign w:val="bottom"/>
            <w:shd w:val="clear" w:color="auto" w:fill="D9D9D9"/>
          </w:tcPr>
          <w:p>
            <w:pPr>
              <w:spacing w:after="0"/>
              <w:rPr>
                <w:sz w:val="15"/>
                <w:szCs w:val="15"/>
                <w:color w:val="auto"/>
              </w:rPr>
            </w:pPr>
          </w:p>
        </w:tc>
        <w:tc>
          <w:tcPr>
            <w:tcW w:w="160" w:type="dxa"/>
            <w:vAlign w:val="bottom"/>
            <w:shd w:val="clear" w:color="auto" w:fill="D9D9D9"/>
          </w:tcPr>
          <w:p>
            <w:pPr>
              <w:spacing w:after="0"/>
              <w:rPr>
                <w:sz w:val="15"/>
                <w:szCs w:val="15"/>
                <w:color w:val="auto"/>
              </w:rPr>
            </w:pPr>
          </w:p>
        </w:tc>
        <w:tc>
          <w:tcPr>
            <w:tcW w:w="660" w:type="dxa"/>
            <w:vAlign w:val="bottom"/>
            <w:shd w:val="clear" w:color="auto" w:fill="D9D9D9"/>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1,359,851</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50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gridSpan w:val="2"/>
            <w:shd w:val="clear" w:color="auto" w:fill="D9D9D9"/>
          </w:tcPr>
          <w:p>
            <w:pPr>
              <w:jc w:val="right"/>
              <w:ind w:right="280"/>
              <w:spacing w:after="0"/>
              <w:rPr>
                <w:sz w:val="20"/>
                <w:szCs w:val="20"/>
                <w:color w:val="auto"/>
              </w:rPr>
            </w:pPr>
            <w:r>
              <w:rPr>
                <w:rFonts w:ascii="Arial" w:cs="Arial" w:eastAsia="Arial" w:hAnsi="Arial"/>
                <w:sz w:val="15"/>
                <w:szCs w:val="15"/>
                <w:color w:val="auto"/>
              </w:rPr>
              <w:t>2/16/2023</w:t>
            </w:r>
          </w:p>
        </w:tc>
        <w:tc>
          <w:tcPr>
            <w:tcW w:w="3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88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940" w:type="dxa"/>
            <w:vAlign w:val="bottom"/>
            <w:shd w:val="clear" w:color="auto" w:fill="D9D9D9"/>
          </w:tcPr>
          <w:p>
            <w:pPr>
              <w:jc w:val="right"/>
              <w:spacing w:after="0" w:line="200" w:lineRule="exact"/>
              <w:rPr>
                <w:sz w:val="20"/>
                <w:szCs w:val="20"/>
                <w:color w:val="auto"/>
              </w:rPr>
            </w:pPr>
            <w:r>
              <w:rPr>
                <w:rFonts w:ascii="Arial" w:cs="Arial" w:eastAsia="Arial" w:hAnsi="Arial"/>
                <w:sz w:val="15"/>
                <w:szCs w:val="15"/>
                <w:color w:val="auto"/>
              </w:rPr>
              <w:t xml:space="preserve">22,957 </w:t>
            </w:r>
            <w:r>
              <w:rPr>
                <w:rFonts w:ascii="Arial" w:cs="Arial" w:eastAsia="Arial" w:hAnsi="Arial"/>
                <w:sz w:val="22"/>
                <w:szCs w:val="22"/>
                <w:color w:val="auto"/>
                <w:vertAlign w:val="superscript"/>
              </w:rPr>
              <w:t>(5)</w:t>
            </w:r>
          </w:p>
        </w:tc>
        <w:tc>
          <w:tcPr>
            <w:tcW w:w="160" w:type="dxa"/>
            <w:vAlign w:val="bottom"/>
            <w:shd w:val="clear" w:color="auto" w:fill="D9D9D9"/>
          </w:tcPr>
          <w:p>
            <w:pPr>
              <w:spacing w:after="0"/>
              <w:rPr>
                <w:sz w:val="17"/>
                <w:szCs w:val="17"/>
                <w:color w:val="auto"/>
              </w:rPr>
            </w:pPr>
          </w:p>
        </w:tc>
        <w:tc>
          <w:tcPr>
            <w:tcW w:w="660" w:type="dxa"/>
            <w:vAlign w:val="bottom"/>
            <w:shd w:val="clear" w:color="auto" w:fill="D9D9D9"/>
          </w:tcPr>
          <w:p>
            <w:pPr>
              <w:jc w:val="right"/>
              <w:ind w:right="55"/>
              <w:spacing w:after="0"/>
              <w:rPr>
                <w:sz w:val="20"/>
                <w:szCs w:val="20"/>
                <w:color w:val="auto"/>
              </w:rPr>
            </w:pPr>
            <w:r>
              <w:rPr>
                <w:rFonts w:ascii="Arial" w:cs="Arial" w:eastAsia="Arial" w:hAnsi="Arial"/>
                <w:sz w:val="15"/>
                <w:szCs w:val="15"/>
                <w:color w:val="auto"/>
              </w:rPr>
              <w:t>149.62</w:t>
            </w:r>
          </w:p>
        </w:tc>
        <w:tc>
          <w:tcPr>
            <w:tcW w:w="1360" w:type="dxa"/>
            <w:vAlign w:val="bottom"/>
            <w:shd w:val="clear" w:color="auto" w:fill="D9D9D9"/>
          </w:tcPr>
          <w:p>
            <w:pPr>
              <w:jc w:val="right"/>
              <w:ind w:right="493"/>
              <w:spacing w:after="0"/>
              <w:rPr>
                <w:sz w:val="20"/>
                <w:szCs w:val="20"/>
                <w:color w:val="auto"/>
              </w:rPr>
            </w:pPr>
            <w:r>
              <w:rPr>
                <w:rFonts w:ascii="Arial" w:cs="Arial" w:eastAsia="Arial" w:hAnsi="Arial"/>
                <w:sz w:val="15"/>
                <w:szCs w:val="15"/>
                <w:color w:val="auto"/>
              </w:rPr>
              <w:t>149.53</w:t>
            </w: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687,562</w:t>
            </w:r>
          </w:p>
        </w:tc>
        <w:tc>
          <w:tcPr>
            <w:tcW w:w="24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both"/>
        <w:ind w:left="320" w:right="80" w:hanging="308"/>
        <w:spacing w:after="0" w:line="251" w:lineRule="auto"/>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During 2023, each of the NEOs participated in the AbbVie Performance Incentive Plan. The annual cash incentive award earned by the NEO in 2023 under the plan is shown in the Summary Compensation Table in the column captioned “Non-Equity Incentive Plan Compensation.” No future pay-outs will be made with respect to the 2023 awards under the plan.</w:t>
      </w:r>
    </w:p>
    <w:p>
      <w:pPr>
        <w:spacing w:after="0" w:line="1" w:lineRule="exact"/>
        <w:rPr>
          <w:rFonts w:ascii="Arial" w:cs="Arial" w:eastAsia="Arial" w:hAnsi="Arial"/>
          <w:sz w:val="16"/>
          <w:szCs w:val="16"/>
          <w:color w:val="auto"/>
        </w:rPr>
      </w:pPr>
    </w:p>
    <w:p>
      <w:pPr>
        <w:ind w:left="320" w:right="320"/>
        <w:spacing w:after="0" w:line="242" w:lineRule="auto"/>
        <w:rPr>
          <w:rFonts w:ascii="Arial" w:cs="Arial" w:eastAsia="Arial" w:hAnsi="Arial"/>
          <w:sz w:val="16"/>
          <w:szCs w:val="16"/>
          <w:color w:val="auto"/>
        </w:rPr>
      </w:pPr>
      <w:r>
        <w:rPr>
          <w:rFonts w:ascii="Arial" w:cs="Arial" w:eastAsia="Arial" w:hAnsi="Arial"/>
          <w:sz w:val="17"/>
          <w:szCs w:val="17"/>
          <w:color w:val="auto"/>
        </w:rPr>
        <w:t>The plan is described in greater detail in the section of this proxy statement captioned “Compensation Discussion and Analysis—Compensation Plan Elements—Short-Term Incentives.”</w:t>
      </w:r>
    </w:p>
    <w:p>
      <w:pPr>
        <w:spacing w:after="0" w:line="77" w:lineRule="exact"/>
        <w:rPr>
          <w:rFonts w:ascii="Arial" w:cs="Arial" w:eastAsia="Arial" w:hAnsi="Arial"/>
          <w:sz w:val="16"/>
          <w:szCs w:val="16"/>
          <w:color w:val="auto"/>
        </w:rPr>
      </w:pPr>
    </w:p>
    <w:p>
      <w:pPr>
        <w:ind w:left="320" w:right="40" w:hanging="308"/>
        <w:spacing w:after="0" w:line="234"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is a performance share award that has the potential to vest at 0% to 187.5% of target during a three-year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2023, AbbVie’s EPS performance resulted in the banking of the award on February 28, 2024 at 150% of target, with vesting to be determined based on the company’s relative TSR performance following the three-year performance period that ends December 31, 2025. The performance metrics are described in the section of this proxy statement captioned “Compensation Discussion and Analysis—Compensation Plan Elements—Long-Term Incentives.”</w:t>
      </w:r>
    </w:p>
    <w:p>
      <w:pPr>
        <w:spacing w:after="0" w:line="86" w:lineRule="exact"/>
        <w:rPr>
          <w:rFonts w:ascii="Arial" w:cs="Arial" w:eastAsia="Arial" w:hAnsi="Arial"/>
          <w:sz w:val="17"/>
          <w:szCs w:val="17"/>
          <w:color w:val="auto"/>
        </w:rPr>
      </w:pPr>
    </w:p>
    <w:p>
      <w:pPr>
        <w:ind w:left="320" w:right="60" w:hanging="308"/>
        <w:spacing w:after="0" w:line="235"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is a performance-vested restricted stock unit award that has the potential to vest at 0% to 200% of target, in one-third increments, during a three-year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in cash at vesting only to the extent that shares are earned. In 2023, AbbVie’s relative ROIC performance resulted in the vesting on February 28, 2024 of one-third of the award at 200% of target. The performance metrics are described in the section of this proxy statement captioned “Compensation Discussion and Analysis—Compensation Plan Elements—Long-Term Incentives.”</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56</w:t>
      </w:r>
      <w:r>
        <w:rPr>
          <w:sz w:val="20"/>
          <w:szCs w:val="20"/>
          <w:color w:val="auto"/>
        </w:rPr>
        <w:tab/>
      </w:r>
      <w:r>
        <w:rPr>
          <w:sz w:val="1"/>
          <w:szCs w:val="1"/>
          <w:color w:val="auto"/>
        </w:rPr>
        <w:drawing>
          <wp:inline distT="0" distB="0" distL="0" distR="0">
            <wp:extent cx="810260" cy="15113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59" w:name="page60"/>
    <w:bookmarkEnd w:id="5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320" w:hanging="308"/>
        <w:spacing w:after="0" w:line="235"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grant date fair value of stock awards is generally determined by multiplying the number of shares or units granted by the average of the high and low market prices of one share of AbbVie common stock on the award grant date. The grant date fair value of performance shares with a TSR market condition is determined using the Monte Carlo simulation model. In the event of a grantee’s death or termination due to disability, these awards will be deemed earned either based on actual performance through the date of death or disability or at target, depending on the timing of the death or disability, as set forth in the award agreement. Upon a change in control, the treatment of these awards is determined as described in the section of this proxy statement captioned “Potential Payments upon Termination or Change in Control— Equity Awards.”</w:t>
      </w:r>
    </w:p>
    <w:p>
      <w:pPr>
        <w:spacing w:after="0" w:line="170" w:lineRule="exact"/>
        <w:rPr>
          <w:rFonts w:ascii="Arial" w:cs="Arial" w:eastAsia="Arial" w:hAnsi="Arial"/>
          <w:sz w:val="17"/>
          <w:szCs w:val="17"/>
          <w:color w:val="auto"/>
        </w:rPr>
      </w:pPr>
    </w:p>
    <w:p>
      <w:pPr>
        <w:ind w:left="320" w:right="60" w:hanging="308"/>
        <w:spacing w:after="0" w:line="236"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One-third of the shares of common stock covered by these options are exercisable after one year, two-thirds after two years, and all after three years, subject to satisfaction of the service requirements set forth in the award agreements. The options vest in the event of the grantee’s death or termination due to disability. Upon a change in control, the treatment of these awards is determined as described in the section of this proxy statement captioned “Potential Payments upon Termination or Change in Control—Equity Awards.” Under the AbbVie Amended and Restated 2013 Incentive Stock Program, these options have an exercise price equal to the average of the high and low market prices (rounded up to the next even penny) of one share of AbbVie common stock on the date of grant.</w:t>
      </w:r>
    </w:p>
    <w:p>
      <w:pPr>
        <w:spacing w:after="0" w:line="168" w:lineRule="exact"/>
        <w:rPr>
          <w:rFonts w:ascii="Arial" w:cs="Arial" w:eastAsia="Arial" w:hAnsi="Arial"/>
          <w:sz w:val="17"/>
          <w:szCs w:val="17"/>
          <w:color w:val="auto"/>
        </w:rPr>
      </w:pPr>
    </w:p>
    <w:p>
      <w:pPr>
        <w:ind w:left="320" w:right="240" w:hanging="308"/>
        <w:spacing w:after="0" w:line="246" w:lineRule="auto"/>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grant date fair value of option awards is determined as of the option grant date using a Black-Scholes stock option valuation model. The assumptions used to determine the grant date fair value are described in footnote (2) to the Summary Compensation Table.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0" w:name="page61"/>
    <w:bookmarkEnd w:id="6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EXECUTIVE COMPENSATION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2023 Outstanding Equity Awards at Fiscal Year End</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summarizes the outstanding AbbVie equity awards held by the NEOs at year end.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071D49"/>
            </w:tcBorders>
          </w:tcPr>
          <w:p>
            <w:pPr>
              <w:spacing w:after="0"/>
              <w:rPr>
                <w:sz w:val="12"/>
                <w:szCs w:val="12"/>
                <w:color w:val="auto"/>
              </w:rPr>
            </w:pPr>
          </w:p>
        </w:tc>
        <w:tc>
          <w:tcPr>
            <w:tcW w:w="140" w:type="dxa"/>
            <w:vAlign w:val="bottom"/>
            <w:tcBorders>
              <w:bottom w:val="single" w:sz="8" w:color="071D49"/>
            </w:tcBorders>
          </w:tcPr>
          <w:p>
            <w:pPr>
              <w:spacing w:after="0"/>
              <w:rPr>
                <w:sz w:val="12"/>
                <w:szCs w:val="12"/>
                <w:color w:val="auto"/>
              </w:rPr>
            </w:pPr>
          </w:p>
        </w:tc>
        <w:tc>
          <w:tcPr>
            <w:tcW w:w="2000" w:type="dxa"/>
            <w:vAlign w:val="bottom"/>
            <w:tcBorders>
              <w:bottom w:val="single" w:sz="8" w:color="071D49"/>
            </w:tcBorders>
            <w:gridSpan w:val="5"/>
          </w:tcPr>
          <w:p>
            <w:pPr>
              <w:jc w:val="right"/>
              <w:ind w:right="446"/>
              <w:spacing w:after="0"/>
              <w:rPr>
                <w:sz w:val="20"/>
                <w:szCs w:val="20"/>
                <w:color w:val="auto"/>
              </w:rPr>
            </w:pPr>
            <w:r>
              <w:rPr>
                <w:rFonts w:ascii="Arial" w:cs="Arial" w:eastAsia="Arial" w:hAnsi="Arial"/>
                <w:sz w:val="12"/>
                <w:szCs w:val="12"/>
                <w:b w:val="1"/>
                <w:bCs w:val="1"/>
                <w:color w:val="454968"/>
              </w:rPr>
              <w:t>Option Awards(1)</w:t>
            </w:r>
          </w:p>
        </w:tc>
        <w:tc>
          <w:tcPr>
            <w:tcW w:w="920" w:type="dxa"/>
            <w:vAlign w:val="bottom"/>
            <w:tcBorders>
              <w:bottom w:val="single" w:sz="8" w:color="071D49"/>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bottom w:val="single" w:sz="8" w:color="071D49"/>
            </w:tcBorders>
          </w:tcPr>
          <w:p>
            <w:pPr>
              <w:spacing w:after="0"/>
              <w:rPr>
                <w:sz w:val="12"/>
                <w:szCs w:val="12"/>
                <w:color w:val="auto"/>
              </w:rPr>
            </w:pPr>
          </w:p>
        </w:tc>
        <w:tc>
          <w:tcPr>
            <w:tcW w:w="700" w:type="dxa"/>
            <w:vAlign w:val="bottom"/>
            <w:tcBorders>
              <w:bottom w:val="single" w:sz="8" w:color="071D49"/>
            </w:tcBorders>
          </w:tcPr>
          <w:p>
            <w:pPr>
              <w:spacing w:after="0"/>
              <w:rPr>
                <w:sz w:val="12"/>
                <w:szCs w:val="12"/>
                <w:color w:val="auto"/>
              </w:rPr>
            </w:pPr>
          </w:p>
        </w:tc>
        <w:tc>
          <w:tcPr>
            <w:tcW w:w="1020" w:type="dxa"/>
            <w:vAlign w:val="bottom"/>
            <w:tcBorders>
              <w:bottom w:val="single" w:sz="8" w:color="071D49"/>
            </w:tcBorders>
          </w:tcPr>
          <w:p>
            <w:pPr>
              <w:jc w:val="right"/>
              <w:ind w:right="169"/>
              <w:spacing w:after="0"/>
              <w:rPr>
                <w:sz w:val="20"/>
                <w:szCs w:val="20"/>
                <w:color w:val="auto"/>
              </w:rPr>
            </w:pPr>
            <w:r>
              <w:rPr>
                <w:rFonts w:ascii="Arial" w:cs="Arial" w:eastAsia="Arial" w:hAnsi="Arial"/>
                <w:sz w:val="12"/>
                <w:szCs w:val="12"/>
                <w:b w:val="1"/>
                <w:bCs w:val="1"/>
                <w:color w:val="454968"/>
                <w:w w:val="95"/>
              </w:rPr>
              <w:t>Stock Awards</w:t>
            </w:r>
          </w:p>
        </w:tc>
        <w:tc>
          <w:tcPr>
            <w:tcW w:w="200" w:type="dxa"/>
            <w:vAlign w:val="bottom"/>
            <w:tcBorders>
              <w:bottom w:val="single" w:sz="8" w:color="071D49"/>
            </w:tcBorders>
          </w:tcPr>
          <w:p>
            <w:pPr>
              <w:spacing w:after="0"/>
              <w:rPr>
                <w:sz w:val="12"/>
                <w:szCs w:val="12"/>
                <w:color w:val="auto"/>
              </w:rPr>
            </w:pPr>
          </w:p>
        </w:tc>
        <w:tc>
          <w:tcPr>
            <w:tcW w:w="180" w:type="dxa"/>
            <w:vAlign w:val="bottom"/>
            <w:tcBorders>
              <w:bottom w:val="single" w:sz="8" w:color="071D49"/>
            </w:tcBorders>
          </w:tcPr>
          <w:p>
            <w:pPr>
              <w:spacing w:after="0"/>
              <w:rPr>
                <w:sz w:val="12"/>
                <w:szCs w:val="12"/>
                <w:color w:val="auto"/>
              </w:rPr>
            </w:pPr>
          </w:p>
        </w:tc>
        <w:tc>
          <w:tcPr>
            <w:tcW w:w="86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right w:val="single" w:sz="8" w:color="071D49"/>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Equity</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Equity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Incentive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Incentive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Plan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Plan Awards: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Market 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Number of</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Number of</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Market</w:t>
            </w: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Number of</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Payout Value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454968"/>
              </w:rPr>
              <w:t>Number of</w:t>
            </w:r>
          </w:p>
        </w:tc>
        <w:tc>
          <w:tcPr>
            <w:tcW w:w="700" w:type="dxa"/>
            <w:vAlign w:val="bottom"/>
            <w:vMerge w:val="continue"/>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Unearned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of Unearned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Securities</w:t>
            </w:r>
          </w:p>
        </w:tc>
        <w:tc>
          <w:tcPr>
            <w:tcW w:w="14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Securities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right w:val="single" w:sz="8" w:color="071D49"/>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Value of</w:t>
            </w: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Shares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Shares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Underlying</w:t>
            </w:r>
          </w:p>
        </w:tc>
        <w:tc>
          <w:tcPr>
            <w:tcW w:w="14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Underlying</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454968"/>
              </w:rPr>
              <w:t>Option</w:t>
            </w:r>
          </w:p>
        </w:tc>
        <w:tc>
          <w:tcPr>
            <w:tcW w:w="1020" w:type="dxa"/>
            <w:vAlign w:val="bottom"/>
            <w:tcBorders>
              <w:right w:val="single" w:sz="8" w:color="071D49"/>
            </w:tcBorders>
            <w:gridSpan w:val="2"/>
            <w:vMerge w:val="restart"/>
          </w:tcPr>
          <w:p>
            <w:pPr>
              <w:jc w:val="right"/>
              <w:ind w:right="140"/>
              <w:spacing w:after="0"/>
              <w:rPr>
                <w:sz w:val="20"/>
                <w:szCs w:val="20"/>
                <w:color w:val="auto"/>
              </w:rPr>
            </w:pPr>
            <w:r>
              <w:rPr>
                <w:rFonts w:ascii="Arial" w:cs="Arial" w:eastAsia="Arial" w:hAnsi="Arial"/>
                <w:sz w:val="12"/>
                <w:szCs w:val="12"/>
                <w:b w:val="1"/>
                <w:bCs w:val="1"/>
                <w:color w:val="454968"/>
              </w:rPr>
              <w:t>Option</w:t>
            </w:r>
          </w:p>
        </w:tc>
        <w:tc>
          <w:tcPr>
            <w:tcW w:w="80" w:type="dxa"/>
            <w:vAlign w:val="bottom"/>
          </w:tcPr>
          <w:p>
            <w:pPr>
              <w:spacing w:after="0"/>
              <w:rPr>
                <w:sz w:val="10"/>
                <w:szCs w:val="10"/>
                <w:color w:val="auto"/>
              </w:rPr>
            </w:pPr>
          </w:p>
        </w:tc>
        <w:tc>
          <w:tcPr>
            <w:tcW w:w="7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454968"/>
              </w:rPr>
              <w:t>Shares of</w:t>
            </w:r>
          </w:p>
        </w:tc>
        <w:tc>
          <w:tcPr>
            <w:tcW w:w="7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Shares of</w:t>
            </w: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or Other</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or Other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Unexercised</w:t>
            </w:r>
          </w:p>
        </w:tc>
        <w:tc>
          <w:tcPr>
            <w:tcW w:w="14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Unexercised</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tcBorders>
              <w:right w:val="single" w:sz="8" w:color="071D49"/>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454968"/>
              </w:rPr>
              <w:t>Stock That</w:t>
            </w:r>
          </w:p>
        </w:tc>
        <w:tc>
          <w:tcPr>
            <w:tcW w:w="7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Stock That</w:t>
            </w: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Rights That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Rights That</w:t>
            </w:r>
          </w:p>
        </w:tc>
        <w:tc>
          <w:tcPr>
            <w:tcW w:w="0" w:type="dxa"/>
            <w:vAlign w:val="bottom"/>
          </w:tcPr>
          <w:p>
            <w:pPr>
              <w:spacing w:after="0"/>
              <w:rPr>
                <w:sz w:val="1"/>
                <w:szCs w:val="1"/>
                <w:color w:val="auto"/>
              </w:rPr>
            </w:pPr>
          </w:p>
        </w:tc>
      </w:tr>
      <w:tr>
        <w:trPr>
          <w:trHeight w:val="125"/>
        </w:trPr>
        <w:tc>
          <w:tcPr>
            <w:tcW w:w="1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454968"/>
              </w:rPr>
              <w:t>Name</w:t>
            </w:r>
          </w:p>
        </w:tc>
        <w:tc>
          <w:tcPr>
            <w:tcW w:w="14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Options -(#)</w:t>
            </w:r>
          </w:p>
        </w:tc>
        <w:tc>
          <w:tcPr>
            <w:tcW w:w="140" w:type="dxa"/>
            <w:vAlign w:val="bottom"/>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Options -(#)</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Exercise</w:t>
            </w:r>
          </w:p>
        </w:tc>
        <w:tc>
          <w:tcPr>
            <w:tcW w:w="1020" w:type="dxa"/>
            <w:vAlign w:val="bottom"/>
            <w:tcBorders>
              <w:right w:val="single" w:sz="8" w:color="071D49"/>
            </w:tcBorders>
            <w:gridSpan w:val="2"/>
          </w:tcPr>
          <w:p>
            <w:pPr>
              <w:jc w:val="right"/>
              <w:ind w:right="140"/>
              <w:spacing w:after="0" w:line="125" w:lineRule="exact"/>
              <w:rPr>
                <w:sz w:val="20"/>
                <w:szCs w:val="20"/>
                <w:color w:val="auto"/>
              </w:rPr>
            </w:pPr>
            <w:r>
              <w:rPr>
                <w:rFonts w:ascii="Arial" w:cs="Arial" w:eastAsia="Arial" w:hAnsi="Arial"/>
                <w:sz w:val="12"/>
                <w:szCs w:val="12"/>
                <w:b w:val="1"/>
                <w:bCs w:val="1"/>
                <w:color w:val="454968"/>
              </w:rPr>
              <w:t>Expiration</w:t>
            </w:r>
          </w:p>
        </w:tc>
        <w:tc>
          <w:tcPr>
            <w:tcW w:w="80" w:type="dxa"/>
            <w:vAlign w:val="bottom"/>
          </w:tcPr>
          <w:p>
            <w:pPr>
              <w:spacing w:after="0"/>
              <w:rPr>
                <w:sz w:val="10"/>
                <w:szCs w:val="10"/>
                <w:color w:val="auto"/>
              </w:rPr>
            </w:pPr>
          </w:p>
        </w:tc>
        <w:tc>
          <w:tcPr>
            <w:tcW w:w="7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454968"/>
              </w:rPr>
              <w:t>Have Not</w:t>
            </w:r>
          </w:p>
        </w:tc>
        <w:tc>
          <w:tcPr>
            <w:tcW w:w="7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Have Not</w:t>
            </w:r>
          </w:p>
        </w:tc>
        <w:tc>
          <w:tcPr>
            <w:tcW w:w="102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Have Not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Have Not</w:t>
            </w:r>
          </w:p>
        </w:tc>
        <w:tc>
          <w:tcPr>
            <w:tcW w:w="0" w:type="dxa"/>
            <w:vAlign w:val="bottom"/>
          </w:tcPr>
          <w:p>
            <w:pPr>
              <w:spacing w:after="0"/>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454968"/>
              </w:rPr>
              <w:t>Exercisable</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454968"/>
              </w:rPr>
              <w:t>Unexercisable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454968"/>
              </w:rPr>
              <w:t>Price -($)</w:t>
            </w:r>
          </w:p>
        </w:tc>
        <w:tc>
          <w:tcPr>
            <w:tcW w:w="1020" w:type="dxa"/>
            <w:vAlign w:val="bottom"/>
            <w:tcBorders>
              <w:right w:val="single" w:sz="8" w:color="071D49"/>
            </w:tcBorders>
            <w:gridSpan w:val="2"/>
          </w:tcPr>
          <w:p>
            <w:pPr>
              <w:jc w:val="right"/>
              <w:ind w:right="140"/>
              <w:spacing w:after="0"/>
              <w:rPr>
                <w:sz w:val="20"/>
                <w:szCs w:val="20"/>
                <w:color w:val="auto"/>
              </w:rPr>
            </w:pPr>
            <w:r>
              <w:rPr>
                <w:rFonts w:ascii="Arial" w:cs="Arial" w:eastAsia="Arial" w:hAnsi="Arial"/>
                <w:sz w:val="12"/>
                <w:szCs w:val="12"/>
                <w:b w:val="1"/>
                <w:bCs w:val="1"/>
                <w:color w:val="454968"/>
              </w:rPr>
              <w:t>Date</w:t>
            </w:r>
          </w:p>
        </w:tc>
        <w:tc>
          <w:tcPr>
            <w:tcW w:w="80" w:type="dxa"/>
            <w:vAlign w:val="bottom"/>
          </w:tcPr>
          <w:p>
            <w:pPr>
              <w:spacing w:after="0"/>
              <w:rPr>
                <w:sz w:val="12"/>
                <w:szCs w:val="12"/>
                <w:color w:val="auto"/>
              </w:rPr>
            </w:pPr>
          </w:p>
        </w:tc>
        <w:tc>
          <w:tcPr>
            <w:tcW w:w="760" w:type="dxa"/>
            <w:vAlign w:val="bottom"/>
          </w:tcPr>
          <w:p>
            <w:pPr>
              <w:jc w:val="right"/>
              <w:ind w:right="62"/>
              <w:spacing w:after="0"/>
              <w:rPr>
                <w:sz w:val="20"/>
                <w:szCs w:val="20"/>
                <w:color w:val="auto"/>
              </w:rPr>
            </w:pPr>
            <w:r>
              <w:rPr>
                <w:rFonts w:ascii="Arial" w:cs="Arial" w:eastAsia="Arial" w:hAnsi="Arial"/>
                <w:sz w:val="12"/>
                <w:szCs w:val="12"/>
                <w:b w:val="1"/>
                <w:bCs w:val="1"/>
                <w:color w:val="454968"/>
              </w:rPr>
              <w:t>Vested -(#)</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454968"/>
              </w:rPr>
              <w:t>Vested -($)</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454968"/>
              </w:rPr>
              <w:t>Vested -(#)</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454968"/>
              </w:rPr>
              <w:t>Vested -($)</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60" w:type="dxa"/>
            <w:vAlign w:val="bottom"/>
            <w:tcBorders>
              <w:top w:val="single" w:sz="8" w:color="071D49"/>
            </w:tcBorders>
            <w:shd w:val="clear" w:color="auto" w:fill="D9D9D9"/>
          </w:tcPr>
          <w:p>
            <w:pPr>
              <w:spacing w:after="0" w:line="144" w:lineRule="exact"/>
              <w:rPr>
                <w:sz w:val="20"/>
                <w:szCs w:val="20"/>
                <w:color w:val="auto"/>
              </w:rPr>
            </w:pPr>
            <w:r>
              <w:rPr>
                <w:rFonts w:ascii="Arial" w:cs="Arial" w:eastAsia="Arial" w:hAnsi="Arial"/>
                <w:sz w:val="15"/>
                <w:szCs w:val="15"/>
                <w:color w:val="auto"/>
              </w:rPr>
              <w:t>R. Gonzalez</w:t>
            </w:r>
          </w:p>
        </w:tc>
        <w:tc>
          <w:tcPr>
            <w:tcW w:w="940" w:type="dxa"/>
            <w:vAlign w:val="bottom"/>
            <w:tcBorders>
              <w:top w:val="single" w:sz="8" w:color="071D49"/>
            </w:tcBorders>
            <w:gridSpan w:val="2"/>
            <w:shd w:val="clear" w:color="auto" w:fill="D9D9D9"/>
          </w:tcPr>
          <w:p>
            <w:pPr>
              <w:jc w:val="right"/>
              <w:spacing w:after="0" w:line="144" w:lineRule="exact"/>
              <w:rPr>
                <w:sz w:val="20"/>
                <w:szCs w:val="20"/>
                <w:color w:val="auto"/>
              </w:rPr>
            </w:pPr>
            <w:r>
              <w:rPr>
                <w:rFonts w:ascii="Arial" w:cs="Arial" w:eastAsia="Arial" w:hAnsi="Arial"/>
                <w:sz w:val="15"/>
                <w:szCs w:val="15"/>
                <w:color w:val="auto"/>
              </w:rPr>
              <w:t>87,050</w:t>
            </w:r>
          </w:p>
        </w:tc>
        <w:tc>
          <w:tcPr>
            <w:tcW w:w="1020" w:type="dxa"/>
            <w:vAlign w:val="bottom"/>
            <w:tcBorders>
              <w:top w:val="single" w:sz="8" w:color="071D49"/>
            </w:tcBorders>
            <w:gridSpan w:val="2"/>
            <w:shd w:val="clear" w:color="auto" w:fill="D9D9D9"/>
          </w:tcPr>
          <w:p>
            <w:pPr>
              <w:jc w:val="right"/>
              <w:spacing w:after="0" w:line="144" w:lineRule="exact"/>
              <w:rPr>
                <w:sz w:val="20"/>
                <w:szCs w:val="20"/>
                <w:color w:val="auto"/>
              </w:rPr>
            </w:pPr>
            <w:r>
              <w:rPr>
                <w:rFonts w:ascii="Arial" w:cs="Arial" w:eastAsia="Arial" w:hAnsi="Arial"/>
                <w:sz w:val="15"/>
                <w:szCs w:val="15"/>
                <w:color w:val="auto"/>
              </w:rPr>
              <w:t>-</w:t>
            </w:r>
          </w:p>
        </w:tc>
        <w:tc>
          <w:tcPr>
            <w:tcW w:w="340" w:type="dxa"/>
            <w:vAlign w:val="bottom"/>
            <w:tcBorders>
              <w:top w:val="single" w:sz="8" w:color="071D49"/>
            </w:tcBorders>
            <w:gridSpan w:val="3"/>
            <w:shd w:val="clear" w:color="auto" w:fill="D9D9D9"/>
          </w:tcPr>
          <w:p>
            <w:pPr>
              <w:jc w:val="right"/>
              <w:ind w:right="20"/>
              <w:spacing w:after="0" w:line="144"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071D49"/>
            </w:tcBorders>
            <w:shd w:val="clear" w:color="auto" w:fill="D9D9D9"/>
          </w:tcPr>
          <w:p>
            <w:pPr>
              <w:jc w:val="right"/>
              <w:spacing w:after="0" w:line="144" w:lineRule="exact"/>
              <w:rPr>
                <w:sz w:val="20"/>
                <w:szCs w:val="20"/>
                <w:color w:val="auto"/>
              </w:rPr>
            </w:pPr>
            <w:r>
              <w:rPr>
                <w:rFonts w:ascii="Arial" w:cs="Arial" w:eastAsia="Arial" w:hAnsi="Arial"/>
                <w:sz w:val="15"/>
                <w:szCs w:val="15"/>
                <w:color w:val="auto"/>
              </w:rPr>
              <w:t>61.3600</w:t>
            </w:r>
          </w:p>
        </w:tc>
        <w:tc>
          <w:tcPr>
            <w:tcW w:w="920" w:type="dxa"/>
            <w:vAlign w:val="bottom"/>
            <w:tcBorders>
              <w:top w:val="single" w:sz="8" w:color="071D49"/>
            </w:tcBorders>
            <w:shd w:val="clear" w:color="auto" w:fill="D9D9D9"/>
          </w:tcPr>
          <w:p>
            <w:pPr>
              <w:jc w:val="right"/>
              <w:spacing w:after="0" w:line="144" w:lineRule="exact"/>
              <w:rPr>
                <w:sz w:val="20"/>
                <w:szCs w:val="20"/>
                <w:color w:val="auto"/>
              </w:rPr>
            </w:pPr>
            <w:r>
              <w:rPr>
                <w:rFonts w:ascii="Arial" w:cs="Arial" w:eastAsia="Arial" w:hAnsi="Arial"/>
                <w:sz w:val="15"/>
                <w:szCs w:val="15"/>
                <w:color w:val="auto"/>
              </w:rPr>
              <w:t>2/15/2027</w:t>
            </w:r>
          </w:p>
        </w:tc>
        <w:tc>
          <w:tcPr>
            <w:tcW w:w="100" w:type="dxa"/>
            <w:vAlign w:val="bottom"/>
            <w:tcBorders>
              <w:top w:val="single" w:sz="8" w:color="071D49"/>
              <w:right w:val="single" w:sz="8" w:color="071D49"/>
            </w:tcBorders>
            <w:shd w:val="clear" w:color="auto" w:fill="D9D9D9"/>
          </w:tcPr>
          <w:p>
            <w:pPr>
              <w:spacing w:after="0"/>
              <w:rPr>
                <w:sz w:val="12"/>
                <w:szCs w:val="12"/>
                <w:color w:val="auto"/>
              </w:rPr>
            </w:pPr>
          </w:p>
        </w:tc>
        <w:tc>
          <w:tcPr>
            <w:tcW w:w="80" w:type="dxa"/>
            <w:vAlign w:val="bottom"/>
            <w:tcBorders>
              <w:top w:val="single" w:sz="8" w:color="071D49"/>
            </w:tcBorders>
            <w:shd w:val="clear" w:color="auto" w:fill="D9D9D9"/>
          </w:tcPr>
          <w:p>
            <w:pPr>
              <w:spacing w:after="0"/>
              <w:rPr>
                <w:sz w:val="12"/>
                <w:szCs w:val="12"/>
                <w:color w:val="auto"/>
              </w:rPr>
            </w:pPr>
          </w:p>
        </w:tc>
        <w:tc>
          <w:tcPr>
            <w:tcW w:w="760" w:type="dxa"/>
            <w:vAlign w:val="bottom"/>
            <w:tcBorders>
              <w:top w:val="single" w:sz="8" w:color="071D49"/>
            </w:tcBorders>
            <w:shd w:val="clear" w:color="auto" w:fill="D9D9D9"/>
          </w:tcPr>
          <w:p>
            <w:pPr>
              <w:spacing w:after="0"/>
              <w:rPr>
                <w:sz w:val="12"/>
                <w:szCs w:val="12"/>
                <w:color w:val="auto"/>
              </w:rPr>
            </w:pPr>
          </w:p>
        </w:tc>
        <w:tc>
          <w:tcPr>
            <w:tcW w:w="700" w:type="dxa"/>
            <w:vAlign w:val="bottom"/>
            <w:tcBorders>
              <w:top w:val="single" w:sz="8" w:color="071D49"/>
            </w:tcBorders>
            <w:shd w:val="clear" w:color="auto" w:fill="D9D9D9"/>
          </w:tcPr>
          <w:p>
            <w:pPr>
              <w:spacing w:after="0"/>
              <w:rPr>
                <w:sz w:val="12"/>
                <w:szCs w:val="12"/>
                <w:color w:val="auto"/>
              </w:rPr>
            </w:pPr>
          </w:p>
        </w:tc>
        <w:tc>
          <w:tcPr>
            <w:tcW w:w="1020" w:type="dxa"/>
            <w:vAlign w:val="bottom"/>
            <w:tcBorders>
              <w:top w:val="single" w:sz="8" w:color="071D49"/>
            </w:tcBorders>
            <w:shd w:val="clear" w:color="auto" w:fill="D9D9D9"/>
          </w:tcPr>
          <w:p>
            <w:pPr>
              <w:jc w:val="right"/>
              <w:spacing w:after="0" w:line="144" w:lineRule="exact"/>
              <w:rPr>
                <w:sz w:val="20"/>
                <w:szCs w:val="20"/>
                <w:color w:val="auto"/>
              </w:rPr>
            </w:pPr>
            <w:r>
              <w:rPr>
                <w:rFonts w:ascii="Arial" w:cs="Arial" w:eastAsia="Arial" w:hAnsi="Arial"/>
                <w:sz w:val="15"/>
                <w:szCs w:val="15"/>
                <w:color w:val="auto"/>
              </w:rPr>
              <w:t>78,045</w:t>
            </w:r>
          </w:p>
        </w:tc>
        <w:tc>
          <w:tcPr>
            <w:tcW w:w="200" w:type="dxa"/>
            <w:vAlign w:val="bottom"/>
            <w:tcBorders>
              <w:top w:val="single" w:sz="8" w:color="071D49"/>
            </w:tcBorders>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tcBorders>
              <w:top w:val="single" w:sz="8" w:color="071D49"/>
            </w:tcBorders>
            <w:shd w:val="clear" w:color="auto" w:fill="D9D9D9"/>
          </w:tcPr>
          <w:p>
            <w:pPr>
              <w:jc w:val="right"/>
              <w:spacing w:after="0" w:line="144" w:lineRule="exact"/>
              <w:rPr>
                <w:sz w:val="20"/>
                <w:szCs w:val="20"/>
                <w:color w:val="auto"/>
              </w:rPr>
            </w:pPr>
            <w:r>
              <w:rPr>
                <w:rFonts w:ascii="Arial" w:cs="Arial" w:eastAsia="Arial" w:hAnsi="Arial"/>
                <w:sz w:val="15"/>
                <w:szCs w:val="15"/>
                <w:color w:val="auto"/>
              </w:rPr>
              <w:t>$</w:t>
            </w:r>
          </w:p>
        </w:tc>
        <w:tc>
          <w:tcPr>
            <w:tcW w:w="860" w:type="dxa"/>
            <w:vAlign w:val="bottom"/>
            <w:tcBorders>
              <w:top w:val="single" w:sz="8" w:color="071D49"/>
            </w:tcBorders>
            <w:shd w:val="clear" w:color="auto" w:fill="D9D9D9"/>
          </w:tcPr>
          <w:p>
            <w:pPr>
              <w:jc w:val="right"/>
              <w:spacing w:after="0" w:line="144" w:lineRule="exact"/>
              <w:rPr>
                <w:sz w:val="20"/>
                <w:szCs w:val="20"/>
                <w:color w:val="auto"/>
              </w:rPr>
            </w:pPr>
            <w:r>
              <w:rPr>
                <w:rFonts w:ascii="Arial" w:cs="Arial" w:eastAsia="Arial" w:hAnsi="Arial"/>
                <w:sz w:val="15"/>
                <w:szCs w:val="15"/>
                <w:color w:val="auto"/>
              </w:rPr>
              <w:t>12,094,634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127,610</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114.3600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2/14/2028</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83,021</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12,865,764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179,127</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79.0200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2/20/2029</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90,896</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14,086,153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229,132</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vMerge w:val="restart"/>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93.5000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2/19/2030</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128,364</w:t>
            </w: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64,182</w:t>
            </w:r>
          </w:p>
        </w:tc>
        <w:tc>
          <w:tcPr>
            <w:tcW w:w="40" w:type="dxa"/>
            <w:vAlign w:val="bottom"/>
            <w:shd w:val="clear" w:color="auto" w:fill="D9D9D9"/>
          </w:tcPr>
          <w:p>
            <w:pPr>
              <w:spacing w:after="0"/>
              <w:rPr>
                <w:sz w:val="13"/>
                <w:szCs w:val="13"/>
                <w:color w:val="auto"/>
              </w:rPr>
            </w:pPr>
          </w:p>
        </w:tc>
        <w:tc>
          <w:tcPr>
            <w:tcW w:w="200" w:type="dxa"/>
            <w:vAlign w:val="bottom"/>
            <w:vMerge w:val="continue"/>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105.9200</w:t>
            </w:r>
          </w:p>
        </w:tc>
        <w:tc>
          <w:tcPr>
            <w:tcW w:w="9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2/17/2031</w:t>
            </w:r>
          </w:p>
        </w:tc>
        <w:tc>
          <w:tcPr>
            <w:tcW w:w="100" w:type="dxa"/>
            <w:vAlign w:val="bottom"/>
            <w:tcBorders>
              <w:right w:val="single" w:sz="8" w:color="071D49"/>
            </w:tcBorders>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6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52,540</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105,078</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144.5400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114,787</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149.6200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2/15/2033</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line="151" w:lineRule="exact"/>
              <w:rPr>
                <w:sz w:val="20"/>
                <w:szCs w:val="20"/>
                <w:color w:val="auto"/>
              </w:rPr>
            </w:pPr>
            <w:r>
              <w:rPr>
                <w:rFonts w:ascii="Arial" w:cs="Arial" w:eastAsia="Arial" w:hAnsi="Arial"/>
                <w:sz w:val="15"/>
                <w:szCs w:val="15"/>
                <w:color w:val="auto"/>
              </w:rPr>
              <w:t>R. Michael</w:t>
            </w: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5"/>
                <w:szCs w:val="15"/>
                <w:color w:val="auto"/>
              </w:rPr>
              <w:t>10,140</w:t>
            </w:r>
          </w:p>
        </w:tc>
        <w:tc>
          <w:tcPr>
            <w:tcW w:w="14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5"/>
                <w:szCs w:val="15"/>
                <w:color w:val="auto"/>
              </w:rPr>
              <w:t>54.8600</w:t>
            </w:r>
          </w:p>
        </w:tc>
        <w:tc>
          <w:tcPr>
            <w:tcW w:w="920" w:type="dxa"/>
            <w:vAlign w:val="bottom"/>
          </w:tcPr>
          <w:p>
            <w:pPr>
              <w:jc w:val="right"/>
              <w:spacing w:after="0" w:line="151" w:lineRule="exact"/>
              <w:rPr>
                <w:sz w:val="20"/>
                <w:szCs w:val="20"/>
                <w:color w:val="auto"/>
              </w:rPr>
            </w:pPr>
            <w:r>
              <w:rPr>
                <w:rFonts w:ascii="Arial" w:cs="Arial" w:eastAsia="Arial" w:hAnsi="Arial"/>
                <w:sz w:val="15"/>
                <w:szCs w:val="15"/>
                <w:color w:val="auto"/>
              </w:rPr>
              <w:t>2/17/2026</w:t>
            </w:r>
          </w:p>
        </w:tc>
        <w:tc>
          <w:tcPr>
            <w:tcW w:w="100" w:type="dxa"/>
            <w:vAlign w:val="bottom"/>
            <w:tcBorders>
              <w:right w:val="single" w:sz="8" w:color="071D49"/>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26,434</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Arial" w:cs="Arial" w:eastAsia="Arial" w:hAnsi="Arial"/>
                <w:sz w:val="15"/>
                <w:szCs w:val="15"/>
                <w:color w:val="auto"/>
              </w:rPr>
              <w:t>4,096,477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11,420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61.3600</w:t>
            </w:r>
          </w:p>
        </w:tc>
        <w:tc>
          <w:tcPr>
            <w:tcW w:w="920" w:type="dxa"/>
            <w:vAlign w:val="bottom"/>
          </w:tcPr>
          <w:p>
            <w:pPr>
              <w:jc w:val="right"/>
              <w:spacing w:after="0"/>
              <w:rPr>
                <w:sz w:val="20"/>
                <w:szCs w:val="20"/>
                <w:color w:val="auto"/>
              </w:rPr>
            </w:pPr>
            <w:r>
              <w:rPr>
                <w:rFonts w:ascii="Arial" w:cs="Arial" w:eastAsia="Arial" w:hAnsi="Arial"/>
                <w:sz w:val="15"/>
                <w:szCs w:val="15"/>
                <w:color w:val="auto"/>
              </w:rPr>
              <w:t>2/15/2027</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25,366</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3,930,969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8,030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114.3600</w:t>
            </w:r>
          </w:p>
        </w:tc>
        <w:tc>
          <w:tcPr>
            <w:tcW w:w="920" w:type="dxa"/>
            <w:vAlign w:val="bottom"/>
          </w:tcPr>
          <w:p>
            <w:pPr>
              <w:jc w:val="right"/>
              <w:spacing w:after="0"/>
              <w:rPr>
                <w:sz w:val="20"/>
                <w:szCs w:val="20"/>
                <w:color w:val="auto"/>
              </w:rPr>
            </w:pPr>
            <w:r>
              <w:rPr>
                <w:rFonts w:ascii="Arial" w:cs="Arial" w:eastAsia="Arial" w:hAnsi="Arial"/>
                <w:sz w:val="15"/>
                <w:szCs w:val="15"/>
                <w:color w:val="auto"/>
              </w:rPr>
              <w:t>2/14/2028</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36,090</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5,592,867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54,517</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79.0200</w:t>
            </w:r>
          </w:p>
        </w:tc>
        <w:tc>
          <w:tcPr>
            <w:tcW w:w="920" w:type="dxa"/>
            <w:vAlign w:val="bottom"/>
          </w:tcPr>
          <w:p>
            <w:pPr>
              <w:jc w:val="right"/>
              <w:spacing w:after="0"/>
              <w:rPr>
                <w:sz w:val="20"/>
                <w:szCs w:val="20"/>
                <w:color w:val="auto"/>
              </w:rPr>
            </w:pPr>
            <w:r>
              <w:rPr>
                <w:rFonts w:ascii="Arial" w:cs="Arial" w:eastAsia="Arial" w:hAnsi="Arial"/>
                <w:sz w:val="15"/>
                <w:szCs w:val="15"/>
                <w:color w:val="auto"/>
              </w:rPr>
              <w:t>2/20/2029</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106,382</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93.5000</w:t>
            </w:r>
          </w:p>
        </w:tc>
        <w:tc>
          <w:tcPr>
            <w:tcW w:w="920" w:type="dxa"/>
            <w:vAlign w:val="bottom"/>
          </w:tcPr>
          <w:p>
            <w:pPr>
              <w:jc w:val="right"/>
              <w:spacing w:after="0"/>
              <w:rPr>
                <w:sz w:val="20"/>
                <w:szCs w:val="20"/>
                <w:color w:val="auto"/>
              </w:rPr>
            </w:pPr>
            <w:r>
              <w:rPr>
                <w:rFonts w:ascii="Arial" w:cs="Arial" w:eastAsia="Arial" w:hAnsi="Arial"/>
                <w:sz w:val="15"/>
                <w:szCs w:val="15"/>
                <w:color w:val="auto"/>
              </w:rPr>
              <w:t>2/19/2030</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43,478</w:t>
            </w:r>
          </w:p>
        </w:tc>
        <w:tc>
          <w:tcPr>
            <w:tcW w:w="102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21,739</w:t>
            </w: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5"/>
                <w:szCs w:val="15"/>
                <w:color w:val="auto"/>
              </w:rPr>
              <w:t>105.9200</w:t>
            </w:r>
          </w:p>
        </w:tc>
        <w:tc>
          <w:tcPr>
            <w:tcW w:w="920" w:type="dxa"/>
            <w:vAlign w:val="bottom"/>
          </w:tcPr>
          <w:p>
            <w:pPr>
              <w:jc w:val="right"/>
              <w:spacing w:after="0" w:line="163" w:lineRule="exact"/>
              <w:rPr>
                <w:sz w:val="20"/>
                <w:szCs w:val="20"/>
                <w:color w:val="auto"/>
              </w:rPr>
            </w:pPr>
            <w:r>
              <w:rPr>
                <w:rFonts w:ascii="Arial" w:cs="Arial" w:eastAsia="Arial" w:hAnsi="Arial"/>
                <w:sz w:val="15"/>
                <w:szCs w:val="15"/>
                <w:color w:val="auto"/>
              </w:rPr>
              <w:t>2/17/2031</w:t>
            </w:r>
          </w:p>
        </w:tc>
        <w:tc>
          <w:tcPr>
            <w:tcW w:w="100" w:type="dxa"/>
            <w:vAlign w:val="bottom"/>
            <w:tcBorders>
              <w:right w:val="single" w:sz="8" w:color="071D49"/>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16,054</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32,107</w:t>
            </w:r>
          </w:p>
        </w:tc>
        <w:tc>
          <w:tcPr>
            <w:tcW w:w="240" w:type="dxa"/>
            <w:vAlign w:val="bottom"/>
            <w:gridSpan w:val="2"/>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144.5400</w:t>
            </w:r>
          </w:p>
        </w:tc>
        <w:tc>
          <w:tcPr>
            <w:tcW w:w="920" w:type="dxa"/>
            <w:vAlign w:val="bottom"/>
          </w:tcPr>
          <w:p>
            <w:pPr>
              <w:jc w:val="right"/>
              <w:spacing w:after="0"/>
              <w:rPr>
                <w:sz w:val="20"/>
                <w:szCs w:val="20"/>
                <w:color w:val="auto"/>
              </w:rPr>
            </w:pPr>
            <w:r>
              <w:rPr>
                <w:rFonts w:ascii="Arial" w:cs="Arial" w:eastAsia="Arial" w:hAnsi="Arial"/>
                <w:sz w:val="15"/>
                <w:szCs w:val="15"/>
                <w:color w:val="auto"/>
              </w:rPr>
              <w:t>2/16/2032</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45,577</w:t>
            </w:r>
          </w:p>
        </w:tc>
        <w:tc>
          <w:tcPr>
            <w:tcW w:w="240" w:type="dxa"/>
            <w:vAlign w:val="bottom"/>
            <w:gridSpan w:val="2"/>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149.6200</w:t>
            </w:r>
          </w:p>
        </w:tc>
        <w:tc>
          <w:tcPr>
            <w:tcW w:w="920" w:type="dxa"/>
            <w:vAlign w:val="bottom"/>
          </w:tcPr>
          <w:p>
            <w:pPr>
              <w:jc w:val="right"/>
              <w:spacing w:after="0"/>
              <w:rPr>
                <w:sz w:val="20"/>
                <w:szCs w:val="20"/>
                <w:color w:val="auto"/>
              </w:rPr>
            </w:pPr>
            <w:r>
              <w:rPr>
                <w:rFonts w:ascii="Arial" w:cs="Arial" w:eastAsia="Arial" w:hAnsi="Arial"/>
                <w:sz w:val="15"/>
                <w:szCs w:val="15"/>
                <w:color w:val="auto"/>
              </w:rPr>
              <w:t>2/15/2033</w:t>
            </w:r>
          </w:p>
        </w:tc>
        <w:tc>
          <w:tcPr>
            <w:tcW w:w="100" w:type="dxa"/>
            <w:vAlign w:val="bottom"/>
            <w:tcBorders>
              <w:right w:val="single" w:sz="8" w:color="071D49"/>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shd w:val="clear" w:color="auto" w:fill="D9D9D9"/>
          </w:tcPr>
          <w:p>
            <w:pPr>
              <w:spacing w:after="0" w:line="151" w:lineRule="exact"/>
              <w:rPr>
                <w:sz w:val="20"/>
                <w:szCs w:val="20"/>
                <w:color w:val="auto"/>
              </w:rPr>
            </w:pPr>
            <w:r>
              <w:rPr>
                <w:rFonts w:ascii="Arial" w:cs="Arial" w:eastAsia="Arial" w:hAnsi="Arial"/>
                <w:sz w:val="15"/>
                <w:szCs w:val="15"/>
                <w:color w:val="auto"/>
              </w:rPr>
              <w:t>S. Reents</w:t>
            </w:r>
          </w:p>
        </w:tc>
        <w:tc>
          <w:tcPr>
            <w:tcW w:w="940" w:type="dxa"/>
            <w:vAlign w:val="bottom"/>
            <w:gridSpan w:val="2"/>
            <w:shd w:val="clear" w:color="auto" w:fill="D9D9D9"/>
          </w:tcPr>
          <w:p>
            <w:pPr>
              <w:jc w:val="right"/>
              <w:spacing w:after="0" w:line="151" w:lineRule="exact"/>
              <w:rPr>
                <w:sz w:val="20"/>
                <w:szCs w:val="20"/>
                <w:color w:val="auto"/>
              </w:rPr>
            </w:pPr>
            <w:r>
              <w:rPr>
                <w:rFonts w:ascii="Arial" w:cs="Arial" w:eastAsia="Arial" w:hAnsi="Arial"/>
                <w:sz w:val="15"/>
                <w:szCs w:val="15"/>
                <w:color w:val="auto"/>
              </w:rPr>
              <w:t>14,140</w:t>
            </w:r>
          </w:p>
        </w:tc>
        <w:tc>
          <w:tcPr>
            <w:tcW w:w="1020" w:type="dxa"/>
            <w:vAlign w:val="bottom"/>
            <w:gridSpan w:val="2"/>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61.3600</w:t>
            </w:r>
          </w:p>
        </w:tc>
        <w:tc>
          <w:tcPr>
            <w:tcW w:w="9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2/15/2027</w:t>
            </w:r>
          </w:p>
        </w:tc>
        <w:tc>
          <w:tcPr>
            <w:tcW w:w="100" w:type="dxa"/>
            <w:vAlign w:val="bottom"/>
            <w:tcBorders>
              <w:right w:val="single" w:sz="8" w:color="071D49"/>
            </w:tcBorders>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6,293</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3"/>
                <w:szCs w:val="13"/>
                <w:color w:val="auto"/>
              </w:rPr>
            </w:pPr>
          </w:p>
        </w:tc>
        <w:tc>
          <w:tcPr>
            <w:tcW w:w="86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975,226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11,810</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114.3600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2/14/2028</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12,913</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2,001,128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19,470</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79.0200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2/20/2029</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26,734</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4,142,968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28,641</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93.5000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2/19/2030</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10,352</w:t>
            </w: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5,175</w:t>
            </w:r>
          </w:p>
        </w:tc>
        <w:tc>
          <w:tcPr>
            <w:tcW w:w="40" w:type="dxa"/>
            <w:vAlign w:val="bottom"/>
            <w:shd w:val="clear" w:color="auto" w:fill="D9D9D9"/>
          </w:tcPr>
          <w:p>
            <w:pPr>
              <w:spacing w:after="0"/>
              <w:rPr>
                <w:sz w:val="13"/>
                <w:szCs w:val="13"/>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105.9200</w:t>
            </w:r>
          </w:p>
        </w:tc>
        <w:tc>
          <w:tcPr>
            <w:tcW w:w="9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2/17/2031</w:t>
            </w:r>
          </w:p>
        </w:tc>
        <w:tc>
          <w:tcPr>
            <w:tcW w:w="100" w:type="dxa"/>
            <w:vAlign w:val="bottom"/>
            <w:tcBorders>
              <w:right w:val="single" w:sz="8" w:color="071D49"/>
            </w:tcBorders>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6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3,795</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7,588</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144.5400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33,760</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149.6200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2/15/2033</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line="151" w:lineRule="exact"/>
              <w:rPr>
                <w:sz w:val="20"/>
                <w:szCs w:val="20"/>
                <w:color w:val="auto"/>
              </w:rPr>
            </w:pPr>
            <w:r>
              <w:rPr>
                <w:rFonts w:ascii="Arial" w:cs="Arial" w:eastAsia="Arial" w:hAnsi="Arial"/>
                <w:sz w:val="15"/>
                <w:szCs w:val="15"/>
                <w:color w:val="auto"/>
              </w:rPr>
              <w:t>J. Stewart</w:t>
            </w:r>
          </w:p>
        </w:tc>
        <w:tc>
          <w:tcPr>
            <w:tcW w:w="1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5"/>
                <w:szCs w:val="15"/>
                <w:color w:val="auto"/>
              </w:rPr>
              <w:t>26,110</w:t>
            </w:r>
          </w:p>
        </w:tc>
        <w:tc>
          <w:tcPr>
            <w:tcW w:w="14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5"/>
                <w:szCs w:val="15"/>
                <w:color w:val="auto"/>
              </w:rPr>
              <w:t>61.3600</w:t>
            </w:r>
          </w:p>
        </w:tc>
        <w:tc>
          <w:tcPr>
            <w:tcW w:w="920" w:type="dxa"/>
            <w:vAlign w:val="bottom"/>
          </w:tcPr>
          <w:p>
            <w:pPr>
              <w:jc w:val="right"/>
              <w:spacing w:after="0" w:line="151" w:lineRule="exact"/>
              <w:rPr>
                <w:sz w:val="20"/>
                <w:szCs w:val="20"/>
                <w:color w:val="auto"/>
              </w:rPr>
            </w:pPr>
            <w:r>
              <w:rPr>
                <w:rFonts w:ascii="Arial" w:cs="Arial" w:eastAsia="Arial" w:hAnsi="Arial"/>
                <w:sz w:val="15"/>
                <w:szCs w:val="15"/>
                <w:color w:val="auto"/>
              </w:rPr>
              <w:t>2/15/2027</w:t>
            </w:r>
          </w:p>
        </w:tc>
        <w:tc>
          <w:tcPr>
            <w:tcW w:w="100" w:type="dxa"/>
            <w:vAlign w:val="bottom"/>
            <w:tcBorders>
              <w:right w:val="single" w:sz="8" w:color="071D49"/>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17,622</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Arial" w:cs="Arial" w:eastAsia="Arial" w:hAnsi="Arial"/>
                <w:sz w:val="15"/>
                <w:szCs w:val="15"/>
                <w:color w:val="auto"/>
              </w:rPr>
              <w:t>2,730,881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16,070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114.3600</w:t>
            </w:r>
          </w:p>
        </w:tc>
        <w:tc>
          <w:tcPr>
            <w:tcW w:w="920" w:type="dxa"/>
            <w:vAlign w:val="bottom"/>
          </w:tcPr>
          <w:p>
            <w:pPr>
              <w:jc w:val="right"/>
              <w:spacing w:after="0"/>
              <w:rPr>
                <w:sz w:val="20"/>
                <w:szCs w:val="20"/>
                <w:color w:val="auto"/>
              </w:rPr>
            </w:pPr>
            <w:r>
              <w:rPr>
                <w:rFonts w:ascii="Arial" w:cs="Arial" w:eastAsia="Arial" w:hAnsi="Arial"/>
                <w:sz w:val="15"/>
                <w:szCs w:val="15"/>
                <w:color w:val="auto"/>
              </w:rPr>
              <w:t>2/14/2028</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33,438</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5,181,887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25,700</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79.0200</w:t>
            </w:r>
          </w:p>
        </w:tc>
        <w:tc>
          <w:tcPr>
            <w:tcW w:w="920" w:type="dxa"/>
            <w:vAlign w:val="bottom"/>
          </w:tcPr>
          <w:p>
            <w:pPr>
              <w:jc w:val="right"/>
              <w:spacing w:after="0"/>
              <w:rPr>
                <w:sz w:val="20"/>
                <w:szCs w:val="20"/>
                <w:color w:val="auto"/>
              </w:rPr>
            </w:pPr>
            <w:r>
              <w:rPr>
                <w:rFonts w:ascii="Arial" w:cs="Arial" w:eastAsia="Arial" w:hAnsi="Arial"/>
                <w:sz w:val="15"/>
                <w:szCs w:val="15"/>
                <w:color w:val="auto"/>
              </w:rPr>
              <w:t>2/20/2029</w:t>
            </w:r>
          </w:p>
        </w:tc>
        <w:tc>
          <w:tcPr>
            <w:tcW w:w="100" w:type="dxa"/>
            <w:vAlign w:val="bottom"/>
            <w:tcBorders>
              <w:right w:val="single" w:sz="8" w:color="071D49"/>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27,802</w:t>
            </w:r>
          </w:p>
        </w:tc>
        <w:tc>
          <w:tcPr>
            <w:tcW w:w="200" w:type="dxa"/>
            <w:vAlign w:val="bottom"/>
          </w:tcPr>
          <w:p>
            <w:pPr>
              <w:jc w:val="right"/>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4,308,476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49,099</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vMerge w:val="restart"/>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93.5000</w:t>
            </w:r>
          </w:p>
        </w:tc>
        <w:tc>
          <w:tcPr>
            <w:tcW w:w="920" w:type="dxa"/>
            <w:vAlign w:val="bottom"/>
          </w:tcPr>
          <w:p>
            <w:pPr>
              <w:jc w:val="right"/>
              <w:spacing w:after="0"/>
              <w:rPr>
                <w:sz w:val="20"/>
                <w:szCs w:val="20"/>
                <w:color w:val="auto"/>
              </w:rPr>
            </w:pPr>
            <w:r>
              <w:rPr>
                <w:rFonts w:ascii="Arial" w:cs="Arial" w:eastAsia="Arial" w:hAnsi="Arial"/>
                <w:sz w:val="15"/>
                <w:szCs w:val="15"/>
                <w:color w:val="auto"/>
              </w:rPr>
              <w:t>2/19/2030</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28,986</w:t>
            </w:r>
          </w:p>
        </w:tc>
        <w:tc>
          <w:tcPr>
            <w:tcW w:w="102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14,492</w:t>
            </w: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5"/>
                <w:szCs w:val="15"/>
                <w:color w:val="auto"/>
              </w:rPr>
              <w:t>105.9200</w:t>
            </w:r>
          </w:p>
        </w:tc>
        <w:tc>
          <w:tcPr>
            <w:tcW w:w="920" w:type="dxa"/>
            <w:vAlign w:val="bottom"/>
          </w:tcPr>
          <w:p>
            <w:pPr>
              <w:jc w:val="right"/>
              <w:spacing w:after="0" w:line="163" w:lineRule="exact"/>
              <w:rPr>
                <w:sz w:val="20"/>
                <w:szCs w:val="20"/>
                <w:color w:val="auto"/>
              </w:rPr>
            </w:pPr>
            <w:r>
              <w:rPr>
                <w:rFonts w:ascii="Arial" w:cs="Arial" w:eastAsia="Arial" w:hAnsi="Arial"/>
                <w:sz w:val="15"/>
                <w:szCs w:val="15"/>
                <w:color w:val="auto"/>
              </w:rPr>
              <w:t>2/17/2031</w:t>
            </w:r>
          </w:p>
        </w:tc>
        <w:tc>
          <w:tcPr>
            <w:tcW w:w="100" w:type="dxa"/>
            <w:vAlign w:val="bottom"/>
            <w:tcBorders>
              <w:right w:val="single" w:sz="8" w:color="071D49"/>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12,405</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24,810</w:t>
            </w:r>
          </w:p>
        </w:tc>
        <w:tc>
          <w:tcPr>
            <w:tcW w:w="240" w:type="dxa"/>
            <w:vAlign w:val="bottom"/>
            <w:gridSpan w:val="2"/>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144.5400</w:t>
            </w:r>
          </w:p>
        </w:tc>
        <w:tc>
          <w:tcPr>
            <w:tcW w:w="920" w:type="dxa"/>
            <w:vAlign w:val="bottom"/>
          </w:tcPr>
          <w:p>
            <w:pPr>
              <w:jc w:val="right"/>
              <w:spacing w:after="0"/>
              <w:rPr>
                <w:sz w:val="20"/>
                <w:szCs w:val="20"/>
                <w:color w:val="auto"/>
              </w:rPr>
            </w:pPr>
            <w:r>
              <w:rPr>
                <w:rFonts w:ascii="Arial" w:cs="Arial" w:eastAsia="Arial" w:hAnsi="Arial"/>
                <w:sz w:val="15"/>
                <w:szCs w:val="15"/>
                <w:color w:val="auto"/>
              </w:rPr>
              <w:t>2/16/2032</w:t>
            </w:r>
          </w:p>
        </w:tc>
        <w:tc>
          <w:tcPr>
            <w:tcW w:w="100" w:type="dxa"/>
            <w:vAlign w:val="bottom"/>
            <w:tcBorders>
              <w:right w:val="single" w:sz="8" w:color="071D49"/>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35,111</w:t>
            </w:r>
          </w:p>
        </w:tc>
        <w:tc>
          <w:tcPr>
            <w:tcW w:w="240" w:type="dxa"/>
            <w:vAlign w:val="bottom"/>
            <w:gridSpan w:val="2"/>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149.6200</w:t>
            </w:r>
          </w:p>
        </w:tc>
        <w:tc>
          <w:tcPr>
            <w:tcW w:w="920" w:type="dxa"/>
            <w:vAlign w:val="bottom"/>
          </w:tcPr>
          <w:p>
            <w:pPr>
              <w:jc w:val="right"/>
              <w:spacing w:after="0"/>
              <w:rPr>
                <w:sz w:val="20"/>
                <w:szCs w:val="20"/>
                <w:color w:val="auto"/>
              </w:rPr>
            </w:pPr>
            <w:r>
              <w:rPr>
                <w:rFonts w:ascii="Arial" w:cs="Arial" w:eastAsia="Arial" w:hAnsi="Arial"/>
                <w:sz w:val="15"/>
                <w:szCs w:val="15"/>
                <w:color w:val="auto"/>
              </w:rPr>
              <w:t>2/15/2033</w:t>
            </w:r>
          </w:p>
        </w:tc>
        <w:tc>
          <w:tcPr>
            <w:tcW w:w="100" w:type="dxa"/>
            <w:vAlign w:val="bottom"/>
            <w:tcBorders>
              <w:right w:val="single" w:sz="8" w:color="071D49"/>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shd w:val="clear" w:color="auto" w:fill="D9D9D9"/>
          </w:tcPr>
          <w:p>
            <w:pPr>
              <w:spacing w:after="0" w:line="151" w:lineRule="exact"/>
              <w:rPr>
                <w:sz w:val="20"/>
                <w:szCs w:val="20"/>
                <w:color w:val="auto"/>
              </w:rPr>
            </w:pPr>
            <w:r>
              <w:rPr>
                <w:rFonts w:ascii="Arial" w:cs="Arial" w:eastAsia="Arial" w:hAnsi="Arial"/>
                <w:sz w:val="15"/>
                <w:szCs w:val="15"/>
                <w:color w:val="auto"/>
              </w:rPr>
              <w:t>A. Saleki-Gerhardt</w:t>
            </w:r>
          </w:p>
        </w:tc>
        <w:tc>
          <w:tcPr>
            <w:tcW w:w="940" w:type="dxa"/>
            <w:vAlign w:val="bottom"/>
            <w:gridSpan w:val="2"/>
            <w:shd w:val="clear" w:color="auto" w:fill="D9D9D9"/>
          </w:tcPr>
          <w:p>
            <w:pPr>
              <w:jc w:val="right"/>
              <w:spacing w:after="0" w:line="151" w:lineRule="exact"/>
              <w:rPr>
                <w:sz w:val="20"/>
                <w:szCs w:val="20"/>
                <w:color w:val="auto"/>
              </w:rPr>
            </w:pPr>
            <w:r>
              <w:rPr>
                <w:rFonts w:ascii="Arial" w:cs="Arial" w:eastAsia="Arial" w:hAnsi="Arial"/>
                <w:sz w:val="15"/>
                <w:szCs w:val="15"/>
                <w:color w:val="auto"/>
              </w:rPr>
              <w:t>52,870</w:t>
            </w:r>
          </w:p>
        </w:tc>
        <w:tc>
          <w:tcPr>
            <w:tcW w:w="1020" w:type="dxa"/>
            <w:vAlign w:val="bottom"/>
            <w:gridSpan w:val="2"/>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3"/>
                <w:szCs w:val="13"/>
                <w:color w:val="auto"/>
              </w:rPr>
            </w:pPr>
          </w:p>
        </w:tc>
        <w:tc>
          <w:tcPr>
            <w:tcW w:w="200" w:type="dxa"/>
            <w:vAlign w:val="bottom"/>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58.8800</w:t>
            </w:r>
          </w:p>
        </w:tc>
        <w:tc>
          <w:tcPr>
            <w:tcW w:w="9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2/18/2025</w:t>
            </w:r>
          </w:p>
        </w:tc>
        <w:tc>
          <w:tcPr>
            <w:tcW w:w="100" w:type="dxa"/>
            <w:vAlign w:val="bottom"/>
            <w:tcBorders>
              <w:right w:val="single" w:sz="8" w:color="071D49"/>
            </w:tcBorders>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17,118</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3"/>
                <w:szCs w:val="13"/>
                <w:color w:val="auto"/>
              </w:rPr>
            </w:pPr>
          </w:p>
        </w:tc>
        <w:tc>
          <w:tcPr>
            <w:tcW w:w="86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2,652,776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42,370</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54.8600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2/17/2026</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32,285</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5,003,206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47,870</w:t>
            </w:r>
          </w:p>
        </w:tc>
        <w:tc>
          <w:tcPr>
            <w:tcW w:w="1020" w:type="dxa"/>
            <w:vAlign w:val="bottom"/>
            <w:gridSpan w:val="2"/>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61.3600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2/15/2027</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18,178</w:t>
            </w:r>
          </w:p>
        </w:tc>
        <w:tc>
          <w:tcPr>
            <w:tcW w:w="200" w:type="dxa"/>
            <w:vAlign w:val="bottom"/>
            <w:shd w:val="clear" w:color="auto" w:fill="D9D9D9"/>
          </w:tcPr>
          <w:p>
            <w:pPr>
              <w:jc w:val="right"/>
              <w:spacing w:after="0"/>
              <w:rPr>
                <w:sz w:val="20"/>
                <w:szCs w:val="20"/>
                <w:color w:val="auto"/>
              </w:rPr>
            </w:pPr>
            <w:r>
              <w:rPr>
                <w:rFonts w:ascii="Arial" w:cs="Arial" w:eastAsia="Arial" w:hAnsi="Arial"/>
                <w:sz w:val="11"/>
                <w:szCs w:val="11"/>
                <w:color w:val="auto"/>
              </w:rPr>
              <w:t>(2)</w:t>
            </w: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2,817,045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23,160</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114.3600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2/14/2028</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34,267</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79.0200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2/20/2029</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73,649</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D9D9D9"/>
          </w:tcPr>
          <w:p>
            <w:pPr>
              <w:spacing w:after="0"/>
              <w:rPr>
                <w:sz w:val="15"/>
                <w:szCs w:val="15"/>
                <w:color w:val="auto"/>
              </w:rPr>
            </w:pPr>
          </w:p>
        </w:tc>
        <w:tc>
          <w:tcPr>
            <w:tcW w:w="200" w:type="dxa"/>
            <w:vAlign w:val="bottom"/>
            <w:vMerge w:val="restart"/>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93.5000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2/19/2030</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shd w:val="clear" w:color="auto" w:fill="D9D9D9"/>
          </w:tcPr>
          <w:p>
            <w:pPr>
              <w:spacing w:after="0"/>
              <w:rPr>
                <w:sz w:val="13"/>
                <w:szCs w:val="13"/>
                <w:color w:val="auto"/>
              </w:rPr>
            </w:pPr>
          </w:p>
        </w:tc>
        <w:tc>
          <w:tcPr>
            <w:tcW w:w="140" w:type="dxa"/>
            <w:vAlign w:val="bottom"/>
            <w:shd w:val="clear" w:color="auto" w:fill="D9D9D9"/>
          </w:tcPr>
          <w:p>
            <w:pPr>
              <w:spacing w:after="0"/>
              <w:rPr>
                <w:sz w:val="13"/>
                <w:szCs w:val="13"/>
                <w:color w:val="auto"/>
              </w:rPr>
            </w:pPr>
          </w:p>
        </w:tc>
        <w:tc>
          <w:tcPr>
            <w:tcW w:w="80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28,158</w:t>
            </w:r>
          </w:p>
        </w:tc>
        <w:tc>
          <w:tcPr>
            <w:tcW w:w="140" w:type="dxa"/>
            <w:vAlign w:val="bottom"/>
            <w:shd w:val="clear" w:color="auto" w:fill="D9D9D9"/>
          </w:tcPr>
          <w:p>
            <w:pPr>
              <w:spacing w:after="0"/>
              <w:rPr>
                <w:sz w:val="13"/>
                <w:szCs w:val="13"/>
                <w:color w:val="auto"/>
              </w:rPr>
            </w:pPr>
          </w:p>
        </w:tc>
        <w:tc>
          <w:tcPr>
            <w:tcW w:w="8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14,078</w:t>
            </w:r>
          </w:p>
        </w:tc>
        <w:tc>
          <w:tcPr>
            <w:tcW w:w="40" w:type="dxa"/>
            <w:vAlign w:val="bottom"/>
            <w:shd w:val="clear" w:color="auto" w:fill="D9D9D9"/>
          </w:tcPr>
          <w:p>
            <w:pPr>
              <w:spacing w:after="0"/>
              <w:rPr>
                <w:sz w:val="13"/>
                <w:szCs w:val="13"/>
                <w:color w:val="auto"/>
              </w:rPr>
            </w:pPr>
          </w:p>
        </w:tc>
        <w:tc>
          <w:tcPr>
            <w:tcW w:w="200" w:type="dxa"/>
            <w:vAlign w:val="bottom"/>
            <w:vMerge w:val="continue"/>
            <w:shd w:val="clear" w:color="auto" w:fill="D9D9D9"/>
          </w:tcPr>
          <w:p>
            <w:pPr>
              <w:spacing w:after="0"/>
              <w:rPr>
                <w:sz w:val="13"/>
                <w:szCs w:val="13"/>
                <w:color w:val="auto"/>
              </w:rPr>
            </w:pPr>
          </w:p>
        </w:tc>
        <w:tc>
          <w:tcPr>
            <w:tcW w:w="100" w:type="dxa"/>
            <w:vAlign w:val="bottom"/>
            <w:shd w:val="clear" w:color="auto" w:fill="D9D9D9"/>
          </w:tcPr>
          <w:p>
            <w:pPr>
              <w:spacing w:after="0"/>
              <w:rPr>
                <w:sz w:val="13"/>
                <w:szCs w:val="13"/>
                <w:color w:val="auto"/>
              </w:rPr>
            </w:pPr>
          </w:p>
        </w:tc>
        <w:tc>
          <w:tcPr>
            <w:tcW w:w="78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105.9200</w:t>
            </w:r>
          </w:p>
        </w:tc>
        <w:tc>
          <w:tcPr>
            <w:tcW w:w="9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2/17/2031</w:t>
            </w:r>
          </w:p>
        </w:tc>
        <w:tc>
          <w:tcPr>
            <w:tcW w:w="100" w:type="dxa"/>
            <w:vAlign w:val="bottom"/>
            <w:tcBorders>
              <w:right w:val="single" w:sz="8" w:color="071D49"/>
            </w:tcBorders>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760" w:type="dxa"/>
            <w:vAlign w:val="bottom"/>
            <w:shd w:val="clear" w:color="auto" w:fill="D9D9D9"/>
          </w:tcPr>
          <w:p>
            <w:pPr>
              <w:spacing w:after="0"/>
              <w:rPr>
                <w:sz w:val="13"/>
                <w:szCs w:val="13"/>
                <w:color w:val="auto"/>
              </w:rPr>
            </w:pPr>
          </w:p>
        </w:tc>
        <w:tc>
          <w:tcPr>
            <w:tcW w:w="700" w:type="dxa"/>
            <w:vAlign w:val="bottom"/>
            <w:shd w:val="clear" w:color="auto" w:fill="D9D9D9"/>
          </w:tcPr>
          <w:p>
            <w:pPr>
              <w:spacing w:after="0"/>
              <w:rPr>
                <w:sz w:val="13"/>
                <w:szCs w:val="13"/>
                <w:color w:val="auto"/>
              </w:rPr>
            </w:pPr>
          </w:p>
        </w:tc>
        <w:tc>
          <w:tcPr>
            <w:tcW w:w="102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3"/>
                <w:szCs w:val="13"/>
                <w:color w:val="auto"/>
              </w:rPr>
            </w:pPr>
          </w:p>
        </w:tc>
        <w:tc>
          <w:tcPr>
            <w:tcW w:w="180" w:type="dxa"/>
            <w:vAlign w:val="bottom"/>
            <w:shd w:val="clear" w:color="auto" w:fill="D9D9D9"/>
          </w:tcPr>
          <w:p>
            <w:pPr>
              <w:spacing w:after="0"/>
              <w:rPr>
                <w:sz w:val="13"/>
                <w:szCs w:val="13"/>
                <w:color w:val="auto"/>
              </w:rPr>
            </w:pPr>
          </w:p>
        </w:tc>
        <w:tc>
          <w:tcPr>
            <w:tcW w:w="860" w:type="dxa"/>
            <w:vAlign w:val="bottom"/>
            <w:shd w:val="clear" w:color="auto" w:fill="D9D9D9"/>
          </w:tcPr>
          <w:p>
            <w:pPr>
              <w:jc w:val="right"/>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11,676</w:t>
            </w:r>
          </w:p>
        </w:tc>
        <w:tc>
          <w:tcPr>
            <w:tcW w:w="140" w:type="dxa"/>
            <w:vAlign w:val="bottom"/>
            <w:shd w:val="clear" w:color="auto" w:fill="D9D9D9"/>
          </w:tcPr>
          <w:p>
            <w:pPr>
              <w:spacing w:after="0"/>
              <w:rPr>
                <w:sz w:val="15"/>
                <w:szCs w:val="15"/>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23,350</w:t>
            </w:r>
          </w:p>
        </w:tc>
        <w:tc>
          <w:tcPr>
            <w:tcW w:w="40" w:type="dxa"/>
            <w:vAlign w:val="bottom"/>
            <w:shd w:val="clear" w:color="auto" w:fill="D9D9D9"/>
          </w:tcPr>
          <w:p>
            <w:pPr>
              <w:spacing w:after="0"/>
              <w:rPr>
                <w:sz w:val="15"/>
                <w:szCs w:val="15"/>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5"/>
                <w:szCs w:val="15"/>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144.5400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2/16/2032</w:t>
            </w:r>
          </w:p>
        </w:tc>
        <w:tc>
          <w:tcPr>
            <w:tcW w:w="100" w:type="dxa"/>
            <w:vAlign w:val="bottom"/>
            <w:tcBorders>
              <w:right w:val="single" w:sz="8" w:color="071D49"/>
            </w:tcBorders>
            <w:shd w:val="clear" w:color="auto" w:fill="D9D9D9"/>
          </w:tcPr>
          <w:p>
            <w:pPr>
              <w:spacing w:after="0"/>
              <w:rPr>
                <w:sz w:val="15"/>
                <w:szCs w:val="15"/>
                <w:color w:val="auto"/>
              </w:rPr>
            </w:pPr>
          </w:p>
        </w:tc>
        <w:tc>
          <w:tcPr>
            <w:tcW w:w="80" w:type="dxa"/>
            <w:vAlign w:val="bottom"/>
            <w:shd w:val="clear" w:color="auto" w:fill="D9D9D9"/>
          </w:tcPr>
          <w:p>
            <w:pPr>
              <w:spacing w:after="0"/>
              <w:rPr>
                <w:sz w:val="15"/>
                <w:szCs w:val="15"/>
                <w:color w:val="auto"/>
              </w:rPr>
            </w:pPr>
          </w:p>
        </w:tc>
        <w:tc>
          <w:tcPr>
            <w:tcW w:w="760" w:type="dxa"/>
            <w:vAlign w:val="bottom"/>
            <w:shd w:val="clear" w:color="auto" w:fill="D9D9D9"/>
          </w:tcPr>
          <w:p>
            <w:pPr>
              <w:spacing w:after="0"/>
              <w:rPr>
                <w:sz w:val="15"/>
                <w:szCs w:val="15"/>
                <w:color w:val="auto"/>
              </w:rPr>
            </w:pPr>
          </w:p>
        </w:tc>
        <w:tc>
          <w:tcPr>
            <w:tcW w:w="700" w:type="dxa"/>
            <w:vAlign w:val="bottom"/>
            <w:shd w:val="clear" w:color="auto" w:fill="D9D9D9"/>
          </w:tcPr>
          <w:p>
            <w:pPr>
              <w:spacing w:after="0"/>
              <w:rPr>
                <w:sz w:val="15"/>
                <w:szCs w:val="15"/>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5"/>
                <w:szCs w:val="15"/>
                <w:color w:val="auto"/>
              </w:rPr>
            </w:pPr>
          </w:p>
        </w:tc>
        <w:tc>
          <w:tcPr>
            <w:tcW w:w="180" w:type="dxa"/>
            <w:vAlign w:val="bottom"/>
            <w:shd w:val="clear" w:color="auto" w:fill="D9D9D9"/>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shd w:val="clear" w:color="auto" w:fill="D9D9D9"/>
          </w:tcPr>
          <w:p>
            <w:pPr>
              <w:spacing w:after="0"/>
              <w:rPr>
                <w:sz w:val="17"/>
                <w:szCs w:val="17"/>
                <w:color w:val="auto"/>
              </w:rPr>
            </w:pPr>
          </w:p>
        </w:tc>
        <w:tc>
          <w:tcPr>
            <w:tcW w:w="140" w:type="dxa"/>
            <w:vAlign w:val="bottom"/>
            <w:shd w:val="clear" w:color="auto" w:fill="D9D9D9"/>
          </w:tcPr>
          <w:p>
            <w:pPr>
              <w:spacing w:after="0"/>
              <w:rPr>
                <w:sz w:val="17"/>
                <w:szCs w:val="17"/>
                <w:color w:val="auto"/>
              </w:rPr>
            </w:pPr>
          </w:p>
        </w:tc>
        <w:tc>
          <w:tcPr>
            <w:tcW w:w="80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22,957</w:t>
            </w:r>
          </w:p>
        </w:tc>
        <w:tc>
          <w:tcPr>
            <w:tcW w:w="40" w:type="dxa"/>
            <w:vAlign w:val="bottom"/>
            <w:shd w:val="clear" w:color="auto" w:fill="D9D9D9"/>
          </w:tcPr>
          <w:p>
            <w:pPr>
              <w:spacing w:after="0"/>
              <w:rPr>
                <w:sz w:val="17"/>
                <w:szCs w:val="17"/>
                <w:color w:val="auto"/>
              </w:rPr>
            </w:pPr>
          </w:p>
        </w:tc>
        <w:tc>
          <w:tcPr>
            <w:tcW w:w="200" w:type="dxa"/>
            <w:vAlign w:val="bottom"/>
            <w:shd w:val="clear" w:color="auto" w:fill="D9D9D9"/>
          </w:tcPr>
          <w:p>
            <w:pPr>
              <w:jc w:val="right"/>
              <w:ind w:right="24"/>
              <w:spacing w:after="0"/>
              <w:rPr>
                <w:sz w:val="20"/>
                <w:szCs w:val="20"/>
                <w:color w:val="auto"/>
              </w:rPr>
            </w:pPr>
            <w:r>
              <w:rPr>
                <w:rFonts w:ascii="Arial" w:cs="Arial" w:eastAsia="Arial" w:hAnsi="Arial"/>
                <w:sz w:val="11"/>
                <w:szCs w:val="11"/>
                <w:color w:val="auto"/>
                <w:w w:val="74"/>
              </w:rPr>
              <w:t>(2)</w:t>
            </w:r>
          </w:p>
        </w:tc>
        <w:tc>
          <w:tcPr>
            <w:tcW w:w="100" w:type="dxa"/>
            <w:vAlign w:val="bottom"/>
            <w:shd w:val="clear" w:color="auto" w:fill="D9D9D9"/>
          </w:tcPr>
          <w:p>
            <w:pPr>
              <w:spacing w:after="0"/>
              <w:rPr>
                <w:sz w:val="17"/>
                <w:szCs w:val="17"/>
                <w:color w:val="auto"/>
              </w:rPr>
            </w:pPr>
          </w:p>
        </w:tc>
        <w:tc>
          <w:tcPr>
            <w:tcW w:w="7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149.6200</w:t>
            </w:r>
          </w:p>
        </w:tc>
        <w:tc>
          <w:tcPr>
            <w:tcW w:w="9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2/15/2033</w:t>
            </w:r>
          </w:p>
        </w:tc>
        <w:tc>
          <w:tcPr>
            <w:tcW w:w="100" w:type="dxa"/>
            <w:vAlign w:val="bottom"/>
            <w:tcBorders>
              <w:right w:val="single" w:sz="8" w:color="071D49"/>
            </w:tcBorders>
            <w:shd w:val="clear" w:color="auto" w:fill="D9D9D9"/>
          </w:tcPr>
          <w:p>
            <w:pPr>
              <w:spacing w:after="0"/>
              <w:rPr>
                <w:sz w:val="17"/>
                <w:szCs w:val="17"/>
                <w:color w:val="auto"/>
              </w:rPr>
            </w:pPr>
          </w:p>
        </w:tc>
        <w:tc>
          <w:tcPr>
            <w:tcW w:w="80" w:type="dxa"/>
            <w:vAlign w:val="bottom"/>
            <w:shd w:val="clear" w:color="auto" w:fill="D9D9D9"/>
          </w:tcPr>
          <w:p>
            <w:pPr>
              <w:spacing w:after="0"/>
              <w:rPr>
                <w:sz w:val="17"/>
                <w:szCs w:val="17"/>
                <w:color w:val="auto"/>
              </w:rPr>
            </w:pPr>
          </w:p>
        </w:tc>
        <w:tc>
          <w:tcPr>
            <w:tcW w:w="760" w:type="dxa"/>
            <w:vAlign w:val="bottom"/>
            <w:shd w:val="clear" w:color="auto" w:fill="D9D9D9"/>
          </w:tcPr>
          <w:p>
            <w:pPr>
              <w:spacing w:after="0"/>
              <w:rPr>
                <w:sz w:val="17"/>
                <w:szCs w:val="17"/>
                <w:color w:val="auto"/>
              </w:rPr>
            </w:pPr>
          </w:p>
        </w:tc>
        <w:tc>
          <w:tcPr>
            <w:tcW w:w="700" w:type="dxa"/>
            <w:vAlign w:val="bottom"/>
            <w:shd w:val="clear" w:color="auto" w:fill="D9D9D9"/>
          </w:tcPr>
          <w:p>
            <w:pPr>
              <w:spacing w:after="0"/>
              <w:rPr>
                <w:sz w:val="17"/>
                <w:szCs w:val="17"/>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9D9D9"/>
          </w:tcPr>
          <w:p>
            <w:pPr>
              <w:spacing w:after="0"/>
              <w:rPr>
                <w:sz w:val="17"/>
                <w:szCs w:val="17"/>
                <w:color w:val="auto"/>
              </w:rPr>
            </w:pPr>
          </w:p>
        </w:tc>
        <w:tc>
          <w:tcPr>
            <w:tcW w:w="180" w:type="dxa"/>
            <w:vAlign w:val="bottom"/>
            <w:shd w:val="clear" w:color="auto" w:fill="D9D9D9"/>
          </w:tcPr>
          <w:p>
            <w:pPr>
              <w:spacing w:after="0"/>
              <w:rPr>
                <w:sz w:val="17"/>
                <w:szCs w:val="17"/>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Except as noted, the stock options are fully vested.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58</w:t>
      </w:r>
      <w:r>
        <w:rPr>
          <w:sz w:val="20"/>
          <w:szCs w:val="20"/>
          <w:color w:val="auto"/>
        </w:rPr>
        <w:tab/>
      </w:r>
      <w:r>
        <w:rPr>
          <w:sz w:val="1"/>
          <w:szCs w:val="1"/>
          <w:color w:val="auto"/>
        </w:rPr>
        <w:drawing>
          <wp:inline distT="0" distB="0" distL="0" distR="0">
            <wp:extent cx="810260" cy="15113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1" w:name="page62"/>
    <w:bookmarkEnd w:id="6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320" w:right="480" w:hanging="308"/>
        <w:spacing w:after="0" w:line="261" w:lineRule="auto"/>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vesting dates of AbbVie unexercisable stock options and unvested performance share and restricted stock unit awards outstanding at December 31, 2023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071D49"/>
            </w:tcBorders>
          </w:tcPr>
          <w:p>
            <w:pPr>
              <w:spacing w:after="0"/>
              <w:rPr>
                <w:sz w:val="12"/>
                <w:szCs w:val="12"/>
                <w:color w:val="auto"/>
              </w:rPr>
            </w:pPr>
          </w:p>
        </w:tc>
        <w:tc>
          <w:tcPr>
            <w:tcW w:w="160" w:type="dxa"/>
            <w:vAlign w:val="bottom"/>
            <w:tcBorders>
              <w:bottom w:val="single" w:sz="8" w:color="071D49"/>
            </w:tcBorders>
          </w:tcPr>
          <w:p>
            <w:pPr>
              <w:spacing w:after="0"/>
              <w:rPr>
                <w:sz w:val="12"/>
                <w:szCs w:val="12"/>
                <w:color w:val="auto"/>
              </w:rPr>
            </w:pPr>
          </w:p>
        </w:tc>
        <w:tc>
          <w:tcPr>
            <w:tcW w:w="60" w:type="dxa"/>
            <w:vAlign w:val="bottom"/>
            <w:tcBorders>
              <w:bottom w:val="single" w:sz="8" w:color="071D49"/>
            </w:tcBorders>
          </w:tcPr>
          <w:p>
            <w:pPr>
              <w:spacing w:after="0"/>
              <w:rPr>
                <w:sz w:val="12"/>
                <w:szCs w:val="12"/>
                <w:color w:val="auto"/>
              </w:rPr>
            </w:pPr>
          </w:p>
        </w:tc>
        <w:tc>
          <w:tcPr>
            <w:tcW w:w="480" w:type="dxa"/>
            <w:vAlign w:val="bottom"/>
            <w:tcBorders>
              <w:bottom w:val="single" w:sz="8" w:color="071D49"/>
            </w:tcBorders>
          </w:tcPr>
          <w:p>
            <w:pPr>
              <w:spacing w:after="0"/>
              <w:rPr>
                <w:sz w:val="12"/>
                <w:szCs w:val="12"/>
                <w:color w:val="auto"/>
              </w:rPr>
            </w:pPr>
          </w:p>
        </w:tc>
        <w:tc>
          <w:tcPr>
            <w:tcW w:w="920" w:type="dxa"/>
            <w:vAlign w:val="bottom"/>
            <w:tcBorders>
              <w:bottom w:val="single" w:sz="8" w:color="071D49"/>
            </w:tcBorders>
            <w:gridSpan w:val="3"/>
          </w:tcPr>
          <w:p>
            <w:pPr>
              <w:jc w:val="right"/>
              <w:ind w:right="22"/>
              <w:spacing w:after="0"/>
              <w:rPr>
                <w:sz w:val="20"/>
                <w:szCs w:val="20"/>
                <w:color w:val="auto"/>
              </w:rPr>
            </w:pPr>
            <w:r>
              <w:rPr>
                <w:rFonts w:ascii="Arial" w:cs="Arial" w:eastAsia="Arial" w:hAnsi="Arial"/>
                <w:sz w:val="12"/>
                <w:szCs w:val="12"/>
                <w:b w:val="1"/>
                <w:bCs w:val="1"/>
                <w:color w:val="454968"/>
                <w:w w:val="96"/>
              </w:rPr>
              <w:t>Option Awards</w:t>
            </w:r>
          </w:p>
        </w:tc>
        <w:tc>
          <w:tcPr>
            <w:tcW w:w="440" w:type="dxa"/>
            <w:vAlign w:val="bottom"/>
            <w:tcBorders>
              <w:bottom w:val="single" w:sz="8" w:color="071D49"/>
            </w:tcBorders>
          </w:tcPr>
          <w:p>
            <w:pPr>
              <w:spacing w:after="0"/>
              <w:rPr>
                <w:sz w:val="12"/>
                <w:szCs w:val="12"/>
                <w:color w:val="auto"/>
              </w:rPr>
            </w:pPr>
          </w:p>
        </w:tc>
        <w:tc>
          <w:tcPr>
            <w:tcW w:w="960" w:type="dxa"/>
            <w:vAlign w:val="bottom"/>
            <w:tcBorders>
              <w:bottom w:val="single" w:sz="8" w:color="071D49"/>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071D49"/>
            </w:tcBorders>
          </w:tcPr>
          <w:p>
            <w:pPr>
              <w:spacing w:after="0"/>
              <w:rPr>
                <w:sz w:val="12"/>
                <w:szCs w:val="12"/>
                <w:color w:val="auto"/>
              </w:rPr>
            </w:pPr>
          </w:p>
        </w:tc>
        <w:tc>
          <w:tcPr>
            <w:tcW w:w="2140" w:type="dxa"/>
            <w:vAlign w:val="bottom"/>
            <w:tcBorders>
              <w:bottom w:val="single" w:sz="8" w:color="071D49"/>
            </w:tcBorders>
            <w:gridSpan w:val="2"/>
          </w:tcPr>
          <w:p>
            <w:pPr>
              <w:jc w:val="right"/>
              <w:ind w:right="302"/>
              <w:spacing w:after="0"/>
              <w:rPr>
                <w:sz w:val="20"/>
                <w:szCs w:val="20"/>
                <w:color w:val="auto"/>
              </w:rPr>
            </w:pPr>
            <w:r>
              <w:rPr>
                <w:rFonts w:ascii="Arial" w:cs="Arial" w:eastAsia="Arial" w:hAnsi="Arial"/>
                <w:sz w:val="12"/>
                <w:szCs w:val="12"/>
                <w:b w:val="1"/>
                <w:bCs w:val="1"/>
                <w:color w:val="454968"/>
              </w:rPr>
              <w:t>Stock or Unit Awards</w:t>
            </w:r>
          </w:p>
        </w:tc>
        <w:tc>
          <w:tcPr>
            <w:tcW w:w="1000" w:type="dxa"/>
            <w:vAlign w:val="bottom"/>
            <w:tcBorders>
              <w:bottom w:val="single" w:sz="8" w:color="071D49"/>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60"/>
              <w:spacing w:after="0" w:line="100" w:lineRule="exact"/>
              <w:rPr>
                <w:sz w:val="20"/>
                <w:szCs w:val="20"/>
                <w:color w:val="auto"/>
              </w:rPr>
            </w:pPr>
            <w:r>
              <w:rPr>
                <w:rFonts w:ascii="Arial" w:cs="Arial" w:eastAsia="Arial" w:hAnsi="Arial"/>
                <w:sz w:val="11"/>
                <w:szCs w:val="11"/>
                <w:b w:val="1"/>
                <w:bCs w:val="1"/>
                <w:color w:val="454968"/>
              </w:rPr>
              <w:t>Number of</w:t>
            </w:r>
          </w:p>
        </w:tc>
        <w:tc>
          <w:tcPr>
            <w:tcW w:w="60" w:type="dxa"/>
            <w:vAlign w:val="bottom"/>
          </w:tcPr>
          <w:p>
            <w:pPr>
              <w:spacing w:after="0"/>
              <w:rPr>
                <w:sz w:val="8"/>
                <w:szCs w:val="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454968"/>
              </w:rPr>
              <w:t>Number of</w:t>
            </w:r>
          </w:p>
        </w:tc>
        <w:tc>
          <w:tcPr>
            <w:tcW w:w="80" w:type="dxa"/>
            <w:vAlign w:val="bottom"/>
          </w:tcPr>
          <w:p>
            <w:pPr>
              <w:spacing w:after="0"/>
              <w:rPr>
                <w:sz w:val="8"/>
                <w:szCs w:val="8"/>
                <w:color w:val="auto"/>
              </w:rPr>
            </w:pPr>
          </w:p>
        </w:tc>
        <w:tc>
          <w:tcPr>
            <w:tcW w:w="900" w:type="dxa"/>
            <w:vAlign w:val="bottom"/>
            <w:gridSpan w:val="2"/>
            <w:vMerge w:val="restart"/>
          </w:tcPr>
          <w:p>
            <w:pPr>
              <w:jc w:val="right"/>
              <w:ind w:right="38"/>
              <w:spacing w:after="0"/>
              <w:rPr>
                <w:sz w:val="20"/>
                <w:szCs w:val="20"/>
                <w:color w:val="auto"/>
              </w:rPr>
            </w:pPr>
            <w:r>
              <w:rPr>
                <w:rFonts w:ascii="Arial" w:cs="Arial" w:eastAsia="Arial" w:hAnsi="Arial"/>
                <w:sz w:val="12"/>
                <w:szCs w:val="12"/>
                <w:b w:val="1"/>
                <w:bCs w:val="1"/>
                <w:color w:val="454968"/>
              </w:rPr>
              <w:t>Number of</w:t>
            </w:r>
          </w:p>
        </w:tc>
        <w:tc>
          <w:tcPr>
            <w:tcW w:w="960" w:type="dxa"/>
            <w:vAlign w:val="bottom"/>
            <w:tcBorders>
              <w:right w:val="single" w:sz="8" w:color="071D49"/>
            </w:tcBorders>
            <w:vMerge w:val="restart"/>
          </w:tcPr>
          <w:p>
            <w:pPr>
              <w:jc w:val="right"/>
              <w:ind w:right="80"/>
              <w:spacing w:after="0"/>
              <w:rPr>
                <w:sz w:val="20"/>
                <w:szCs w:val="20"/>
                <w:color w:val="auto"/>
              </w:rPr>
            </w:pPr>
            <w:r>
              <w:rPr>
                <w:rFonts w:ascii="Arial" w:cs="Arial" w:eastAsia="Arial" w:hAnsi="Arial"/>
                <w:sz w:val="12"/>
                <w:szCs w:val="12"/>
                <w:b w:val="1"/>
                <w:bCs w:val="1"/>
                <w:color w:val="454968"/>
              </w:rPr>
              <w:t>Number of</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jc w:val="right"/>
              <w:ind w:right="71"/>
              <w:spacing w:after="0" w:line="100" w:lineRule="exact"/>
              <w:rPr>
                <w:sz w:val="20"/>
                <w:szCs w:val="20"/>
                <w:color w:val="auto"/>
              </w:rPr>
            </w:pPr>
            <w:r>
              <w:rPr>
                <w:rFonts w:ascii="Arial" w:cs="Arial" w:eastAsia="Arial" w:hAnsi="Arial"/>
                <w:sz w:val="11"/>
                <w:szCs w:val="11"/>
                <w:b w:val="1"/>
                <w:bCs w:val="1"/>
                <w:color w:val="454968"/>
              </w:rPr>
              <w:t>Number of</w:t>
            </w:r>
          </w:p>
        </w:tc>
        <w:tc>
          <w:tcPr>
            <w:tcW w:w="1060" w:type="dxa"/>
            <w:vAlign w:val="bottom"/>
          </w:tcPr>
          <w:p>
            <w:pPr>
              <w:jc w:val="right"/>
              <w:ind w:right="42"/>
              <w:spacing w:after="0" w:line="100" w:lineRule="exact"/>
              <w:rPr>
                <w:sz w:val="20"/>
                <w:szCs w:val="20"/>
                <w:color w:val="auto"/>
              </w:rPr>
            </w:pPr>
            <w:r>
              <w:rPr>
                <w:rFonts w:ascii="Arial" w:cs="Arial" w:eastAsia="Arial" w:hAnsi="Arial"/>
                <w:sz w:val="11"/>
                <w:szCs w:val="11"/>
                <w:b w:val="1"/>
                <w:bCs w:val="1"/>
                <w:color w:val="454968"/>
              </w:rPr>
              <w:t>Number of</w:t>
            </w:r>
          </w:p>
        </w:tc>
        <w:tc>
          <w:tcPr>
            <w:tcW w:w="1000" w:type="dxa"/>
            <w:vAlign w:val="bottom"/>
          </w:tcPr>
          <w:p>
            <w:pPr>
              <w:jc w:val="right"/>
              <w:spacing w:after="0" w:line="100" w:lineRule="exact"/>
              <w:rPr>
                <w:sz w:val="20"/>
                <w:szCs w:val="20"/>
                <w:color w:val="auto"/>
              </w:rPr>
            </w:pPr>
            <w:r>
              <w:rPr>
                <w:rFonts w:ascii="Arial" w:cs="Arial" w:eastAsia="Arial" w:hAnsi="Arial"/>
                <w:sz w:val="11"/>
                <w:szCs w:val="11"/>
                <w:b w:val="1"/>
                <w:bCs w:val="1"/>
                <w:color w:val="454968"/>
              </w:rPr>
              <w:t>Number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454968"/>
              </w:rPr>
              <w:t>Unexercised</w:t>
            </w: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60" w:type="dxa"/>
            <w:vAlign w:val="bottom"/>
            <w:tcBorders>
              <w:right w:val="single" w:sz="8" w:color="071D49"/>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454968"/>
                <w:w w:val="99"/>
              </w:rPr>
              <w:t>Number of</w:t>
            </w: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b w:val="1"/>
                <w:bCs w:val="1"/>
                <w:color w:val="454968"/>
              </w:rPr>
              <w:t>Shares of</w:t>
            </w:r>
          </w:p>
        </w:tc>
        <w:tc>
          <w:tcPr>
            <w:tcW w:w="10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Shares of</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Shares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454968"/>
              </w:rPr>
              <w:t>Shares</w:t>
            </w:r>
          </w:p>
        </w:tc>
        <w:tc>
          <w:tcPr>
            <w:tcW w:w="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454968"/>
              </w:rPr>
              <w:t>Option</w:t>
            </w:r>
          </w:p>
        </w:tc>
        <w:tc>
          <w:tcPr>
            <w:tcW w:w="80" w:type="dxa"/>
            <w:vAlign w:val="bottom"/>
          </w:tcPr>
          <w:p>
            <w:pPr>
              <w:spacing w:after="0"/>
              <w:rPr>
                <w:sz w:val="10"/>
                <w:szCs w:val="10"/>
                <w:color w:val="auto"/>
              </w:rPr>
            </w:pPr>
          </w:p>
        </w:tc>
        <w:tc>
          <w:tcPr>
            <w:tcW w:w="900" w:type="dxa"/>
            <w:vAlign w:val="bottom"/>
            <w:gridSpan w:val="2"/>
          </w:tcPr>
          <w:p>
            <w:pPr>
              <w:jc w:val="right"/>
              <w:ind w:right="38"/>
              <w:spacing w:after="0" w:line="125" w:lineRule="exact"/>
              <w:rPr>
                <w:sz w:val="20"/>
                <w:szCs w:val="20"/>
                <w:color w:val="auto"/>
              </w:rPr>
            </w:pPr>
            <w:r>
              <w:rPr>
                <w:rFonts w:ascii="Arial" w:cs="Arial" w:eastAsia="Arial" w:hAnsi="Arial"/>
                <w:sz w:val="12"/>
                <w:szCs w:val="12"/>
                <w:b w:val="1"/>
                <w:bCs w:val="1"/>
                <w:color w:val="454968"/>
              </w:rPr>
              <w:t>Option</w:t>
            </w:r>
          </w:p>
        </w:tc>
        <w:tc>
          <w:tcPr>
            <w:tcW w:w="960" w:type="dxa"/>
            <w:vAlign w:val="bottom"/>
            <w:tcBorders>
              <w:right w:val="single" w:sz="8" w:color="071D49"/>
            </w:tcBorders>
          </w:tcPr>
          <w:p>
            <w:pPr>
              <w:jc w:val="right"/>
              <w:ind w:right="80"/>
              <w:spacing w:after="0" w:line="125" w:lineRule="exact"/>
              <w:rPr>
                <w:sz w:val="20"/>
                <w:szCs w:val="20"/>
                <w:color w:val="auto"/>
              </w:rPr>
            </w:pPr>
            <w:r>
              <w:rPr>
                <w:rFonts w:ascii="Arial" w:cs="Arial" w:eastAsia="Arial" w:hAnsi="Arial"/>
                <w:sz w:val="12"/>
                <w:szCs w:val="12"/>
                <w:b w:val="1"/>
                <w:bCs w:val="1"/>
                <w:color w:val="454968"/>
              </w:rPr>
              <w:t>Option</w:t>
            </w: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b w:val="1"/>
                <w:bCs w:val="1"/>
                <w:color w:val="454968"/>
              </w:rPr>
              <w:t>Restricted</w:t>
            </w:r>
          </w:p>
        </w:tc>
        <w:tc>
          <w:tcPr>
            <w:tcW w:w="10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Restricted</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Restricted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454968"/>
              </w:rPr>
              <w:t>Remaining</w:t>
            </w:r>
          </w:p>
        </w:tc>
        <w:tc>
          <w:tcPr>
            <w:tcW w:w="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454968"/>
              </w:rPr>
              <w:t>Shares</w:t>
            </w:r>
          </w:p>
        </w:tc>
        <w:tc>
          <w:tcPr>
            <w:tcW w:w="80" w:type="dxa"/>
            <w:vAlign w:val="bottom"/>
          </w:tcPr>
          <w:p>
            <w:pPr>
              <w:spacing w:after="0"/>
              <w:rPr>
                <w:sz w:val="10"/>
                <w:szCs w:val="10"/>
                <w:color w:val="auto"/>
              </w:rPr>
            </w:pPr>
          </w:p>
        </w:tc>
        <w:tc>
          <w:tcPr>
            <w:tcW w:w="900" w:type="dxa"/>
            <w:vAlign w:val="bottom"/>
            <w:gridSpan w:val="2"/>
          </w:tcPr>
          <w:p>
            <w:pPr>
              <w:jc w:val="right"/>
              <w:ind w:right="38"/>
              <w:spacing w:after="0" w:line="125" w:lineRule="exact"/>
              <w:rPr>
                <w:sz w:val="20"/>
                <w:szCs w:val="20"/>
                <w:color w:val="auto"/>
              </w:rPr>
            </w:pPr>
            <w:r>
              <w:rPr>
                <w:rFonts w:ascii="Arial" w:cs="Arial" w:eastAsia="Arial" w:hAnsi="Arial"/>
                <w:sz w:val="12"/>
                <w:szCs w:val="12"/>
                <w:b w:val="1"/>
                <w:bCs w:val="1"/>
                <w:color w:val="454968"/>
              </w:rPr>
              <w:t>Shares</w:t>
            </w:r>
          </w:p>
        </w:tc>
        <w:tc>
          <w:tcPr>
            <w:tcW w:w="960" w:type="dxa"/>
            <w:vAlign w:val="bottom"/>
            <w:tcBorders>
              <w:right w:val="single" w:sz="8" w:color="071D49"/>
            </w:tcBorders>
          </w:tcPr>
          <w:p>
            <w:pPr>
              <w:jc w:val="right"/>
              <w:ind w:right="80"/>
              <w:spacing w:after="0" w:line="125" w:lineRule="exact"/>
              <w:rPr>
                <w:sz w:val="20"/>
                <w:szCs w:val="20"/>
                <w:color w:val="auto"/>
              </w:rPr>
            </w:pPr>
            <w:r>
              <w:rPr>
                <w:rFonts w:ascii="Arial" w:cs="Arial" w:eastAsia="Arial" w:hAnsi="Arial"/>
                <w:sz w:val="12"/>
                <w:szCs w:val="12"/>
                <w:b w:val="1"/>
                <w:bCs w:val="1"/>
                <w:color w:val="454968"/>
              </w:rPr>
              <w:t>Shares</w:t>
            </w:r>
          </w:p>
        </w:tc>
        <w:tc>
          <w:tcPr>
            <w:tcW w:w="80" w:type="dxa"/>
            <w:vAlign w:val="bottom"/>
          </w:tcPr>
          <w:p>
            <w:pPr>
              <w:spacing w:after="0"/>
              <w:rPr>
                <w:sz w:val="10"/>
                <w:szCs w:val="10"/>
                <w:color w:val="auto"/>
              </w:rPr>
            </w:pPr>
          </w:p>
        </w:tc>
        <w:tc>
          <w:tcPr>
            <w:tcW w:w="72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Shares of</w:t>
            </w: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b w:val="1"/>
                <w:bCs w:val="1"/>
                <w:color w:val="454968"/>
              </w:rPr>
              <w:t>Stock or</w:t>
            </w:r>
          </w:p>
        </w:tc>
        <w:tc>
          <w:tcPr>
            <w:tcW w:w="10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Stock or</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Stock 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454968"/>
              </w:rPr>
              <w:t>from</w:t>
            </w:r>
          </w:p>
        </w:tc>
        <w:tc>
          <w:tcPr>
            <w:tcW w:w="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2"/>
                <w:szCs w:val="12"/>
                <w:b w:val="1"/>
                <w:bCs w:val="1"/>
                <w:color w:val="454968"/>
              </w:rPr>
              <w:t>Vesting—</w:t>
            </w:r>
          </w:p>
        </w:tc>
        <w:tc>
          <w:tcPr>
            <w:tcW w:w="80" w:type="dxa"/>
            <w:vAlign w:val="bottom"/>
          </w:tcPr>
          <w:p>
            <w:pPr>
              <w:spacing w:after="0"/>
              <w:rPr>
                <w:sz w:val="10"/>
                <w:szCs w:val="10"/>
                <w:color w:val="auto"/>
              </w:rPr>
            </w:pPr>
          </w:p>
        </w:tc>
        <w:tc>
          <w:tcPr>
            <w:tcW w:w="900" w:type="dxa"/>
            <w:vAlign w:val="bottom"/>
            <w:gridSpan w:val="2"/>
          </w:tcPr>
          <w:p>
            <w:pPr>
              <w:jc w:val="right"/>
              <w:ind w:right="38"/>
              <w:spacing w:after="0" w:line="125" w:lineRule="exact"/>
              <w:rPr>
                <w:sz w:val="20"/>
                <w:szCs w:val="20"/>
                <w:color w:val="auto"/>
              </w:rPr>
            </w:pPr>
            <w:r>
              <w:rPr>
                <w:rFonts w:ascii="Arial" w:cs="Arial" w:eastAsia="Arial" w:hAnsi="Arial"/>
                <w:sz w:val="12"/>
                <w:szCs w:val="12"/>
                <w:b w:val="1"/>
                <w:bCs w:val="1"/>
                <w:color w:val="454968"/>
              </w:rPr>
              <w:t>Vesting—</w:t>
            </w:r>
          </w:p>
        </w:tc>
        <w:tc>
          <w:tcPr>
            <w:tcW w:w="960" w:type="dxa"/>
            <w:vAlign w:val="bottom"/>
            <w:tcBorders>
              <w:right w:val="single" w:sz="8" w:color="071D49"/>
            </w:tcBorders>
          </w:tcPr>
          <w:p>
            <w:pPr>
              <w:jc w:val="right"/>
              <w:ind w:right="80"/>
              <w:spacing w:after="0" w:line="125" w:lineRule="exact"/>
              <w:rPr>
                <w:sz w:val="20"/>
                <w:szCs w:val="20"/>
                <w:color w:val="auto"/>
              </w:rPr>
            </w:pPr>
            <w:r>
              <w:rPr>
                <w:rFonts w:ascii="Arial" w:cs="Arial" w:eastAsia="Arial" w:hAnsi="Arial"/>
                <w:sz w:val="12"/>
                <w:szCs w:val="12"/>
                <w:b w:val="1"/>
                <w:bCs w:val="1"/>
                <w:color w:val="454968"/>
              </w:rPr>
              <w:t>Vesting—</w:t>
            </w:r>
          </w:p>
        </w:tc>
        <w:tc>
          <w:tcPr>
            <w:tcW w:w="80" w:type="dxa"/>
            <w:vAlign w:val="bottom"/>
          </w:tcPr>
          <w:p>
            <w:pPr>
              <w:spacing w:after="0"/>
              <w:rPr>
                <w:sz w:val="10"/>
                <w:szCs w:val="10"/>
                <w:color w:val="auto"/>
              </w:rPr>
            </w:pPr>
          </w:p>
        </w:tc>
        <w:tc>
          <w:tcPr>
            <w:tcW w:w="72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Restricted</w:t>
            </w: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b w:val="1"/>
                <w:bCs w:val="1"/>
                <w:color w:val="454968"/>
              </w:rPr>
              <w:t>Units Vesting—</w:t>
            </w:r>
          </w:p>
        </w:tc>
        <w:tc>
          <w:tcPr>
            <w:tcW w:w="10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Units Vesting—</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Units Vesting—</w:t>
            </w:r>
          </w:p>
        </w:tc>
        <w:tc>
          <w:tcPr>
            <w:tcW w:w="0" w:type="dxa"/>
            <w:vAlign w:val="bottom"/>
          </w:tcPr>
          <w:p>
            <w:pPr>
              <w:spacing w:after="0"/>
              <w:rPr>
                <w:sz w:val="1"/>
                <w:szCs w:val="1"/>
                <w:color w:val="auto"/>
              </w:rPr>
            </w:pPr>
          </w:p>
        </w:tc>
      </w:tr>
      <w:tr>
        <w:trPr>
          <w:trHeight w:val="125"/>
        </w:trPr>
        <w:tc>
          <w:tcPr>
            <w:tcW w:w="1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454968"/>
              </w:rPr>
              <w:t>Name</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5" w:lineRule="exact"/>
              <w:rPr>
                <w:sz w:val="20"/>
                <w:szCs w:val="20"/>
                <w:color w:val="auto"/>
              </w:rPr>
            </w:pPr>
            <w:r>
              <w:rPr>
                <w:rFonts w:ascii="Arial" w:cs="Arial" w:eastAsia="Arial" w:hAnsi="Arial"/>
                <w:sz w:val="12"/>
                <w:szCs w:val="12"/>
                <w:b w:val="1"/>
                <w:bCs w:val="1"/>
                <w:color w:val="454968"/>
              </w:rPr>
              <w:t>Original</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Date</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jc w:val="right"/>
              <w:ind w:right="38"/>
              <w:spacing w:after="0" w:line="125" w:lineRule="exact"/>
              <w:rPr>
                <w:sz w:val="20"/>
                <w:szCs w:val="20"/>
                <w:color w:val="auto"/>
              </w:rPr>
            </w:pPr>
            <w:r>
              <w:rPr>
                <w:rFonts w:ascii="Arial" w:cs="Arial" w:eastAsia="Arial" w:hAnsi="Arial"/>
                <w:sz w:val="12"/>
                <w:szCs w:val="12"/>
                <w:b w:val="1"/>
                <w:bCs w:val="1"/>
                <w:color w:val="454968"/>
              </w:rPr>
              <w:t>Date</w:t>
            </w:r>
          </w:p>
        </w:tc>
        <w:tc>
          <w:tcPr>
            <w:tcW w:w="960" w:type="dxa"/>
            <w:vAlign w:val="bottom"/>
            <w:tcBorders>
              <w:right w:val="single" w:sz="8" w:color="071D49"/>
            </w:tcBorders>
          </w:tcPr>
          <w:p>
            <w:pPr>
              <w:jc w:val="right"/>
              <w:ind w:right="80"/>
              <w:spacing w:after="0" w:line="125" w:lineRule="exact"/>
              <w:rPr>
                <w:sz w:val="20"/>
                <w:szCs w:val="20"/>
                <w:color w:val="auto"/>
              </w:rPr>
            </w:pPr>
            <w:r>
              <w:rPr>
                <w:rFonts w:ascii="Arial" w:cs="Arial" w:eastAsia="Arial" w:hAnsi="Arial"/>
                <w:sz w:val="12"/>
                <w:szCs w:val="12"/>
                <w:b w:val="1"/>
                <w:bCs w:val="1"/>
                <w:color w:val="454968"/>
              </w:rPr>
              <w:t>Date</w:t>
            </w:r>
          </w:p>
        </w:tc>
        <w:tc>
          <w:tcPr>
            <w:tcW w:w="80" w:type="dxa"/>
            <w:vAlign w:val="bottom"/>
          </w:tcPr>
          <w:p>
            <w:pPr>
              <w:spacing w:after="0"/>
              <w:rPr>
                <w:sz w:val="10"/>
                <w:szCs w:val="10"/>
                <w:color w:val="auto"/>
              </w:rPr>
            </w:pPr>
          </w:p>
        </w:tc>
        <w:tc>
          <w:tcPr>
            <w:tcW w:w="72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Stock or</w:t>
            </w:r>
          </w:p>
        </w:tc>
        <w:tc>
          <w:tcPr>
            <w:tcW w:w="1080" w:type="dxa"/>
            <w:vAlign w:val="bottom"/>
          </w:tcPr>
          <w:p>
            <w:pPr>
              <w:jc w:val="right"/>
              <w:ind w:right="71"/>
              <w:spacing w:after="0" w:line="125" w:lineRule="exact"/>
              <w:rPr>
                <w:sz w:val="20"/>
                <w:szCs w:val="20"/>
                <w:color w:val="auto"/>
              </w:rPr>
            </w:pPr>
            <w:r>
              <w:rPr>
                <w:rFonts w:ascii="Arial" w:cs="Arial" w:eastAsia="Arial" w:hAnsi="Arial"/>
                <w:sz w:val="12"/>
                <w:szCs w:val="12"/>
                <w:b w:val="1"/>
                <w:bCs w:val="1"/>
                <w:color w:val="454968"/>
              </w:rPr>
              <w:t>Date</w:t>
            </w:r>
          </w:p>
        </w:tc>
        <w:tc>
          <w:tcPr>
            <w:tcW w:w="106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454968"/>
              </w:rPr>
              <w:t>Date</w:t>
            </w:r>
          </w:p>
        </w:tc>
        <w:tc>
          <w:tcPr>
            <w:tcW w:w="1000" w:type="dxa"/>
            <w:vAlign w:val="bottom"/>
          </w:tcPr>
          <w:p>
            <w:pPr>
              <w:jc w:val="right"/>
              <w:spacing w:after="0" w:line="125" w:lineRule="exact"/>
              <w:rPr>
                <w:sz w:val="20"/>
                <w:szCs w:val="20"/>
                <w:color w:val="auto"/>
              </w:rPr>
            </w:pPr>
            <w:r>
              <w:rPr>
                <w:rFonts w:ascii="Arial" w:cs="Arial" w:eastAsia="Arial" w:hAnsi="Arial"/>
                <w:sz w:val="12"/>
                <w:szCs w:val="12"/>
                <w:b w:val="1"/>
                <w:bCs w:val="1"/>
                <w:color w:val="454968"/>
              </w:rPr>
              <w:t>Date</w:t>
            </w:r>
          </w:p>
        </w:tc>
        <w:tc>
          <w:tcPr>
            <w:tcW w:w="0" w:type="dxa"/>
            <w:vAlign w:val="bottom"/>
          </w:tcPr>
          <w:p>
            <w:pPr>
              <w:spacing w:after="0"/>
              <w:rPr>
                <w:sz w:val="1"/>
                <w:szCs w:val="1"/>
                <w:color w:val="auto"/>
              </w:rPr>
            </w:pPr>
          </w:p>
        </w:tc>
      </w:tr>
      <w:tr>
        <w:trPr>
          <w:trHeight w:val="143"/>
        </w:trPr>
        <w:tc>
          <w:tcPr>
            <w:tcW w:w="1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454968"/>
              </w:rPr>
              <w:t>Grant</w:t>
            </w:r>
          </w:p>
        </w:tc>
        <w:tc>
          <w:tcPr>
            <w:tcW w:w="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b w:val="1"/>
                <w:bCs w:val="1"/>
                <w:color w:val="454968"/>
              </w:rPr>
              <w:t>Vested 2024</w:t>
            </w:r>
          </w:p>
        </w:tc>
        <w:tc>
          <w:tcPr>
            <w:tcW w:w="80" w:type="dxa"/>
            <w:vAlign w:val="bottom"/>
          </w:tcPr>
          <w:p>
            <w:pPr>
              <w:spacing w:after="0"/>
              <w:rPr>
                <w:sz w:val="12"/>
                <w:szCs w:val="12"/>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2"/>
                <w:szCs w:val="12"/>
                <w:b w:val="1"/>
                <w:bCs w:val="1"/>
                <w:color w:val="454968"/>
              </w:rPr>
              <w:t>Vested 2025</w:t>
            </w:r>
          </w:p>
        </w:tc>
        <w:tc>
          <w:tcPr>
            <w:tcW w:w="960" w:type="dxa"/>
            <w:vAlign w:val="bottom"/>
            <w:tcBorders>
              <w:right w:val="single" w:sz="8" w:color="071D49"/>
            </w:tcBorders>
          </w:tcPr>
          <w:p>
            <w:pPr>
              <w:jc w:val="right"/>
              <w:ind w:right="80"/>
              <w:spacing w:after="0"/>
              <w:rPr>
                <w:sz w:val="20"/>
                <w:szCs w:val="20"/>
                <w:color w:val="auto"/>
              </w:rPr>
            </w:pPr>
            <w:r>
              <w:rPr>
                <w:rFonts w:ascii="Arial" w:cs="Arial" w:eastAsia="Arial" w:hAnsi="Arial"/>
                <w:sz w:val="12"/>
                <w:szCs w:val="12"/>
                <w:b w:val="1"/>
                <w:bCs w:val="1"/>
                <w:color w:val="454968"/>
              </w:rPr>
              <w:t>Vested 2026</w:t>
            </w:r>
          </w:p>
        </w:tc>
        <w:tc>
          <w:tcPr>
            <w:tcW w:w="80" w:type="dxa"/>
            <w:vAlign w:val="bottom"/>
          </w:tcPr>
          <w:p>
            <w:pPr>
              <w:spacing w:after="0"/>
              <w:rPr>
                <w:sz w:val="12"/>
                <w:szCs w:val="12"/>
                <w:color w:val="auto"/>
              </w:rPr>
            </w:pPr>
          </w:p>
        </w:tc>
        <w:tc>
          <w:tcPr>
            <w:tcW w:w="720" w:type="dxa"/>
            <w:vAlign w:val="bottom"/>
          </w:tcPr>
          <w:p>
            <w:pPr>
              <w:jc w:val="right"/>
              <w:ind w:right="42"/>
              <w:spacing w:after="0"/>
              <w:rPr>
                <w:sz w:val="20"/>
                <w:szCs w:val="20"/>
                <w:color w:val="auto"/>
              </w:rPr>
            </w:pPr>
            <w:r>
              <w:rPr>
                <w:rFonts w:ascii="Arial" w:cs="Arial" w:eastAsia="Arial" w:hAnsi="Arial"/>
                <w:sz w:val="12"/>
                <w:szCs w:val="12"/>
                <w:b w:val="1"/>
                <w:bCs w:val="1"/>
                <w:color w:val="454968"/>
              </w:rPr>
              <w:t>Units</w:t>
            </w:r>
          </w:p>
        </w:tc>
        <w:tc>
          <w:tcPr>
            <w:tcW w:w="1080" w:type="dxa"/>
            <w:vAlign w:val="bottom"/>
          </w:tcPr>
          <w:p>
            <w:pPr>
              <w:jc w:val="right"/>
              <w:ind w:right="71"/>
              <w:spacing w:after="0"/>
              <w:rPr>
                <w:sz w:val="20"/>
                <w:szCs w:val="20"/>
                <w:color w:val="auto"/>
              </w:rPr>
            </w:pPr>
            <w:r>
              <w:rPr>
                <w:rFonts w:ascii="Arial" w:cs="Arial" w:eastAsia="Arial" w:hAnsi="Arial"/>
                <w:sz w:val="12"/>
                <w:szCs w:val="12"/>
                <w:b w:val="1"/>
                <w:bCs w:val="1"/>
                <w:color w:val="454968"/>
              </w:rPr>
              <w:t>Vested 2024</w:t>
            </w:r>
          </w:p>
        </w:tc>
        <w:tc>
          <w:tcPr>
            <w:tcW w:w="1060" w:type="dxa"/>
            <w:vAlign w:val="bottom"/>
          </w:tcPr>
          <w:p>
            <w:pPr>
              <w:jc w:val="right"/>
              <w:ind w:right="42"/>
              <w:spacing w:after="0"/>
              <w:rPr>
                <w:sz w:val="20"/>
                <w:szCs w:val="20"/>
                <w:color w:val="auto"/>
              </w:rPr>
            </w:pPr>
            <w:r>
              <w:rPr>
                <w:rFonts w:ascii="Arial" w:cs="Arial" w:eastAsia="Arial" w:hAnsi="Arial"/>
                <w:sz w:val="12"/>
                <w:szCs w:val="12"/>
                <w:b w:val="1"/>
                <w:bCs w:val="1"/>
                <w:color w:val="454968"/>
              </w:rPr>
              <w:t>Vested 2025</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454968"/>
              </w:rPr>
              <w:t>Vested 2026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80" w:type="dxa"/>
            <w:vAlign w:val="bottom"/>
            <w:tcBorders>
              <w:top w:val="single" w:sz="8" w:color="071D49"/>
            </w:tcBorders>
            <w:shd w:val="clear" w:color="auto" w:fill="D9D9D9"/>
          </w:tcPr>
          <w:p>
            <w:pPr>
              <w:spacing w:after="0" w:line="113" w:lineRule="exact"/>
              <w:rPr>
                <w:sz w:val="20"/>
                <w:szCs w:val="20"/>
                <w:color w:val="auto"/>
              </w:rPr>
            </w:pPr>
            <w:r>
              <w:rPr>
                <w:rFonts w:ascii="Arial" w:cs="Arial" w:eastAsia="Arial" w:hAnsi="Arial"/>
                <w:sz w:val="13"/>
                <w:szCs w:val="13"/>
                <w:color w:val="auto"/>
              </w:rPr>
              <w:t>R. Gonzalez</w:t>
            </w:r>
          </w:p>
        </w:tc>
        <w:tc>
          <w:tcPr>
            <w:tcW w:w="880" w:type="dxa"/>
            <w:vAlign w:val="bottom"/>
            <w:tcBorders>
              <w:top w:val="single" w:sz="8" w:color="071D49"/>
            </w:tcBorders>
            <w:gridSpan w:val="3"/>
            <w:shd w:val="clear" w:color="auto" w:fill="D9D9D9"/>
          </w:tcPr>
          <w:p>
            <w:pPr>
              <w:jc w:val="right"/>
              <w:ind w:right="60"/>
              <w:spacing w:after="0" w:line="113" w:lineRule="exact"/>
              <w:rPr>
                <w:sz w:val="20"/>
                <w:szCs w:val="20"/>
                <w:color w:val="auto"/>
              </w:rPr>
            </w:pPr>
            <w:r>
              <w:rPr>
                <w:rFonts w:ascii="Arial" w:cs="Arial" w:eastAsia="Arial" w:hAnsi="Arial"/>
                <w:sz w:val="13"/>
                <w:szCs w:val="13"/>
                <w:color w:val="auto"/>
              </w:rPr>
              <w:t>64,182</w:t>
            </w:r>
          </w:p>
        </w:tc>
        <w:tc>
          <w:tcPr>
            <w:tcW w:w="540" w:type="dxa"/>
            <w:vAlign w:val="bottom"/>
            <w:tcBorders>
              <w:top w:val="single" w:sz="8" w:color="071D49"/>
            </w:tcBorders>
            <w:gridSpan w:val="2"/>
            <w:shd w:val="clear" w:color="auto" w:fill="D9D9D9"/>
          </w:tcPr>
          <w:p>
            <w:pPr>
              <w:jc w:val="right"/>
              <w:spacing w:after="0" w:line="113" w:lineRule="exact"/>
              <w:rPr>
                <w:sz w:val="20"/>
                <w:szCs w:val="20"/>
                <w:color w:val="auto"/>
              </w:rPr>
            </w:pPr>
            <w:r>
              <w:rPr>
                <w:rFonts w:ascii="Arial" w:cs="Arial" w:eastAsia="Arial" w:hAnsi="Arial"/>
                <w:sz w:val="13"/>
                <w:szCs w:val="13"/>
                <w:color w:val="auto"/>
              </w:rPr>
              <w:t>64,182</w:t>
            </w:r>
          </w:p>
        </w:tc>
        <w:tc>
          <w:tcPr>
            <w:tcW w:w="380" w:type="dxa"/>
            <w:vAlign w:val="bottom"/>
            <w:tcBorders>
              <w:top w:val="single" w:sz="8" w:color="071D49"/>
            </w:tcBorders>
            <w:shd w:val="clear" w:color="auto" w:fill="D9D9D9"/>
          </w:tcPr>
          <w:p>
            <w:pPr>
              <w:jc w:val="right"/>
              <w:spacing w:after="0" w:line="113" w:lineRule="exact"/>
              <w:rPr>
                <w:sz w:val="20"/>
                <w:szCs w:val="20"/>
                <w:color w:val="auto"/>
              </w:rPr>
            </w:pPr>
            <w:r>
              <w:rPr>
                <w:rFonts w:ascii="Arial" w:cs="Arial" w:eastAsia="Arial" w:hAnsi="Arial"/>
                <w:sz w:val="13"/>
                <w:szCs w:val="13"/>
                <w:color w:val="auto"/>
                <w:w w:val="96"/>
              </w:rPr>
              <w:t>- 2/18</w:t>
            </w:r>
          </w:p>
        </w:tc>
        <w:tc>
          <w:tcPr>
            <w:tcW w:w="80" w:type="dxa"/>
            <w:vAlign w:val="bottom"/>
            <w:tcBorders>
              <w:top w:val="single" w:sz="8" w:color="071D49"/>
            </w:tcBorders>
            <w:shd w:val="clear" w:color="auto" w:fill="D9D9D9"/>
          </w:tcPr>
          <w:p>
            <w:pPr>
              <w:spacing w:after="0"/>
              <w:rPr>
                <w:sz w:val="9"/>
                <w:szCs w:val="9"/>
                <w:color w:val="auto"/>
              </w:rPr>
            </w:pPr>
          </w:p>
        </w:tc>
        <w:tc>
          <w:tcPr>
            <w:tcW w:w="460" w:type="dxa"/>
            <w:vAlign w:val="bottom"/>
            <w:tcBorders>
              <w:top w:val="single" w:sz="8" w:color="071D49"/>
            </w:tcBorders>
            <w:shd w:val="clear" w:color="auto" w:fill="D9D9D9"/>
          </w:tcPr>
          <w:p>
            <w:pPr>
              <w:spacing w:after="0"/>
              <w:rPr>
                <w:sz w:val="9"/>
                <w:szCs w:val="9"/>
                <w:color w:val="auto"/>
              </w:rPr>
            </w:pPr>
          </w:p>
        </w:tc>
        <w:tc>
          <w:tcPr>
            <w:tcW w:w="440" w:type="dxa"/>
            <w:vAlign w:val="bottom"/>
            <w:tcBorders>
              <w:top w:val="single" w:sz="8" w:color="071D49"/>
            </w:tcBorders>
            <w:shd w:val="clear" w:color="auto" w:fill="D9D9D9"/>
          </w:tcPr>
          <w:p>
            <w:pPr>
              <w:spacing w:after="0"/>
              <w:rPr>
                <w:sz w:val="9"/>
                <w:szCs w:val="9"/>
                <w:color w:val="auto"/>
              </w:rPr>
            </w:pPr>
          </w:p>
        </w:tc>
        <w:tc>
          <w:tcPr>
            <w:tcW w:w="960" w:type="dxa"/>
            <w:vAlign w:val="bottom"/>
            <w:tcBorders>
              <w:top w:val="single" w:sz="8" w:color="071D49"/>
              <w:right w:val="single" w:sz="8" w:color="071D49"/>
            </w:tcBorders>
            <w:shd w:val="clear" w:color="auto" w:fill="D9D9D9"/>
          </w:tcPr>
          <w:p>
            <w:pPr>
              <w:spacing w:after="0"/>
              <w:rPr>
                <w:sz w:val="9"/>
                <w:szCs w:val="9"/>
                <w:color w:val="auto"/>
              </w:rPr>
            </w:pPr>
          </w:p>
        </w:tc>
        <w:tc>
          <w:tcPr>
            <w:tcW w:w="800" w:type="dxa"/>
            <w:vAlign w:val="bottom"/>
            <w:tcBorders>
              <w:top w:val="single" w:sz="8" w:color="071D49"/>
            </w:tcBorders>
            <w:gridSpan w:val="2"/>
            <w:shd w:val="clear" w:color="auto" w:fill="D9D9D9"/>
          </w:tcPr>
          <w:p>
            <w:pPr>
              <w:jc w:val="right"/>
              <w:ind w:right="42"/>
              <w:spacing w:after="0" w:line="113" w:lineRule="exact"/>
              <w:rPr>
                <w:sz w:val="20"/>
                <w:szCs w:val="20"/>
                <w:color w:val="auto"/>
              </w:rPr>
            </w:pPr>
            <w:r>
              <w:rPr>
                <w:rFonts w:ascii="Arial" w:cs="Arial" w:eastAsia="Arial" w:hAnsi="Arial"/>
                <w:sz w:val="13"/>
                <w:szCs w:val="13"/>
                <w:color w:val="auto"/>
              </w:rPr>
              <w:t>58,534</w:t>
            </w:r>
          </w:p>
        </w:tc>
        <w:tc>
          <w:tcPr>
            <w:tcW w:w="1080" w:type="dxa"/>
            <w:vAlign w:val="bottom"/>
            <w:tcBorders>
              <w:top w:val="single" w:sz="8" w:color="071D49"/>
            </w:tcBorders>
            <w:shd w:val="clear" w:color="auto" w:fill="D9D9D9"/>
          </w:tcPr>
          <w:p>
            <w:pPr>
              <w:jc w:val="right"/>
              <w:ind w:right="71"/>
              <w:spacing w:after="0"/>
              <w:rPr>
                <w:sz w:val="20"/>
                <w:szCs w:val="20"/>
                <w:color w:val="auto"/>
              </w:rPr>
            </w:pPr>
            <w:r>
              <w:rPr>
                <w:rFonts w:ascii="Arial" w:cs="Arial" w:eastAsia="Arial" w:hAnsi="Arial"/>
                <w:sz w:val="9"/>
                <w:szCs w:val="9"/>
                <w:color w:val="auto"/>
              </w:rPr>
              <w:t>(a)</w:t>
            </w:r>
          </w:p>
        </w:tc>
        <w:tc>
          <w:tcPr>
            <w:tcW w:w="1060" w:type="dxa"/>
            <w:vAlign w:val="bottom"/>
            <w:tcBorders>
              <w:top w:val="single" w:sz="8" w:color="071D49"/>
            </w:tcBorders>
            <w:shd w:val="clear" w:color="auto" w:fill="D9D9D9"/>
          </w:tcPr>
          <w:p>
            <w:pPr>
              <w:spacing w:after="0"/>
              <w:rPr>
                <w:sz w:val="9"/>
                <w:szCs w:val="9"/>
                <w:color w:val="auto"/>
              </w:rPr>
            </w:pPr>
          </w:p>
        </w:tc>
        <w:tc>
          <w:tcPr>
            <w:tcW w:w="1000" w:type="dxa"/>
            <w:vAlign w:val="bottom"/>
            <w:tcBorders>
              <w:top w:val="single" w:sz="8" w:color="071D49"/>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105,078</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52,539</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- 2/17</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52,539</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- 2/17</w:t>
            </w: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19,511</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(b)</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114,787</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38,263</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- 2/16</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38,262</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- 2/16</w:t>
            </w:r>
          </w:p>
        </w:tc>
        <w:tc>
          <w:tcPr>
            <w:tcW w:w="960" w:type="dxa"/>
            <w:vAlign w:val="bottom"/>
            <w:tcBorders>
              <w:right w:val="single" w:sz="8" w:color="071D49"/>
            </w:tcBorders>
            <w:shd w:val="clear" w:color="auto" w:fill="D9D9D9"/>
          </w:tcPr>
          <w:p>
            <w:pPr>
              <w:jc w:val="right"/>
              <w:ind w:right="80"/>
              <w:spacing w:after="0" w:line="138" w:lineRule="exact"/>
              <w:rPr>
                <w:sz w:val="20"/>
                <w:szCs w:val="20"/>
                <w:color w:val="auto"/>
              </w:rPr>
            </w:pPr>
            <w:r>
              <w:rPr>
                <w:rFonts w:ascii="Arial" w:cs="Arial" w:eastAsia="Arial" w:hAnsi="Arial"/>
                <w:sz w:val="13"/>
                <w:szCs w:val="13"/>
                <w:color w:val="auto"/>
              </w:rPr>
              <w:t>38,262 - 2/16</w:t>
            </w: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49,813</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(c)</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33,208</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(d)</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45,448</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(e)</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6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440" w:type="dxa"/>
            <w:vAlign w:val="bottom"/>
            <w:shd w:val="clear" w:color="auto" w:fill="D9D9D9"/>
          </w:tcPr>
          <w:p>
            <w:pPr>
              <w:spacing w:after="0"/>
              <w:rPr>
                <w:sz w:val="13"/>
                <w:szCs w:val="13"/>
                <w:color w:val="auto"/>
              </w:rPr>
            </w:pPr>
          </w:p>
        </w:tc>
        <w:tc>
          <w:tcPr>
            <w:tcW w:w="960" w:type="dxa"/>
            <w:vAlign w:val="bottom"/>
            <w:tcBorders>
              <w:right w:val="single" w:sz="8" w:color="071D49"/>
            </w:tcBorders>
            <w:shd w:val="clear" w:color="auto" w:fill="D9D9D9"/>
          </w:tcPr>
          <w:p>
            <w:pPr>
              <w:spacing w:after="0"/>
              <w:rPr>
                <w:sz w:val="13"/>
                <w:szCs w:val="13"/>
                <w:color w:val="auto"/>
              </w:rPr>
            </w:pPr>
          </w:p>
        </w:tc>
        <w:tc>
          <w:tcPr>
            <w:tcW w:w="800" w:type="dxa"/>
            <w:vAlign w:val="bottom"/>
            <w:gridSpan w:val="2"/>
            <w:shd w:val="clear" w:color="auto" w:fill="D9D9D9"/>
          </w:tcPr>
          <w:p>
            <w:pPr>
              <w:jc w:val="right"/>
              <w:ind w:right="42"/>
              <w:spacing w:after="0"/>
              <w:rPr>
                <w:sz w:val="20"/>
                <w:szCs w:val="20"/>
                <w:color w:val="auto"/>
              </w:rPr>
            </w:pPr>
            <w:r>
              <w:rPr>
                <w:rFonts w:ascii="Arial" w:cs="Arial" w:eastAsia="Arial" w:hAnsi="Arial"/>
                <w:sz w:val="13"/>
                <w:szCs w:val="13"/>
                <w:color w:val="auto"/>
              </w:rPr>
              <w:t>45,448</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(f)</w:t>
            </w:r>
          </w:p>
        </w:tc>
        <w:tc>
          <w:tcPr>
            <w:tcW w:w="106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tcPr>
          <w:p>
            <w:pPr>
              <w:spacing w:after="0" w:line="120" w:lineRule="exact"/>
              <w:rPr>
                <w:sz w:val="20"/>
                <w:szCs w:val="20"/>
                <w:color w:val="auto"/>
              </w:rPr>
            </w:pPr>
            <w:r>
              <w:rPr>
                <w:rFonts w:ascii="Arial" w:cs="Arial" w:eastAsia="Arial" w:hAnsi="Arial"/>
                <w:sz w:val="13"/>
                <w:szCs w:val="13"/>
                <w:color w:val="auto"/>
              </w:rPr>
              <w:t>R. Michael</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21,739</w:t>
            </w:r>
          </w:p>
        </w:tc>
        <w:tc>
          <w:tcPr>
            <w:tcW w:w="6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Arial" w:cs="Arial" w:eastAsia="Arial" w:hAnsi="Arial"/>
                <w:sz w:val="13"/>
                <w:szCs w:val="13"/>
                <w:color w:val="auto"/>
              </w:rPr>
              <w:t>21,739</w:t>
            </w:r>
          </w:p>
        </w:tc>
        <w:tc>
          <w:tcPr>
            <w:tcW w:w="380" w:type="dxa"/>
            <w:vAlign w:val="bottom"/>
          </w:tcPr>
          <w:p>
            <w:pPr>
              <w:jc w:val="right"/>
              <w:spacing w:after="0" w:line="120" w:lineRule="exact"/>
              <w:rPr>
                <w:sz w:val="20"/>
                <w:szCs w:val="20"/>
                <w:color w:val="auto"/>
              </w:rPr>
            </w:pPr>
            <w:r>
              <w:rPr>
                <w:rFonts w:ascii="Arial" w:cs="Arial" w:eastAsia="Arial" w:hAnsi="Arial"/>
                <w:sz w:val="13"/>
                <w:szCs w:val="13"/>
                <w:color w:val="auto"/>
                <w:w w:val="96"/>
              </w:rPr>
              <w:t>- 2/18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Borders>
              <w:right w:val="single" w:sz="8" w:color="071D49"/>
            </w:tcBorders>
          </w:tcPr>
          <w:p>
            <w:pPr>
              <w:spacing w:after="0"/>
              <w:rPr>
                <w:sz w:val="10"/>
                <w:szCs w:val="10"/>
                <w:color w:val="auto"/>
              </w:rPr>
            </w:pPr>
          </w:p>
        </w:tc>
        <w:tc>
          <w:tcPr>
            <w:tcW w:w="800" w:type="dxa"/>
            <w:vAlign w:val="bottom"/>
            <w:gridSpan w:val="2"/>
          </w:tcPr>
          <w:p>
            <w:pPr>
              <w:jc w:val="right"/>
              <w:ind w:right="42"/>
              <w:spacing w:after="0" w:line="120" w:lineRule="exact"/>
              <w:rPr>
                <w:sz w:val="20"/>
                <w:szCs w:val="20"/>
                <w:color w:val="auto"/>
              </w:rPr>
            </w:pPr>
            <w:r>
              <w:rPr>
                <w:rFonts w:ascii="Arial" w:cs="Arial" w:eastAsia="Arial" w:hAnsi="Arial"/>
                <w:sz w:val="13"/>
                <w:szCs w:val="13"/>
                <w:color w:val="auto"/>
              </w:rPr>
              <w:t>19,826</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(a)</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32,107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16,054</w:t>
            </w: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w w:val="96"/>
              </w:rPr>
              <w:t>- 2/17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16,053</w:t>
            </w:r>
          </w:p>
        </w:tc>
        <w:tc>
          <w:tcPr>
            <w:tcW w:w="440" w:type="dxa"/>
            <w:vAlign w:val="bottom"/>
          </w:tcPr>
          <w:p>
            <w:pPr>
              <w:jc w:val="right"/>
              <w:ind w:right="38"/>
              <w:spacing w:after="0" w:line="138" w:lineRule="exact"/>
              <w:rPr>
                <w:sz w:val="20"/>
                <w:szCs w:val="20"/>
                <w:color w:val="auto"/>
              </w:rPr>
            </w:pPr>
            <w:r>
              <w:rPr>
                <w:rFonts w:ascii="Arial" w:cs="Arial" w:eastAsia="Arial" w:hAnsi="Arial"/>
                <w:sz w:val="13"/>
                <w:szCs w:val="13"/>
                <w:color w:val="auto"/>
                <w:w w:val="96"/>
              </w:rPr>
              <w:t>- 2/17</w:t>
            </w: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6,608</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(b)</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45,577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15,193</w:t>
            </w: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w w:val="96"/>
              </w:rPr>
              <w:t>- 2/16</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15,192</w:t>
            </w:r>
          </w:p>
        </w:tc>
        <w:tc>
          <w:tcPr>
            <w:tcW w:w="440" w:type="dxa"/>
            <w:vAlign w:val="bottom"/>
          </w:tcPr>
          <w:p>
            <w:pPr>
              <w:jc w:val="right"/>
              <w:ind w:right="38"/>
              <w:spacing w:after="0" w:line="138" w:lineRule="exact"/>
              <w:rPr>
                <w:sz w:val="20"/>
                <w:szCs w:val="20"/>
                <w:color w:val="auto"/>
              </w:rPr>
            </w:pPr>
            <w:r>
              <w:rPr>
                <w:rFonts w:ascii="Arial" w:cs="Arial" w:eastAsia="Arial" w:hAnsi="Arial"/>
                <w:sz w:val="13"/>
                <w:szCs w:val="13"/>
                <w:color w:val="auto"/>
                <w:w w:val="96"/>
              </w:rPr>
              <w:t>- 2/16</w:t>
            </w:r>
          </w:p>
        </w:tc>
        <w:tc>
          <w:tcPr>
            <w:tcW w:w="960" w:type="dxa"/>
            <w:vAlign w:val="bottom"/>
            <w:tcBorders>
              <w:right w:val="single" w:sz="8" w:color="071D49"/>
            </w:tcBorders>
          </w:tcPr>
          <w:p>
            <w:pPr>
              <w:jc w:val="right"/>
              <w:ind w:right="80"/>
              <w:spacing w:after="0" w:line="138" w:lineRule="exact"/>
              <w:rPr>
                <w:sz w:val="20"/>
                <w:szCs w:val="20"/>
                <w:color w:val="auto"/>
              </w:rPr>
            </w:pPr>
            <w:r>
              <w:rPr>
                <w:rFonts w:ascii="Arial" w:cs="Arial" w:eastAsia="Arial" w:hAnsi="Arial"/>
                <w:sz w:val="13"/>
                <w:szCs w:val="13"/>
                <w:color w:val="auto"/>
              </w:rPr>
              <w:t>15,192 - 2/16</w:t>
            </w: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15,220</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(c)</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10,146</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(d)</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18,045</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(e)</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071D49"/>
            </w:tcBorders>
          </w:tcPr>
          <w:p>
            <w:pPr>
              <w:spacing w:after="0"/>
              <w:rPr>
                <w:sz w:val="13"/>
                <w:szCs w:val="13"/>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auto"/>
              </w:rPr>
              <w:t>18,045</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(f)</w:t>
            </w: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shd w:val="clear" w:color="auto" w:fill="D9D9D9"/>
          </w:tcPr>
          <w:p>
            <w:pPr>
              <w:spacing w:after="0" w:line="120" w:lineRule="exact"/>
              <w:rPr>
                <w:sz w:val="20"/>
                <w:szCs w:val="20"/>
                <w:color w:val="auto"/>
              </w:rPr>
            </w:pPr>
            <w:r>
              <w:rPr>
                <w:rFonts w:ascii="Arial" w:cs="Arial" w:eastAsia="Arial" w:hAnsi="Arial"/>
                <w:sz w:val="13"/>
                <w:szCs w:val="13"/>
                <w:color w:val="auto"/>
              </w:rPr>
              <w:t>S. Reents</w:t>
            </w:r>
          </w:p>
        </w:tc>
        <w:tc>
          <w:tcPr>
            <w:tcW w:w="880" w:type="dxa"/>
            <w:vAlign w:val="bottom"/>
            <w:gridSpan w:val="3"/>
            <w:shd w:val="clear" w:color="auto" w:fill="D9D9D9"/>
          </w:tcPr>
          <w:p>
            <w:pPr>
              <w:jc w:val="right"/>
              <w:ind w:right="60"/>
              <w:spacing w:after="0" w:line="120" w:lineRule="exact"/>
              <w:rPr>
                <w:sz w:val="20"/>
                <w:szCs w:val="20"/>
                <w:color w:val="auto"/>
              </w:rPr>
            </w:pPr>
            <w:r>
              <w:rPr>
                <w:rFonts w:ascii="Arial" w:cs="Arial" w:eastAsia="Arial" w:hAnsi="Arial"/>
                <w:sz w:val="13"/>
                <w:szCs w:val="13"/>
                <w:color w:val="auto"/>
              </w:rPr>
              <w:t>5,175</w:t>
            </w:r>
          </w:p>
        </w:tc>
        <w:tc>
          <w:tcPr>
            <w:tcW w:w="540" w:type="dxa"/>
            <w:vAlign w:val="bottom"/>
            <w:gridSpan w:val="2"/>
            <w:shd w:val="clear" w:color="auto" w:fill="D9D9D9"/>
          </w:tcPr>
          <w:p>
            <w:pPr>
              <w:jc w:val="right"/>
              <w:spacing w:after="0" w:line="120" w:lineRule="exact"/>
              <w:rPr>
                <w:sz w:val="20"/>
                <w:szCs w:val="20"/>
                <w:color w:val="auto"/>
              </w:rPr>
            </w:pPr>
            <w:r>
              <w:rPr>
                <w:rFonts w:ascii="Arial" w:cs="Arial" w:eastAsia="Arial" w:hAnsi="Arial"/>
                <w:sz w:val="13"/>
                <w:szCs w:val="13"/>
                <w:color w:val="auto"/>
              </w:rPr>
              <w:t>5,175</w:t>
            </w:r>
          </w:p>
        </w:tc>
        <w:tc>
          <w:tcPr>
            <w:tcW w:w="380" w:type="dxa"/>
            <w:vAlign w:val="bottom"/>
            <w:shd w:val="clear" w:color="auto" w:fill="D9D9D9"/>
          </w:tcPr>
          <w:p>
            <w:pPr>
              <w:jc w:val="right"/>
              <w:spacing w:after="0" w:line="120" w:lineRule="exact"/>
              <w:rPr>
                <w:sz w:val="20"/>
                <w:szCs w:val="20"/>
                <w:color w:val="auto"/>
              </w:rPr>
            </w:pPr>
            <w:r>
              <w:rPr>
                <w:rFonts w:ascii="Arial" w:cs="Arial" w:eastAsia="Arial" w:hAnsi="Arial"/>
                <w:sz w:val="13"/>
                <w:szCs w:val="13"/>
                <w:color w:val="auto"/>
                <w:w w:val="96"/>
              </w:rPr>
              <w:t>- 2/18</w:t>
            </w:r>
          </w:p>
        </w:tc>
        <w:tc>
          <w:tcPr>
            <w:tcW w:w="8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960" w:type="dxa"/>
            <w:vAlign w:val="bottom"/>
            <w:tcBorders>
              <w:right w:val="single" w:sz="8" w:color="071D49"/>
            </w:tcBorders>
            <w:shd w:val="clear" w:color="auto" w:fill="D9D9D9"/>
          </w:tcPr>
          <w:p>
            <w:pPr>
              <w:spacing w:after="0"/>
              <w:rPr>
                <w:sz w:val="10"/>
                <w:szCs w:val="10"/>
                <w:color w:val="auto"/>
              </w:rPr>
            </w:pPr>
          </w:p>
        </w:tc>
        <w:tc>
          <w:tcPr>
            <w:tcW w:w="800" w:type="dxa"/>
            <w:vAlign w:val="bottom"/>
            <w:gridSpan w:val="2"/>
            <w:shd w:val="clear" w:color="auto" w:fill="D9D9D9"/>
          </w:tcPr>
          <w:p>
            <w:pPr>
              <w:jc w:val="right"/>
              <w:ind w:right="42"/>
              <w:spacing w:after="0" w:line="120" w:lineRule="exact"/>
              <w:rPr>
                <w:sz w:val="20"/>
                <w:szCs w:val="20"/>
                <w:color w:val="auto"/>
              </w:rPr>
            </w:pPr>
            <w:r>
              <w:rPr>
                <w:rFonts w:ascii="Arial" w:cs="Arial" w:eastAsia="Arial" w:hAnsi="Arial"/>
                <w:sz w:val="13"/>
                <w:szCs w:val="13"/>
                <w:color w:val="auto"/>
              </w:rPr>
              <w:t>4,720</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(a)</w:t>
            </w:r>
          </w:p>
        </w:tc>
        <w:tc>
          <w:tcPr>
            <w:tcW w:w="1060" w:type="dxa"/>
            <w:vAlign w:val="bottom"/>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7,588</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3,794</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- 2/17</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3,794</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- 2/17</w:t>
            </w: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1,573</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(b)</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33,760</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11,254</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- 2/16</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11,253</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- 2/16</w:t>
            </w:r>
          </w:p>
        </w:tc>
        <w:tc>
          <w:tcPr>
            <w:tcW w:w="960" w:type="dxa"/>
            <w:vAlign w:val="bottom"/>
            <w:tcBorders>
              <w:right w:val="single" w:sz="8" w:color="071D49"/>
            </w:tcBorders>
            <w:shd w:val="clear" w:color="auto" w:fill="D9D9D9"/>
          </w:tcPr>
          <w:p>
            <w:pPr>
              <w:jc w:val="right"/>
              <w:ind w:right="80"/>
              <w:spacing w:after="0" w:line="138" w:lineRule="exact"/>
              <w:rPr>
                <w:sz w:val="20"/>
                <w:szCs w:val="20"/>
                <w:color w:val="auto"/>
              </w:rPr>
            </w:pPr>
            <w:r>
              <w:rPr>
                <w:rFonts w:ascii="Arial" w:cs="Arial" w:eastAsia="Arial" w:hAnsi="Arial"/>
                <w:sz w:val="13"/>
                <w:szCs w:val="13"/>
                <w:color w:val="auto"/>
              </w:rPr>
              <w:t>11,253 - 2/16</w:t>
            </w: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3,597</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(c)</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2,398</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(d)</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13,367</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(e)</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13,367</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(f)</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6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440" w:type="dxa"/>
            <w:vAlign w:val="bottom"/>
            <w:shd w:val="clear" w:color="auto" w:fill="D9D9D9"/>
          </w:tcPr>
          <w:p>
            <w:pPr>
              <w:spacing w:after="0"/>
              <w:rPr>
                <w:sz w:val="13"/>
                <w:szCs w:val="13"/>
                <w:color w:val="auto"/>
              </w:rPr>
            </w:pPr>
          </w:p>
        </w:tc>
        <w:tc>
          <w:tcPr>
            <w:tcW w:w="960" w:type="dxa"/>
            <w:vAlign w:val="bottom"/>
            <w:tcBorders>
              <w:right w:val="single" w:sz="8" w:color="071D49"/>
            </w:tcBorders>
            <w:shd w:val="clear" w:color="auto" w:fill="D9D9D9"/>
          </w:tcPr>
          <w:p>
            <w:pPr>
              <w:spacing w:after="0"/>
              <w:rPr>
                <w:sz w:val="13"/>
                <w:szCs w:val="13"/>
                <w:color w:val="auto"/>
              </w:rPr>
            </w:pPr>
          </w:p>
        </w:tc>
        <w:tc>
          <w:tcPr>
            <w:tcW w:w="800" w:type="dxa"/>
            <w:vAlign w:val="bottom"/>
            <w:gridSpan w:val="2"/>
            <w:shd w:val="clear" w:color="auto" w:fill="D9D9D9"/>
          </w:tcPr>
          <w:p>
            <w:pPr>
              <w:jc w:val="right"/>
              <w:ind w:right="42"/>
              <w:spacing w:after="0"/>
              <w:rPr>
                <w:sz w:val="20"/>
                <w:szCs w:val="20"/>
                <w:color w:val="auto"/>
              </w:rPr>
            </w:pPr>
            <w:r>
              <w:rPr>
                <w:rFonts w:ascii="Arial" w:cs="Arial" w:eastAsia="Arial" w:hAnsi="Arial"/>
                <w:sz w:val="13"/>
                <w:szCs w:val="13"/>
                <w:color w:val="auto"/>
              </w:rPr>
              <w:t>6,918</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(g)</w:t>
            </w:r>
          </w:p>
        </w:tc>
        <w:tc>
          <w:tcPr>
            <w:tcW w:w="106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tcPr>
          <w:p>
            <w:pPr>
              <w:spacing w:after="0" w:line="120" w:lineRule="exact"/>
              <w:rPr>
                <w:sz w:val="20"/>
                <w:szCs w:val="20"/>
                <w:color w:val="auto"/>
              </w:rPr>
            </w:pPr>
            <w:r>
              <w:rPr>
                <w:rFonts w:ascii="Arial" w:cs="Arial" w:eastAsia="Arial" w:hAnsi="Arial"/>
                <w:sz w:val="13"/>
                <w:szCs w:val="13"/>
                <w:color w:val="auto"/>
              </w:rPr>
              <w:t>J. Stewart</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14,492</w:t>
            </w:r>
          </w:p>
        </w:tc>
        <w:tc>
          <w:tcPr>
            <w:tcW w:w="6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Arial" w:cs="Arial" w:eastAsia="Arial" w:hAnsi="Arial"/>
                <w:sz w:val="13"/>
                <w:szCs w:val="13"/>
                <w:color w:val="auto"/>
              </w:rPr>
              <w:t>14,492</w:t>
            </w:r>
          </w:p>
        </w:tc>
        <w:tc>
          <w:tcPr>
            <w:tcW w:w="380" w:type="dxa"/>
            <w:vAlign w:val="bottom"/>
          </w:tcPr>
          <w:p>
            <w:pPr>
              <w:jc w:val="right"/>
              <w:spacing w:after="0" w:line="120" w:lineRule="exact"/>
              <w:rPr>
                <w:sz w:val="20"/>
                <w:szCs w:val="20"/>
                <w:color w:val="auto"/>
              </w:rPr>
            </w:pPr>
            <w:r>
              <w:rPr>
                <w:rFonts w:ascii="Arial" w:cs="Arial" w:eastAsia="Arial" w:hAnsi="Arial"/>
                <w:sz w:val="13"/>
                <w:szCs w:val="13"/>
                <w:color w:val="auto"/>
                <w:w w:val="96"/>
              </w:rPr>
              <w:t>- 2/18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Borders>
              <w:right w:val="single" w:sz="8" w:color="071D49"/>
            </w:tcBorders>
          </w:tcPr>
          <w:p>
            <w:pPr>
              <w:spacing w:after="0"/>
              <w:rPr>
                <w:sz w:val="10"/>
                <w:szCs w:val="10"/>
                <w:color w:val="auto"/>
              </w:rPr>
            </w:pPr>
          </w:p>
        </w:tc>
        <w:tc>
          <w:tcPr>
            <w:tcW w:w="800" w:type="dxa"/>
            <w:vAlign w:val="bottom"/>
            <w:gridSpan w:val="2"/>
          </w:tcPr>
          <w:p>
            <w:pPr>
              <w:jc w:val="right"/>
              <w:ind w:right="42"/>
              <w:spacing w:after="0" w:line="120" w:lineRule="exact"/>
              <w:rPr>
                <w:sz w:val="20"/>
                <w:szCs w:val="20"/>
                <w:color w:val="auto"/>
              </w:rPr>
            </w:pPr>
            <w:r>
              <w:rPr>
                <w:rFonts w:ascii="Arial" w:cs="Arial" w:eastAsia="Arial" w:hAnsi="Arial"/>
                <w:sz w:val="13"/>
                <w:szCs w:val="13"/>
                <w:color w:val="auto"/>
              </w:rPr>
              <w:t>13,217</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(a)</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24,810</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12,405</w:t>
            </w: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w w:val="96"/>
              </w:rPr>
              <w:t>- 2/17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12,405</w:t>
            </w:r>
          </w:p>
        </w:tc>
        <w:tc>
          <w:tcPr>
            <w:tcW w:w="440" w:type="dxa"/>
            <w:vAlign w:val="bottom"/>
          </w:tcPr>
          <w:p>
            <w:pPr>
              <w:jc w:val="right"/>
              <w:ind w:right="38"/>
              <w:spacing w:after="0" w:line="138" w:lineRule="exact"/>
              <w:rPr>
                <w:sz w:val="20"/>
                <w:szCs w:val="20"/>
                <w:color w:val="auto"/>
              </w:rPr>
            </w:pPr>
            <w:r>
              <w:rPr>
                <w:rFonts w:ascii="Arial" w:cs="Arial" w:eastAsia="Arial" w:hAnsi="Arial"/>
                <w:sz w:val="13"/>
                <w:szCs w:val="13"/>
                <w:color w:val="auto"/>
                <w:w w:val="96"/>
              </w:rPr>
              <w:t>- 2/17</w:t>
            </w: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4,405</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(b)</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8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35,111</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11,704</w:t>
            </w:r>
          </w:p>
        </w:tc>
        <w:tc>
          <w:tcPr>
            <w:tcW w:w="380" w:type="dxa"/>
            <w:vAlign w:val="bottom"/>
          </w:tcPr>
          <w:p>
            <w:pPr>
              <w:jc w:val="right"/>
              <w:spacing w:after="0" w:line="138" w:lineRule="exact"/>
              <w:rPr>
                <w:sz w:val="20"/>
                <w:szCs w:val="20"/>
                <w:color w:val="auto"/>
              </w:rPr>
            </w:pPr>
            <w:r>
              <w:rPr>
                <w:rFonts w:ascii="Arial" w:cs="Arial" w:eastAsia="Arial" w:hAnsi="Arial"/>
                <w:sz w:val="13"/>
                <w:szCs w:val="13"/>
                <w:color w:val="auto"/>
                <w:w w:val="96"/>
              </w:rPr>
              <w:t>- 2/16</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11,704</w:t>
            </w:r>
          </w:p>
        </w:tc>
        <w:tc>
          <w:tcPr>
            <w:tcW w:w="440" w:type="dxa"/>
            <w:vAlign w:val="bottom"/>
          </w:tcPr>
          <w:p>
            <w:pPr>
              <w:jc w:val="right"/>
              <w:ind w:right="38"/>
              <w:spacing w:after="0" w:line="138" w:lineRule="exact"/>
              <w:rPr>
                <w:sz w:val="20"/>
                <w:szCs w:val="20"/>
                <w:color w:val="auto"/>
              </w:rPr>
            </w:pPr>
            <w:r>
              <w:rPr>
                <w:rFonts w:ascii="Arial" w:cs="Arial" w:eastAsia="Arial" w:hAnsi="Arial"/>
                <w:sz w:val="13"/>
                <w:szCs w:val="13"/>
                <w:color w:val="auto"/>
                <w:w w:val="96"/>
              </w:rPr>
              <w:t>- 2/16</w:t>
            </w:r>
          </w:p>
        </w:tc>
        <w:tc>
          <w:tcPr>
            <w:tcW w:w="960" w:type="dxa"/>
            <w:vAlign w:val="bottom"/>
            <w:tcBorders>
              <w:right w:val="single" w:sz="8" w:color="071D49"/>
            </w:tcBorders>
          </w:tcPr>
          <w:p>
            <w:pPr>
              <w:jc w:val="right"/>
              <w:ind w:right="80"/>
              <w:spacing w:after="0" w:line="138" w:lineRule="exact"/>
              <w:rPr>
                <w:sz w:val="20"/>
                <w:szCs w:val="20"/>
                <w:color w:val="auto"/>
              </w:rPr>
            </w:pPr>
            <w:r>
              <w:rPr>
                <w:rFonts w:ascii="Arial" w:cs="Arial" w:eastAsia="Arial" w:hAnsi="Arial"/>
                <w:sz w:val="13"/>
                <w:szCs w:val="13"/>
                <w:color w:val="auto"/>
              </w:rPr>
              <w:t>11,703 - 2/16</w:t>
            </w: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11,761</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(c)</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7,840</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(d)</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13,901</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(e)</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Borders>
              <w:right w:val="single" w:sz="8" w:color="071D49"/>
            </w:tcBorders>
          </w:tcPr>
          <w:p>
            <w:pPr>
              <w:spacing w:after="0"/>
              <w:rPr>
                <w:sz w:val="11"/>
                <w:szCs w:val="11"/>
                <w:color w:val="auto"/>
              </w:rPr>
            </w:pPr>
          </w:p>
        </w:tc>
        <w:tc>
          <w:tcPr>
            <w:tcW w:w="800" w:type="dxa"/>
            <w:vAlign w:val="bottom"/>
            <w:gridSpan w:val="2"/>
          </w:tcPr>
          <w:p>
            <w:pPr>
              <w:jc w:val="right"/>
              <w:ind w:right="42"/>
              <w:spacing w:after="0" w:line="138" w:lineRule="exact"/>
              <w:rPr>
                <w:sz w:val="20"/>
                <w:szCs w:val="20"/>
                <w:color w:val="auto"/>
              </w:rPr>
            </w:pPr>
            <w:r>
              <w:rPr>
                <w:rFonts w:ascii="Arial" w:cs="Arial" w:eastAsia="Arial" w:hAnsi="Arial"/>
                <w:sz w:val="13"/>
                <w:szCs w:val="13"/>
                <w:color w:val="auto"/>
              </w:rPr>
              <w:t>13,901</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(f)</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071D49"/>
            </w:tcBorders>
          </w:tcPr>
          <w:p>
            <w:pPr>
              <w:spacing w:after="0"/>
              <w:rPr>
                <w:sz w:val="13"/>
                <w:szCs w:val="13"/>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auto"/>
              </w:rPr>
              <w:t>13,837</w:t>
            </w:r>
          </w:p>
        </w:tc>
        <w:tc>
          <w:tcPr>
            <w:tcW w:w="1080" w:type="dxa"/>
            <w:vAlign w:val="bottom"/>
          </w:tcPr>
          <w:p>
            <w:pPr>
              <w:jc w:val="right"/>
              <w:ind w:right="71"/>
              <w:spacing w:after="0"/>
              <w:rPr>
                <w:sz w:val="20"/>
                <w:szCs w:val="20"/>
                <w:color w:val="auto"/>
              </w:rPr>
            </w:pPr>
            <w:r>
              <w:rPr>
                <w:rFonts w:ascii="Arial" w:cs="Arial" w:eastAsia="Arial" w:hAnsi="Arial"/>
                <w:sz w:val="9"/>
                <w:szCs w:val="9"/>
                <w:color w:val="auto"/>
              </w:rPr>
              <w:t>(g)</w:t>
            </w: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shd w:val="clear" w:color="auto" w:fill="D9D9D9"/>
          </w:tcPr>
          <w:p>
            <w:pPr>
              <w:spacing w:after="0" w:line="120" w:lineRule="exact"/>
              <w:rPr>
                <w:sz w:val="20"/>
                <w:szCs w:val="20"/>
                <w:color w:val="auto"/>
              </w:rPr>
            </w:pPr>
            <w:r>
              <w:rPr>
                <w:rFonts w:ascii="Arial" w:cs="Arial" w:eastAsia="Arial" w:hAnsi="Arial"/>
                <w:sz w:val="13"/>
                <w:szCs w:val="13"/>
                <w:color w:val="auto"/>
              </w:rPr>
              <w:t>A. Saleki-Gerhardt</w:t>
            </w:r>
          </w:p>
        </w:tc>
        <w:tc>
          <w:tcPr>
            <w:tcW w:w="880" w:type="dxa"/>
            <w:vAlign w:val="bottom"/>
            <w:gridSpan w:val="3"/>
            <w:shd w:val="clear" w:color="auto" w:fill="D9D9D9"/>
          </w:tcPr>
          <w:p>
            <w:pPr>
              <w:jc w:val="right"/>
              <w:ind w:right="60"/>
              <w:spacing w:after="0" w:line="120" w:lineRule="exact"/>
              <w:rPr>
                <w:sz w:val="20"/>
                <w:szCs w:val="20"/>
                <w:color w:val="auto"/>
              </w:rPr>
            </w:pPr>
            <w:r>
              <w:rPr>
                <w:rFonts w:ascii="Arial" w:cs="Arial" w:eastAsia="Arial" w:hAnsi="Arial"/>
                <w:sz w:val="13"/>
                <w:szCs w:val="13"/>
                <w:color w:val="auto"/>
              </w:rPr>
              <w:t>14,078</w:t>
            </w:r>
          </w:p>
        </w:tc>
        <w:tc>
          <w:tcPr>
            <w:tcW w:w="540" w:type="dxa"/>
            <w:vAlign w:val="bottom"/>
            <w:gridSpan w:val="2"/>
            <w:shd w:val="clear" w:color="auto" w:fill="D9D9D9"/>
          </w:tcPr>
          <w:p>
            <w:pPr>
              <w:jc w:val="right"/>
              <w:spacing w:after="0" w:line="120" w:lineRule="exact"/>
              <w:rPr>
                <w:sz w:val="20"/>
                <w:szCs w:val="20"/>
                <w:color w:val="auto"/>
              </w:rPr>
            </w:pPr>
            <w:r>
              <w:rPr>
                <w:rFonts w:ascii="Arial" w:cs="Arial" w:eastAsia="Arial" w:hAnsi="Arial"/>
                <w:sz w:val="13"/>
                <w:szCs w:val="13"/>
                <w:color w:val="auto"/>
              </w:rPr>
              <w:t>14,078</w:t>
            </w:r>
          </w:p>
        </w:tc>
        <w:tc>
          <w:tcPr>
            <w:tcW w:w="380" w:type="dxa"/>
            <w:vAlign w:val="bottom"/>
            <w:shd w:val="clear" w:color="auto" w:fill="D9D9D9"/>
          </w:tcPr>
          <w:p>
            <w:pPr>
              <w:jc w:val="right"/>
              <w:spacing w:after="0" w:line="120" w:lineRule="exact"/>
              <w:rPr>
                <w:sz w:val="20"/>
                <w:szCs w:val="20"/>
                <w:color w:val="auto"/>
              </w:rPr>
            </w:pPr>
            <w:r>
              <w:rPr>
                <w:rFonts w:ascii="Arial" w:cs="Arial" w:eastAsia="Arial" w:hAnsi="Arial"/>
                <w:sz w:val="13"/>
                <w:szCs w:val="13"/>
                <w:color w:val="auto"/>
                <w:w w:val="96"/>
              </w:rPr>
              <w:t>- 2/18</w:t>
            </w:r>
          </w:p>
        </w:tc>
        <w:tc>
          <w:tcPr>
            <w:tcW w:w="80" w:type="dxa"/>
            <w:vAlign w:val="bottom"/>
            <w:shd w:val="clear" w:color="auto" w:fill="D9D9D9"/>
          </w:tcPr>
          <w:p>
            <w:pPr>
              <w:spacing w:after="0"/>
              <w:rPr>
                <w:sz w:val="10"/>
                <w:szCs w:val="10"/>
                <w:color w:val="auto"/>
              </w:rPr>
            </w:pPr>
          </w:p>
        </w:tc>
        <w:tc>
          <w:tcPr>
            <w:tcW w:w="460" w:type="dxa"/>
            <w:vAlign w:val="bottom"/>
            <w:shd w:val="clear" w:color="auto" w:fill="D9D9D9"/>
          </w:tcPr>
          <w:p>
            <w:pPr>
              <w:spacing w:after="0"/>
              <w:rPr>
                <w:sz w:val="10"/>
                <w:szCs w:val="10"/>
                <w:color w:val="auto"/>
              </w:rPr>
            </w:pPr>
          </w:p>
        </w:tc>
        <w:tc>
          <w:tcPr>
            <w:tcW w:w="440" w:type="dxa"/>
            <w:vAlign w:val="bottom"/>
            <w:shd w:val="clear" w:color="auto" w:fill="D9D9D9"/>
          </w:tcPr>
          <w:p>
            <w:pPr>
              <w:spacing w:after="0"/>
              <w:rPr>
                <w:sz w:val="10"/>
                <w:szCs w:val="10"/>
                <w:color w:val="auto"/>
              </w:rPr>
            </w:pPr>
          </w:p>
        </w:tc>
        <w:tc>
          <w:tcPr>
            <w:tcW w:w="960" w:type="dxa"/>
            <w:vAlign w:val="bottom"/>
            <w:tcBorders>
              <w:right w:val="single" w:sz="8" w:color="071D49"/>
            </w:tcBorders>
            <w:shd w:val="clear" w:color="auto" w:fill="D9D9D9"/>
          </w:tcPr>
          <w:p>
            <w:pPr>
              <w:spacing w:after="0"/>
              <w:rPr>
                <w:sz w:val="10"/>
                <w:szCs w:val="10"/>
                <w:color w:val="auto"/>
              </w:rPr>
            </w:pPr>
          </w:p>
        </w:tc>
        <w:tc>
          <w:tcPr>
            <w:tcW w:w="800" w:type="dxa"/>
            <w:vAlign w:val="bottom"/>
            <w:gridSpan w:val="2"/>
            <w:shd w:val="clear" w:color="auto" w:fill="D9D9D9"/>
          </w:tcPr>
          <w:p>
            <w:pPr>
              <w:jc w:val="right"/>
              <w:ind w:right="42"/>
              <w:spacing w:after="0" w:line="120" w:lineRule="exact"/>
              <w:rPr>
                <w:sz w:val="20"/>
                <w:szCs w:val="20"/>
                <w:color w:val="auto"/>
              </w:rPr>
            </w:pPr>
            <w:r>
              <w:rPr>
                <w:rFonts w:ascii="Arial" w:cs="Arial" w:eastAsia="Arial" w:hAnsi="Arial"/>
                <w:sz w:val="13"/>
                <w:szCs w:val="13"/>
                <w:color w:val="auto"/>
              </w:rPr>
              <w:t>12,839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(a)</w:t>
            </w:r>
          </w:p>
        </w:tc>
        <w:tc>
          <w:tcPr>
            <w:tcW w:w="1060" w:type="dxa"/>
            <w:vAlign w:val="bottom"/>
            <w:shd w:val="clear" w:color="auto" w:fill="D9D9D9"/>
          </w:tcPr>
          <w:p>
            <w:pPr>
              <w:spacing w:after="0"/>
              <w:rPr>
                <w:sz w:val="10"/>
                <w:szCs w:val="10"/>
                <w:color w:val="auto"/>
              </w:rPr>
            </w:pPr>
          </w:p>
        </w:tc>
        <w:tc>
          <w:tcPr>
            <w:tcW w:w="1000" w:type="dxa"/>
            <w:vAlign w:val="bottom"/>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23,350</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11,675</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- 2/17</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11,675</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- 2/17</w:t>
            </w: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4,279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(b)</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0" w:type="dxa"/>
            <w:vAlign w:val="bottom"/>
            <w:gridSpan w:val="2"/>
            <w:shd w:val="clear" w:color="auto" w:fill="D9D9D9"/>
          </w:tcPr>
          <w:p>
            <w:pPr>
              <w:jc w:val="right"/>
              <w:ind w:right="60"/>
              <w:spacing w:after="0" w:line="138" w:lineRule="exact"/>
              <w:rPr>
                <w:sz w:val="20"/>
                <w:szCs w:val="20"/>
                <w:color w:val="auto"/>
              </w:rPr>
            </w:pPr>
            <w:r>
              <w:rPr>
                <w:rFonts w:ascii="Arial" w:cs="Arial" w:eastAsia="Arial" w:hAnsi="Arial"/>
                <w:sz w:val="13"/>
                <w:szCs w:val="13"/>
                <w:color w:val="auto"/>
              </w:rPr>
              <w:t>22,957</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7,653</w:t>
            </w:r>
          </w:p>
        </w:tc>
        <w:tc>
          <w:tcPr>
            <w:tcW w:w="380" w:type="dxa"/>
            <w:vAlign w:val="bottom"/>
            <w:shd w:val="clear" w:color="auto" w:fill="D9D9D9"/>
          </w:tcPr>
          <w:p>
            <w:pPr>
              <w:jc w:val="right"/>
              <w:spacing w:after="0" w:line="138" w:lineRule="exact"/>
              <w:rPr>
                <w:sz w:val="20"/>
                <w:szCs w:val="20"/>
                <w:color w:val="auto"/>
              </w:rPr>
            </w:pPr>
            <w:r>
              <w:rPr>
                <w:rFonts w:ascii="Arial" w:cs="Arial" w:eastAsia="Arial" w:hAnsi="Arial"/>
                <w:sz w:val="13"/>
                <w:szCs w:val="13"/>
                <w:color w:val="auto"/>
                <w:w w:val="96"/>
              </w:rPr>
              <w:t>- 2/16</w:t>
            </w:r>
          </w:p>
        </w:tc>
        <w:tc>
          <w:tcPr>
            <w:tcW w:w="540" w:type="dxa"/>
            <w:vAlign w:val="bottom"/>
            <w:gridSpan w:val="2"/>
            <w:shd w:val="clear" w:color="auto" w:fill="D9D9D9"/>
          </w:tcPr>
          <w:p>
            <w:pPr>
              <w:jc w:val="right"/>
              <w:spacing w:after="0" w:line="138" w:lineRule="exact"/>
              <w:rPr>
                <w:sz w:val="20"/>
                <w:szCs w:val="20"/>
                <w:color w:val="auto"/>
              </w:rPr>
            </w:pPr>
            <w:r>
              <w:rPr>
                <w:rFonts w:ascii="Arial" w:cs="Arial" w:eastAsia="Arial" w:hAnsi="Arial"/>
                <w:sz w:val="13"/>
                <w:szCs w:val="13"/>
                <w:color w:val="auto"/>
              </w:rPr>
              <w:t>7,652</w:t>
            </w:r>
          </w:p>
        </w:tc>
        <w:tc>
          <w:tcPr>
            <w:tcW w:w="440" w:type="dxa"/>
            <w:vAlign w:val="bottom"/>
            <w:shd w:val="clear" w:color="auto" w:fill="D9D9D9"/>
          </w:tcPr>
          <w:p>
            <w:pPr>
              <w:jc w:val="right"/>
              <w:ind w:right="38"/>
              <w:spacing w:after="0" w:line="138" w:lineRule="exact"/>
              <w:rPr>
                <w:sz w:val="20"/>
                <w:szCs w:val="20"/>
                <w:color w:val="auto"/>
              </w:rPr>
            </w:pPr>
            <w:r>
              <w:rPr>
                <w:rFonts w:ascii="Arial" w:cs="Arial" w:eastAsia="Arial" w:hAnsi="Arial"/>
                <w:sz w:val="13"/>
                <w:szCs w:val="13"/>
                <w:color w:val="auto"/>
                <w:w w:val="96"/>
              </w:rPr>
              <w:t>- 2/16</w:t>
            </w:r>
          </w:p>
        </w:tc>
        <w:tc>
          <w:tcPr>
            <w:tcW w:w="960" w:type="dxa"/>
            <w:vAlign w:val="bottom"/>
            <w:tcBorders>
              <w:right w:val="single" w:sz="8" w:color="071D49"/>
            </w:tcBorders>
            <w:shd w:val="clear" w:color="auto" w:fill="D9D9D9"/>
          </w:tcPr>
          <w:p>
            <w:pPr>
              <w:jc w:val="right"/>
              <w:ind w:right="80"/>
              <w:spacing w:after="0" w:line="138" w:lineRule="exact"/>
              <w:rPr>
                <w:sz w:val="20"/>
                <w:szCs w:val="20"/>
                <w:color w:val="auto"/>
              </w:rPr>
            </w:pPr>
            <w:r>
              <w:rPr>
                <w:rFonts w:ascii="Arial" w:cs="Arial" w:eastAsia="Arial" w:hAnsi="Arial"/>
                <w:sz w:val="13"/>
                <w:szCs w:val="13"/>
                <w:color w:val="auto"/>
              </w:rPr>
              <w:t>7,652 - 2/16</w:t>
            </w: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11,069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(c)</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7,379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(d)</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9,089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(e)</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64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60" w:type="dxa"/>
            <w:vAlign w:val="bottom"/>
            <w:shd w:val="clear" w:color="auto" w:fill="D9D9D9"/>
          </w:tcPr>
          <w:p>
            <w:pPr>
              <w:spacing w:after="0"/>
              <w:rPr>
                <w:sz w:val="11"/>
                <w:szCs w:val="11"/>
                <w:color w:val="auto"/>
              </w:rPr>
            </w:pPr>
          </w:p>
        </w:tc>
        <w:tc>
          <w:tcPr>
            <w:tcW w:w="480" w:type="dxa"/>
            <w:vAlign w:val="bottom"/>
            <w:shd w:val="clear" w:color="auto" w:fill="D9D9D9"/>
          </w:tcPr>
          <w:p>
            <w:pPr>
              <w:spacing w:after="0"/>
              <w:rPr>
                <w:sz w:val="11"/>
                <w:szCs w:val="11"/>
                <w:color w:val="auto"/>
              </w:rPr>
            </w:pP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960" w:type="dxa"/>
            <w:vAlign w:val="bottom"/>
            <w:tcBorders>
              <w:right w:val="single" w:sz="8" w:color="071D49"/>
            </w:tcBorders>
            <w:shd w:val="clear" w:color="auto" w:fill="D9D9D9"/>
          </w:tcPr>
          <w:p>
            <w:pPr>
              <w:spacing w:after="0"/>
              <w:rPr>
                <w:sz w:val="11"/>
                <w:szCs w:val="11"/>
                <w:color w:val="auto"/>
              </w:rPr>
            </w:pPr>
          </w:p>
        </w:tc>
        <w:tc>
          <w:tcPr>
            <w:tcW w:w="800" w:type="dxa"/>
            <w:vAlign w:val="bottom"/>
            <w:gridSpan w:val="2"/>
            <w:shd w:val="clear" w:color="auto" w:fill="D9D9D9"/>
          </w:tcPr>
          <w:p>
            <w:pPr>
              <w:jc w:val="right"/>
              <w:ind w:right="42"/>
              <w:spacing w:after="0" w:line="138" w:lineRule="exact"/>
              <w:rPr>
                <w:sz w:val="20"/>
                <w:szCs w:val="20"/>
                <w:color w:val="auto"/>
              </w:rPr>
            </w:pPr>
            <w:r>
              <w:rPr>
                <w:rFonts w:ascii="Arial" w:cs="Arial" w:eastAsia="Arial" w:hAnsi="Arial"/>
                <w:sz w:val="13"/>
                <w:szCs w:val="13"/>
                <w:color w:val="auto"/>
              </w:rPr>
              <w:t>9,089</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(f)</w:t>
            </w:r>
          </w:p>
        </w:tc>
        <w:tc>
          <w:tcPr>
            <w:tcW w:w="1060" w:type="dxa"/>
            <w:vAlign w:val="bottom"/>
            <w:shd w:val="clear" w:color="auto" w:fill="D9D9D9"/>
          </w:tcPr>
          <w:p>
            <w:pPr>
              <w:spacing w:after="0"/>
              <w:rPr>
                <w:sz w:val="11"/>
                <w:szCs w:val="11"/>
                <w:color w:val="auto"/>
              </w:rPr>
            </w:pPr>
          </w:p>
        </w:tc>
        <w:tc>
          <w:tcPr>
            <w:tcW w:w="1000" w:type="dxa"/>
            <w:vAlign w:val="bottom"/>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640" w:type="dxa"/>
            <w:vAlign w:val="bottom"/>
            <w:shd w:val="clear" w:color="auto" w:fill="D9D9D9"/>
          </w:tcPr>
          <w:p>
            <w:pPr>
              <w:spacing w:after="0"/>
              <w:rPr>
                <w:sz w:val="13"/>
                <w:szCs w:val="13"/>
                <w:color w:val="auto"/>
              </w:rPr>
            </w:pPr>
          </w:p>
        </w:tc>
        <w:tc>
          <w:tcPr>
            <w:tcW w:w="160" w:type="dxa"/>
            <w:vAlign w:val="bottom"/>
            <w:shd w:val="clear" w:color="auto" w:fill="D9D9D9"/>
          </w:tcPr>
          <w:p>
            <w:pPr>
              <w:spacing w:after="0"/>
              <w:rPr>
                <w:sz w:val="13"/>
                <w:szCs w:val="13"/>
                <w:color w:val="auto"/>
              </w:rPr>
            </w:pPr>
          </w:p>
        </w:tc>
        <w:tc>
          <w:tcPr>
            <w:tcW w:w="60" w:type="dxa"/>
            <w:vAlign w:val="bottom"/>
            <w:shd w:val="clear" w:color="auto" w:fill="D9D9D9"/>
          </w:tcPr>
          <w:p>
            <w:pPr>
              <w:spacing w:after="0"/>
              <w:rPr>
                <w:sz w:val="13"/>
                <w:szCs w:val="13"/>
                <w:color w:val="auto"/>
              </w:rPr>
            </w:pPr>
          </w:p>
        </w:tc>
        <w:tc>
          <w:tcPr>
            <w:tcW w:w="480" w:type="dxa"/>
            <w:vAlign w:val="bottom"/>
            <w:shd w:val="clear" w:color="auto" w:fill="D9D9D9"/>
          </w:tcPr>
          <w:p>
            <w:pPr>
              <w:spacing w:after="0"/>
              <w:rPr>
                <w:sz w:val="13"/>
                <w:szCs w:val="13"/>
                <w:color w:val="auto"/>
              </w:rPr>
            </w:pPr>
          </w:p>
        </w:tc>
        <w:tc>
          <w:tcPr>
            <w:tcW w:w="380" w:type="dxa"/>
            <w:vAlign w:val="bottom"/>
            <w:shd w:val="clear" w:color="auto" w:fill="D9D9D9"/>
          </w:tcPr>
          <w:p>
            <w:pPr>
              <w:spacing w:after="0"/>
              <w:rPr>
                <w:sz w:val="13"/>
                <w:szCs w:val="13"/>
                <w:color w:val="auto"/>
              </w:rPr>
            </w:pPr>
          </w:p>
        </w:tc>
        <w:tc>
          <w:tcPr>
            <w:tcW w:w="80" w:type="dxa"/>
            <w:vAlign w:val="bottom"/>
            <w:shd w:val="clear" w:color="auto" w:fill="D9D9D9"/>
          </w:tcPr>
          <w:p>
            <w:pPr>
              <w:spacing w:after="0"/>
              <w:rPr>
                <w:sz w:val="13"/>
                <w:szCs w:val="13"/>
                <w:color w:val="auto"/>
              </w:rPr>
            </w:pPr>
          </w:p>
        </w:tc>
        <w:tc>
          <w:tcPr>
            <w:tcW w:w="460" w:type="dxa"/>
            <w:vAlign w:val="bottom"/>
            <w:shd w:val="clear" w:color="auto" w:fill="D9D9D9"/>
          </w:tcPr>
          <w:p>
            <w:pPr>
              <w:spacing w:after="0"/>
              <w:rPr>
                <w:sz w:val="13"/>
                <w:szCs w:val="13"/>
                <w:color w:val="auto"/>
              </w:rPr>
            </w:pPr>
          </w:p>
        </w:tc>
        <w:tc>
          <w:tcPr>
            <w:tcW w:w="440" w:type="dxa"/>
            <w:vAlign w:val="bottom"/>
            <w:shd w:val="clear" w:color="auto" w:fill="D9D9D9"/>
          </w:tcPr>
          <w:p>
            <w:pPr>
              <w:spacing w:after="0"/>
              <w:rPr>
                <w:sz w:val="13"/>
                <w:szCs w:val="13"/>
                <w:color w:val="auto"/>
              </w:rPr>
            </w:pPr>
          </w:p>
        </w:tc>
        <w:tc>
          <w:tcPr>
            <w:tcW w:w="960" w:type="dxa"/>
            <w:vAlign w:val="bottom"/>
            <w:tcBorders>
              <w:right w:val="single" w:sz="8" w:color="071D49"/>
            </w:tcBorders>
            <w:shd w:val="clear" w:color="auto" w:fill="D9D9D9"/>
          </w:tcPr>
          <w:p>
            <w:pPr>
              <w:spacing w:after="0"/>
              <w:rPr>
                <w:sz w:val="13"/>
                <w:szCs w:val="13"/>
                <w:color w:val="auto"/>
              </w:rPr>
            </w:pPr>
          </w:p>
        </w:tc>
        <w:tc>
          <w:tcPr>
            <w:tcW w:w="800" w:type="dxa"/>
            <w:vAlign w:val="bottom"/>
            <w:gridSpan w:val="2"/>
            <w:shd w:val="clear" w:color="auto" w:fill="D9D9D9"/>
          </w:tcPr>
          <w:p>
            <w:pPr>
              <w:jc w:val="right"/>
              <w:ind w:right="42"/>
              <w:spacing w:after="0"/>
              <w:rPr>
                <w:sz w:val="20"/>
                <w:szCs w:val="20"/>
                <w:color w:val="auto"/>
              </w:rPr>
            </w:pPr>
            <w:r>
              <w:rPr>
                <w:rFonts w:ascii="Arial" w:cs="Arial" w:eastAsia="Arial" w:hAnsi="Arial"/>
                <w:sz w:val="13"/>
                <w:szCs w:val="13"/>
                <w:color w:val="auto"/>
              </w:rPr>
              <w:t>13,837</w:t>
            </w:r>
          </w:p>
        </w:tc>
        <w:tc>
          <w:tcPr>
            <w:tcW w:w="1080" w:type="dxa"/>
            <w:vAlign w:val="bottom"/>
            <w:shd w:val="clear" w:color="auto" w:fill="D9D9D9"/>
          </w:tcPr>
          <w:p>
            <w:pPr>
              <w:jc w:val="right"/>
              <w:ind w:right="71"/>
              <w:spacing w:after="0"/>
              <w:rPr>
                <w:sz w:val="20"/>
                <w:szCs w:val="20"/>
                <w:color w:val="auto"/>
              </w:rPr>
            </w:pPr>
            <w:r>
              <w:rPr>
                <w:rFonts w:ascii="Arial" w:cs="Arial" w:eastAsia="Arial" w:hAnsi="Arial"/>
                <w:sz w:val="9"/>
                <w:szCs w:val="9"/>
                <w:color w:val="auto"/>
              </w:rPr>
              <w:t>(g)</w:t>
            </w:r>
          </w:p>
        </w:tc>
        <w:tc>
          <w:tcPr>
            <w:tcW w:w="1060" w:type="dxa"/>
            <w:vAlign w:val="bottom"/>
            <w:shd w:val="clear" w:color="auto" w:fill="D9D9D9"/>
          </w:tcPr>
          <w:p>
            <w:pPr>
              <w:spacing w:after="0"/>
              <w:rPr>
                <w:sz w:val="13"/>
                <w:szCs w:val="13"/>
                <w:color w:val="auto"/>
              </w:rPr>
            </w:pPr>
          </w:p>
        </w:tc>
        <w:tc>
          <w:tcPr>
            <w:tcW w:w="1000" w:type="dxa"/>
            <w:vAlign w:val="bottom"/>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20" w:right="60" w:hanging="308"/>
        <w:spacing w:after="0" w:line="234" w:lineRule="auto"/>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These are performance shares that remained outstanding and unvested on December 31, 2023, from an award made on February 18, 2021.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2021, AbbVie’s EPS performance resulted in the banking of the award at 200% of target, with vesting to be determined based on the company’s relative TSR performance during the 3-year performance period that ends December 31, 2023. In 2023, AbbVie’s 3-year relative TSR performance resulted in a final vesting on February 28, 2024 of the award at 250% of target.</w:t>
      </w:r>
    </w:p>
    <w:p>
      <w:pPr>
        <w:spacing w:after="0" w:line="171" w:lineRule="exact"/>
        <w:rPr>
          <w:rFonts w:ascii="Arial" w:cs="Arial" w:eastAsia="Arial" w:hAnsi="Arial"/>
          <w:sz w:val="17"/>
          <w:szCs w:val="17"/>
          <w:color w:val="auto"/>
        </w:rPr>
      </w:pPr>
    </w:p>
    <w:p>
      <w:pPr>
        <w:ind w:left="320" w:right="140" w:hanging="308"/>
        <w:spacing w:after="0" w:line="236" w:lineRule="auto"/>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These are performance-vested restricted stock units that remained outstanding and unvested on December 31, 2023, from an award made on February 18, 2021. The award has the potential to vest at 0% to 200% of target, in one-third increments, during a 3-year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relative ROIC performance resulted in the vesting on February 28, 2024 of one-third of the award at 200% of target.</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2" w:name="page63"/>
    <w:bookmarkEnd w:id="62"/>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308" w:right="20" w:hanging="308"/>
        <w:spacing w:after="0" w:line="235" w:lineRule="auto"/>
        <w:tabs>
          <w:tab w:leader="none" w:pos="3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are performance shares that remained outstanding and unvested on December 31, 2023, from an award made on February 17, 2022. The award has the potential to vest at 0% to 250%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2022, AbbVie’s EPS performance resulted in the banking of the award at 130% of target, with vesting to be determined based on the company’s relative TSR performance during the 3-year performance period that ends December 31, 2024.</w:t>
      </w:r>
    </w:p>
    <w:p>
      <w:pPr>
        <w:spacing w:after="0" w:line="170" w:lineRule="exact"/>
        <w:rPr>
          <w:rFonts w:ascii="Arial" w:cs="Arial" w:eastAsia="Arial" w:hAnsi="Arial"/>
          <w:sz w:val="17"/>
          <w:szCs w:val="17"/>
          <w:color w:val="auto"/>
        </w:rPr>
      </w:pPr>
    </w:p>
    <w:p>
      <w:pPr>
        <w:ind w:left="308" w:right="100" w:hanging="308"/>
        <w:spacing w:after="0" w:line="236" w:lineRule="auto"/>
        <w:tabs>
          <w:tab w:leader="none" w:pos="3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are performance-vested restricted stock units that remained outstanding and unvested on December 31, 2023, from an award made on February 17, 2022. The award has the potential to vest at 0% to 200% of target, in one-third increments, during a 3-year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relative ROIC performance resulted in the vesting on February 28, 2024 of one-third of the award at 200% of target.</w:t>
      </w:r>
    </w:p>
    <w:p>
      <w:pPr>
        <w:spacing w:after="0" w:line="168" w:lineRule="exact"/>
        <w:rPr>
          <w:rFonts w:ascii="Arial" w:cs="Arial" w:eastAsia="Arial" w:hAnsi="Arial"/>
          <w:sz w:val="17"/>
          <w:szCs w:val="17"/>
          <w:color w:val="auto"/>
        </w:rPr>
      </w:pPr>
    </w:p>
    <w:p>
      <w:pPr>
        <w:ind w:left="308" w:right="20" w:hanging="308"/>
        <w:spacing w:after="0" w:line="235" w:lineRule="auto"/>
        <w:tabs>
          <w:tab w:leader="none" w:pos="3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are performance shares that remained outstanding and unvested on December 31, 2023, from an award made on February 16, 2023. The award has the potential to vest at 0% to 187.5% of target during a 3-year performance period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EPS performance resulted in the banking of the award at 150% of target, with vesting to be determined based on the company’s relative TSR performance during the 3-year performance period that ends December 31, 2025.</w:t>
      </w:r>
    </w:p>
    <w:p>
      <w:pPr>
        <w:spacing w:after="0" w:line="170" w:lineRule="exact"/>
        <w:rPr>
          <w:rFonts w:ascii="Arial" w:cs="Arial" w:eastAsia="Arial" w:hAnsi="Arial"/>
          <w:sz w:val="17"/>
          <w:szCs w:val="17"/>
          <w:color w:val="auto"/>
        </w:rPr>
      </w:pPr>
    </w:p>
    <w:p>
      <w:pPr>
        <w:ind w:left="308" w:right="100" w:hanging="308"/>
        <w:spacing w:after="0" w:line="236" w:lineRule="auto"/>
        <w:tabs>
          <w:tab w:leader="none" w:pos="3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These are performance-vested restricted stock units that remained outstanding and unvested on December 31, 2023, from an award made on February 16, 2023. The award has the potential to vest at 0% to 200% of target, in one-third increments, during a 3-year performance period based on AbbVie’s return on invested capital (ROIC)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 In 2023, AbbVie’s relative ROIC performance resulted in the vesting on February 28, 2024 of one-third of the award at 200% of target.</w:t>
      </w:r>
    </w:p>
    <w:p>
      <w:pPr>
        <w:spacing w:after="0" w:line="168" w:lineRule="exact"/>
        <w:rPr>
          <w:rFonts w:ascii="Arial" w:cs="Arial" w:eastAsia="Arial" w:hAnsi="Arial"/>
          <w:sz w:val="17"/>
          <w:szCs w:val="17"/>
          <w:color w:val="auto"/>
        </w:rPr>
      </w:pPr>
    </w:p>
    <w:p>
      <w:pPr>
        <w:ind w:left="308" w:hanging="308"/>
        <w:spacing w:after="0" w:line="235" w:lineRule="auto"/>
        <w:tabs>
          <w:tab w:leader="none" w:pos="308"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reflects a supplemental restricted stock unit award granted on February 17, 2022 in order to help ensure continuity of leadership during the Humira loss of exclusivity transition in the U.S. These NEOs have reached retirement age. The compensation committee chose RSUs as the vehicle for this award to more closely align the executives’ compensation to AbbVie’s stock performance. These RSUs will vest in full on February 17, 2025 if the grantee is actively employed with AbbVie at that time. These RSUs would be forfeited if the grantee were not employed by AbbVie on the vesting date, except if employment terminated prior to the vesting date because of the grantee’s death or if the grantee incurs a disability. Additionally, dividends accrue during the vesting period and are paid at vesting only to the extent that shares are earned.</w:t>
      </w:r>
    </w:p>
    <w:p>
      <w:pPr>
        <w:spacing w:after="0" w:line="200" w:lineRule="exact"/>
        <w:rPr>
          <w:sz w:val="20"/>
          <w:szCs w:val="20"/>
          <w:color w:val="auto"/>
        </w:rPr>
      </w:pPr>
    </w:p>
    <w:p>
      <w:pPr>
        <w:spacing w:after="0" w:line="36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60</w:t>
      </w:r>
      <w:r>
        <w:rPr>
          <w:sz w:val="20"/>
          <w:szCs w:val="20"/>
          <w:color w:val="auto"/>
        </w:rPr>
        <w:tab/>
      </w:r>
      <w:r>
        <w:rPr>
          <w:sz w:val="1"/>
          <w:szCs w:val="1"/>
          <w:color w:val="auto"/>
        </w:rPr>
        <w:drawing>
          <wp:inline distT="0" distB="0" distL="0" distR="0">
            <wp:extent cx="810260" cy="15113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8"/>
          </w:cols>
          <w:pgMar w:left="1312" w:top="486" w:right="1359" w:bottom="1440" w:gutter="0" w:footer="0" w:header="0"/>
        </w:sectPr>
      </w:pPr>
    </w:p>
    <w:bookmarkStart w:id="63" w:name="page64"/>
    <w:bookmarkEnd w:id="6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2023 Option Exercises and Stock Vested</w:t>
      </w:r>
    </w:p>
    <w:p>
      <w:pPr>
        <w:spacing w:after="0" w:line="215" w:lineRule="exact"/>
        <w:rPr>
          <w:sz w:val="20"/>
          <w:szCs w:val="20"/>
          <w:color w:val="auto"/>
        </w:rPr>
      </w:pPr>
    </w:p>
    <w:p>
      <w:pPr>
        <w:ind w:left="20" w:right="280"/>
        <w:spacing w:after="0" w:line="261" w:lineRule="auto"/>
        <w:rPr>
          <w:sz w:val="20"/>
          <w:szCs w:val="20"/>
          <w:color w:val="auto"/>
        </w:rPr>
      </w:pPr>
      <w:r>
        <w:rPr>
          <w:rFonts w:ascii="Arial" w:cs="Arial" w:eastAsia="Arial" w:hAnsi="Arial"/>
          <w:sz w:val="17"/>
          <w:szCs w:val="17"/>
          <w:color w:val="auto"/>
        </w:rPr>
        <w:t>The following table summarizes for each NEO the number of shares acquired on the exercise of AbbVie stock options and the number of shares acquired on the vesting of AbbVie stock awards in 2023:</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180" w:type="dxa"/>
            <w:vAlign w:val="bottom"/>
          </w:tcPr>
          <w:p>
            <w:pPr>
              <w:spacing w:after="0"/>
              <w:rPr>
                <w:sz w:val="13"/>
                <w:szCs w:val="13"/>
                <w:color w:val="auto"/>
              </w:rPr>
            </w:pPr>
          </w:p>
        </w:tc>
        <w:tc>
          <w:tcPr>
            <w:tcW w:w="262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454968"/>
              </w:rPr>
              <w:t>Option Awards</w:t>
            </w:r>
          </w:p>
        </w:tc>
        <w:tc>
          <w:tcPr>
            <w:tcW w:w="2460" w:type="dxa"/>
            <w:vAlign w:val="bottom"/>
            <w:gridSpan w:val="3"/>
          </w:tcPr>
          <w:p>
            <w:pPr>
              <w:jc w:val="right"/>
              <w:ind w:right="723"/>
              <w:spacing w:after="0"/>
              <w:rPr>
                <w:sz w:val="20"/>
                <w:szCs w:val="20"/>
                <w:color w:val="auto"/>
              </w:rPr>
            </w:pPr>
            <w:r>
              <w:rPr>
                <w:rFonts w:ascii="Arial" w:cs="Arial" w:eastAsia="Arial" w:hAnsi="Arial"/>
                <w:sz w:val="13"/>
                <w:szCs w:val="13"/>
                <w:b w:val="1"/>
                <w:bCs w:val="1"/>
                <w:color w:val="454968"/>
              </w:rPr>
              <w:t>Stock Awards</w:t>
            </w:r>
          </w:p>
        </w:tc>
      </w:tr>
      <w:tr>
        <w:trPr>
          <w:trHeight w:val="133"/>
        </w:trPr>
        <w:tc>
          <w:tcPr>
            <w:tcW w:w="4180" w:type="dxa"/>
            <w:vAlign w:val="bottom"/>
          </w:tcPr>
          <w:p>
            <w:pPr>
              <w:spacing w:after="0"/>
              <w:rPr>
                <w:sz w:val="11"/>
                <w:szCs w:val="11"/>
                <w:color w:val="auto"/>
              </w:rPr>
            </w:pPr>
          </w:p>
        </w:tc>
        <w:tc>
          <w:tcPr>
            <w:tcW w:w="1000" w:type="dxa"/>
            <w:vAlign w:val="bottom"/>
            <w:tcBorders>
              <w:top w:val="single" w:sz="8" w:color="071D49"/>
            </w:tcBorders>
          </w:tcPr>
          <w:p>
            <w:pPr>
              <w:jc w:val="right"/>
              <w:ind w:right="67"/>
              <w:spacing w:after="0" w:line="133" w:lineRule="exact"/>
              <w:rPr>
                <w:sz w:val="20"/>
                <w:szCs w:val="20"/>
                <w:color w:val="auto"/>
              </w:rPr>
            </w:pPr>
            <w:r>
              <w:rPr>
                <w:rFonts w:ascii="Arial" w:cs="Arial" w:eastAsia="Arial" w:hAnsi="Arial"/>
                <w:sz w:val="13"/>
                <w:szCs w:val="13"/>
                <w:b w:val="1"/>
                <w:bCs w:val="1"/>
                <w:color w:val="454968"/>
              </w:rPr>
              <w:t>Number of</w:t>
            </w:r>
          </w:p>
        </w:tc>
        <w:tc>
          <w:tcPr>
            <w:tcW w:w="380" w:type="dxa"/>
            <w:vAlign w:val="bottom"/>
            <w:tcBorders>
              <w:top w:val="single" w:sz="8" w:color="071D49"/>
            </w:tcBorders>
          </w:tcPr>
          <w:p>
            <w:pPr>
              <w:spacing w:after="0"/>
              <w:rPr>
                <w:sz w:val="11"/>
                <w:szCs w:val="11"/>
                <w:color w:val="auto"/>
              </w:rPr>
            </w:pPr>
          </w:p>
        </w:tc>
        <w:tc>
          <w:tcPr>
            <w:tcW w:w="980" w:type="dxa"/>
            <w:vAlign w:val="bottom"/>
            <w:tcBorders>
              <w:top w:val="single" w:sz="8" w:color="071D49"/>
            </w:tcBorders>
          </w:tcPr>
          <w:p>
            <w:pPr>
              <w:spacing w:after="0"/>
              <w:rPr>
                <w:sz w:val="11"/>
                <w:szCs w:val="11"/>
                <w:color w:val="auto"/>
              </w:rPr>
            </w:pPr>
          </w:p>
        </w:tc>
        <w:tc>
          <w:tcPr>
            <w:tcW w:w="140" w:type="dxa"/>
            <w:vAlign w:val="bottom"/>
            <w:tcBorders>
              <w:right w:val="single" w:sz="8" w:color="071D49"/>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071D49"/>
            </w:tcBorders>
          </w:tcPr>
          <w:p>
            <w:pPr>
              <w:jc w:val="right"/>
              <w:ind w:right="45"/>
              <w:spacing w:after="0" w:line="133" w:lineRule="exact"/>
              <w:rPr>
                <w:sz w:val="20"/>
                <w:szCs w:val="20"/>
                <w:color w:val="auto"/>
              </w:rPr>
            </w:pPr>
            <w:r>
              <w:rPr>
                <w:rFonts w:ascii="Arial" w:cs="Arial" w:eastAsia="Arial" w:hAnsi="Arial"/>
                <w:sz w:val="13"/>
                <w:szCs w:val="13"/>
                <w:b w:val="1"/>
                <w:bCs w:val="1"/>
                <w:color w:val="454968"/>
              </w:rPr>
              <w:t>Number of</w:t>
            </w:r>
          </w:p>
        </w:tc>
        <w:tc>
          <w:tcPr>
            <w:tcW w:w="400" w:type="dxa"/>
            <w:vAlign w:val="bottom"/>
            <w:tcBorders>
              <w:top w:val="single" w:sz="8" w:color="071D49"/>
            </w:tcBorders>
          </w:tcPr>
          <w:p>
            <w:pPr>
              <w:spacing w:after="0"/>
              <w:rPr>
                <w:sz w:val="11"/>
                <w:szCs w:val="11"/>
                <w:color w:val="auto"/>
              </w:rPr>
            </w:pPr>
          </w:p>
        </w:tc>
        <w:tc>
          <w:tcPr>
            <w:tcW w:w="1060" w:type="dxa"/>
            <w:vAlign w:val="bottom"/>
            <w:tcBorders>
              <w:top w:val="single" w:sz="8" w:color="071D49"/>
            </w:tcBorders>
          </w:tcPr>
          <w:p>
            <w:pPr>
              <w:spacing w:after="0"/>
              <w:rPr>
                <w:sz w:val="11"/>
                <w:szCs w:val="11"/>
                <w:color w:val="auto"/>
              </w:rPr>
            </w:pPr>
          </w:p>
        </w:tc>
      </w:tr>
      <w:tr>
        <w:trPr>
          <w:trHeight w:val="150"/>
        </w:trPr>
        <w:tc>
          <w:tcPr>
            <w:tcW w:w="418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3"/>
                <w:szCs w:val="13"/>
                <w:b w:val="1"/>
                <w:bCs w:val="1"/>
                <w:color w:val="454968"/>
              </w:rPr>
              <w:t>Shares</w:t>
            </w:r>
          </w:p>
        </w:tc>
        <w:tc>
          <w:tcPr>
            <w:tcW w:w="380" w:type="dxa"/>
            <w:vAlign w:val="bottom"/>
          </w:tcPr>
          <w:p>
            <w:pPr>
              <w:spacing w:after="0"/>
              <w:rPr>
                <w:sz w:val="13"/>
                <w:szCs w:val="13"/>
                <w:color w:val="auto"/>
              </w:rPr>
            </w:pPr>
          </w:p>
        </w:tc>
        <w:tc>
          <w:tcPr>
            <w:tcW w:w="11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3"/>
                <w:szCs w:val="13"/>
                <w:b w:val="1"/>
                <w:bCs w:val="1"/>
                <w:color w:val="454968"/>
              </w:rPr>
              <w:t>Value</w:t>
            </w:r>
          </w:p>
        </w:tc>
        <w:tc>
          <w:tcPr>
            <w:tcW w:w="120" w:type="dxa"/>
            <w:vAlign w:val="bottom"/>
          </w:tcPr>
          <w:p>
            <w:pPr>
              <w:spacing w:after="0"/>
              <w:rPr>
                <w:sz w:val="13"/>
                <w:szCs w:val="13"/>
                <w:color w:val="auto"/>
              </w:rPr>
            </w:pPr>
          </w:p>
        </w:tc>
        <w:tc>
          <w:tcPr>
            <w:tcW w:w="1000" w:type="dxa"/>
            <w:vAlign w:val="bottom"/>
          </w:tcPr>
          <w:p>
            <w:pPr>
              <w:jc w:val="right"/>
              <w:ind w:right="45"/>
              <w:spacing w:after="0"/>
              <w:rPr>
                <w:sz w:val="20"/>
                <w:szCs w:val="20"/>
                <w:color w:val="auto"/>
              </w:rPr>
            </w:pPr>
            <w:r>
              <w:rPr>
                <w:rFonts w:ascii="Arial" w:cs="Arial" w:eastAsia="Arial" w:hAnsi="Arial"/>
                <w:sz w:val="13"/>
                <w:szCs w:val="13"/>
                <w:b w:val="1"/>
                <w:bCs w:val="1"/>
                <w:color w:val="454968"/>
              </w:rPr>
              <w:t>Shares</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Value</w:t>
            </w:r>
          </w:p>
        </w:tc>
      </w:tr>
      <w:tr>
        <w:trPr>
          <w:trHeight w:val="150"/>
        </w:trPr>
        <w:tc>
          <w:tcPr>
            <w:tcW w:w="4180" w:type="dxa"/>
            <w:vAlign w:val="bottom"/>
          </w:tcPr>
          <w:p>
            <w:pPr>
              <w:spacing w:after="0"/>
              <w:rPr>
                <w:sz w:val="13"/>
                <w:szCs w:val="13"/>
                <w:color w:val="auto"/>
              </w:rPr>
            </w:pPr>
          </w:p>
        </w:tc>
        <w:tc>
          <w:tcPr>
            <w:tcW w:w="1000" w:type="dxa"/>
            <w:vAlign w:val="bottom"/>
          </w:tcPr>
          <w:p>
            <w:pPr>
              <w:jc w:val="right"/>
              <w:ind w:right="67"/>
              <w:spacing w:after="0"/>
              <w:rPr>
                <w:sz w:val="20"/>
                <w:szCs w:val="20"/>
                <w:color w:val="auto"/>
              </w:rPr>
            </w:pPr>
            <w:r>
              <w:rPr>
                <w:rFonts w:ascii="Arial" w:cs="Arial" w:eastAsia="Arial" w:hAnsi="Arial"/>
                <w:sz w:val="13"/>
                <w:szCs w:val="13"/>
                <w:b w:val="1"/>
                <w:bCs w:val="1"/>
                <w:color w:val="454968"/>
              </w:rPr>
              <w:t>Acquired On</w:t>
            </w:r>
          </w:p>
        </w:tc>
        <w:tc>
          <w:tcPr>
            <w:tcW w:w="380" w:type="dxa"/>
            <w:vAlign w:val="bottom"/>
          </w:tcPr>
          <w:p>
            <w:pPr>
              <w:spacing w:after="0"/>
              <w:rPr>
                <w:sz w:val="13"/>
                <w:szCs w:val="13"/>
                <w:color w:val="auto"/>
              </w:rPr>
            </w:pPr>
          </w:p>
        </w:tc>
        <w:tc>
          <w:tcPr>
            <w:tcW w:w="11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3"/>
                <w:szCs w:val="13"/>
                <w:b w:val="1"/>
                <w:bCs w:val="1"/>
                <w:color w:val="454968"/>
              </w:rPr>
              <w:t>Realized On</w:t>
            </w:r>
          </w:p>
        </w:tc>
        <w:tc>
          <w:tcPr>
            <w:tcW w:w="120" w:type="dxa"/>
            <w:vAlign w:val="bottom"/>
          </w:tcPr>
          <w:p>
            <w:pPr>
              <w:spacing w:after="0"/>
              <w:rPr>
                <w:sz w:val="13"/>
                <w:szCs w:val="13"/>
                <w:color w:val="auto"/>
              </w:rPr>
            </w:pPr>
          </w:p>
        </w:tc>
        <w:tc>
          <w:tcPr>
            <w:tcW w:w="1000" w:type="dxa"/>
            <w:vAlign w:val="bottom"/>
          </w:tcPr>
          <w:p>
            <w:pPr>
              <w:jc w:val="right"/>
              <w:ind w:right="45"/>
              <w:spacing w:after="0"/>
              <w:rPr>
                <w:sz w:val="20"/>
                <w:szCs w:val="20"/>
                <w:color w:val="auto"/>
              </w:rPr>
            </w:pPr>
            <w:r>
              <w:rPr>
                <w:rFonts w:ascii="Arial" w:cs="Arial" w:eastAsia="Arial" w:hAnsi="Arial"/>
                <w:sz w:val="13"/>
                <w:szCs w:val="13"/>
                <w:b w:val="1"/>
                <w:bCs w:val="1"/>
                <w:color w:val="454968"/>
              </w:rPr>
              <w:t>Acquired On</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Realized On</w:t>
            </w:r>
          </w:p>
        </w:tc>
      </w:tr>
      <w:tr>
        <w:trPr>
          <w:trHeight w:val="160"/>
        </w:trPr>
        <w:tc>
          <w:tcPr>
            <w:tcW w:w="4180" w:type="dxa"/>
            <w:vAlign w:val="bottom"/>
          </w:tcPr>
          <w:p>
            <w:pPr>
              <w:spacing w:after="0"/>
              <w:rPr>
                <w:sz w:val="20"/>
                <w:szCs w:val="20"/>
                <w:color w:val="auto"/>
              </w:rPr>
            </w:pPr>
            <w:r>
              <w:rPr>
                <w:rFonts w:ascii="Arial" w:cs="Arial" w:eastAsia="Arial" w:hAnsi="Arial"/>
                <w:sz w:val="13"/>
                <w:szCs w:val="13"/>
                <w:b w:val="1"/>
                <w:bCs w:val="1"/>
                <w:color w:val="454968"/>
              </w:rPr>
              <w:t>Name</w:t>
            </w:r>
          </w:p>
        </w:tc>
        <w:tc>
          <w:tcPr>
            <w:tcW w:w="1000" w:type="dxa"/>
            <w:vAlign w:val="bottom"/>
          </w:tcPr>
          <w:p>
            <w:pPr>
              <w:jc w:val="right"/>
              <w:ind w:right="67"/>
              <w:spacing w:after="0"/>
              <w:rPr>
                <w:sz w:val="20"/>
                <w:szCs w:val="20"/>
                <w:color w:val="auto"/>
              </w:rPr>
            </w:pPr>
            <w:r>
              <w:rPr>
                <w:rFonts w:ascii="Arial" w:cs="Arial" w:eastAsia="Arial" w:hAnsi="Arial"/>
                <w:sz w:val="13"/>
                <w:szCs w:val="13"/>
                <w:b w:val="1"/>
                <w:bCs w:val="1"/>
                <w:color w:val="454968"/>
              </w:rPr>
              <w:t>Exercise (#)</w:t>
            </w:r>
          </w:p>
        </w:tc>
        <w:tc>
          <w:tcPr>
            <w:tcW w:w="380" w:type="dxa"/>
            <w:vAlign w:val="bottom"/>
          </w:tcPr>
          <w:p>
            <w:pPr>
              <w:spacing w:after="0"/>
              <w:rPr>
                <w:sz w:val="13"/>
                <w:szCs w:val="13"/>
                <w:color w:val="auto"/>
              </w:rPr>
            </w:pPr>
          </w:p>
        </w:tc>
        <w:tc>
          <w:tcPr>
            <w:tcW w:w="1120" w:type="dxa"/>
            <w:vAlign w:val="bottom"/>
            <w:tcBorders>
              <w:right w:val="single" w:sz="8" w:color="071D49"/>
            </w:tcBorders>
            <w:gridSpan w:val="2"/>
          </w:tcPr>
          <w:p>
            <w:pPr>
              <w:jc w:val="right"/>
              <w:ind w:right="200"/>
              <w:spacing w:after="0"/>
              <w:rPr>
                <w:sz w:val="20"/>
                <w:szCs w:val="20"/>
                <w:color w:val="auto"/>
              </w:rPr>
            </w:pPr>
            <w:r>
              <w:rPr>
                <w:rFonts w:ascii="Arial" w:cs="Arial" w:eastAsia="Arial" w:hAnsi="Arial"/>
                <w:sz w:val="13"/>
                <w:szCs w:val="13"/>
                <w:b w:val="1"/>
                <w:bCs w:val="1"/>
                <w:color w:val="454968"/>
              </w:rPr>
              <w:t>Exercise ($)</w:t>
            </w:r>
          </w:p>
        </w:tc>
        <w:tc>
          <w:tcPr>
            <w:tcW w:w="120" w:type="dxa"/>
            <w:vAlign w:val="bottom"/>
          </w:tcPr>
          <w:p>
            <w:pPr>
              <w:spacing w:after="0"/>
              <w:rPr>
                <w:sz w:val="13"/>
                <w:szCs w:val="13"/>
                <w:color w:val="auto"/>
              </w:rPr>
            </w:pPr>
          </w:p>
        </w:tc>
        <w:tc>
          <w:tcPr>
            <w:tcW w:w="1000" w:type="dxa"/>
            <w:vAlign w:val="bottom"/>
          </w:tcPr>
          <w:p>
            <w:pPr>
              <w:jc w:val="right"/>
              <w:ind w:right="45"/>
              <w:spacing w:after="0"/>
              <w:rPr>
                <w:sz w:val="20"/>
                <w:szCs w:val="20"/>
                <w:color w:val="auto"/>
              </w:rPr>
            </w:pPr>
            <w:r>
              <w:rPr>
                <w:rFonts w:ascii="Arial" w:cs="Arial" w:eastAsia="Arial" w:hAnsi="Arial"/>
                <w:sz w:val="13"/>
                <w:szCs w:val="13"/>
                <w:b w:val="1"/>
                <w:bCs w:val="1"/>
                <w:color w:val="454968"/>
              </w:rPr>
              <w:t>Vesting (#)</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454968"/>
              </w:rPr>
              <w:t>Vesting ($)</w:t>
            </w:r>
          </w:p>
        </w:tc>
      </w:tr>
      <w:tr>
        <w:trPr>
          <w:trHeight w:val="180"/>
        </w:trPr>
        <w:tc>
          <w:tcPr>
            <w:tcW w:w="4180" w:type="dxa"/>
            <w:vAlign w:val="bottom"/>
            <w:tcBorders>
              <w:top w:val="single" w:sz="8" w:color="D9D9D9"/>
            </w:tcBorders>
            <w:shd w:val="clear" w:color="auto" w:fill="D9D9D9"/>
          </w:tcPr>
          <w:p>
            <w:pPr>
              <w:spacing w:after="0" w:line="180" w:lineRule="exact"/>
              <w:rPr>
                <w:sz w:val="20"/>
                <w:szCs w:val="20"/>
                <w:color w:val="auto"/>
              </w:rPr>
            </w:pPr>
            <w:r>
              <w:rPr>
                <w:rFonts w:ascii="Arial" w:cs="Arial" w:eastAsia="Arial" w:hAnsi="Arial"/>
                <w:sz w:val="17"/>
                <w:szCs w:val="17"/>
                <w:color w:val="auto"/>
              </w:rPr>
              <w:t>R. Gonzalez</w:t>
            </w:r>
          </w:p>
        </w:tc>
        <w:tc>
          <w:tcPr>
            <w:tcW w:w="1000" w:type="dxa"/>
            <w:vAlign w:val="bottom"/>
            <w:tcBorders>
              <w:top w:val="single" w:sz="8" w:color="071D49"/>
            </w:tcBorders>
            <w:shd w:val="clear" w:color="auto" w:fill="D9D9D9"/>
          </w:tcPr>
          <w:p>
            <w:pPr>
              <w:jc w:val="right"/>
              <w:ind w:right="67"/>
              <w:spacing w:after="0" w:line="180" w:lineRule="exact"/>
              <w:rPr>
                <w:sz w:val="20"/>
                <w:szCs w:val="20"/>
                <w:color w:val="auto"/>
              </w:rPr>
            </w:pPr>
            <w:r>
              <w:rPr>
                <w:rFonts w:ascii="Arial" w:cs="Arial" w:eastAsia="Arial" w:hAnsi="Arial"/>
                <w:sz w:val="17"/>
                <w:szCs w:val="17"/>
                <w:color w:val="auto"/>
              </w:rPr>
              <w:t>0</w:t>
            </w:r>
          </w:p>
        </w:tc>
        <w:tc>
          <w:tcPr>
            <w:tcW w:w="380" w:type="dxa"/>
            <w:vAlign w:val="bottom"/>
            <w:tcBorders>
              <w:top w:val="single" w:sz="8" w:color="071D49"/>
            </w:tcBorders>
            <w:shd w:val="clear" w:color="auto" w:fill="D9D9D9"/>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071D49"/>
            </w:tcBorders>
            <w:shd w:val="clear" w:color="auto" w:fill="D9D9D9"/>
          </w:tcPr>
          <w:p>
            <w:pPr>
              <w:jc w:val="right"/>
              <w:spacing w:after="0" w:line="180" w:lineRule="exact"/>
              <w:rPr>
                <w:sz w:val="20"/>
                <w:szCs w:val="20"/>
                <w:color w:val="auto"/>
              </w:rPr>
            </w:pPr>
            <w:r>
              <w:rPr>
                <w:rFonts w:ascii="Arial" w:cs="Arial" w:eastAsia="Arial" w:hAnsi="Arial"/>
                <w:sz w:val="17"/>
                <w:szCs w:val="17"/>
                <w:color w:val="auto"/>
              </w:rPr>
              <w:t>0</w:t>
            </w:r>
          </w:p>
        </w:tc>
        <w:tc>
          <w:tcPr>
            <w:tcW w:w="140" w:type="dxa"/>
            <w:vAlign w:val="bottom"/>
            <w:tcBorders>
              <w:top w:val="single" w:sz="8" w:color="D9D9D9"/>
              <w:right w:val="single" w:sz="8" w:color="071D49"/>
            </w:tcBorders>
            <w:shd w:val="clear" w:color="auto" w:fill="D9D9D9"/>
          </w:tcPr>
          <w:p>
            <w:pPr>
              <w:spacing w:after="0"/>
              <w:rPr>
                <w:sz w:val="15"/>
                <w:szCs w:val="15"/>
                <w:color w:val="auto"/>
              </w:rPr>
            </w:pPr>
          </w:p>
        </w:tc>
        <w:tc>
          <w:tcPr>
            <w:tcW w:w="120" w:type="dxa"/>
            <w:vAlign w:val="bottom"/>
            <w:tcBorders>
              <w:top w:val="single" w:sz="8" w:color="D9D9D9"/>
            </w:tcBorders>
            <w:shd w:val="clear" w:color="auto" w:fill="D9D9D9"/>
          </w:tcPr>
          <w:p>
            <w:pPr>
              <w:spacing w:after="0"/>
              <w:rPr>
                <w:sz w:val="15"/>
                <w:szCs w:val="15"/>
                <w:color w:val="auto"/>
              </w:rPr>
            </w:pPr>
          </w:p>
        </w:tc>
        <w:tc>
          <w:tcPr>
            <w:tcW w:w="1000" w:type="dxa"/>
            <w:vAlign w:val="bottom"/>
            <w:tcBorders>
              <w:top w:val="single" w:sz="8" w:color="071D49"/>
            </w:tcBorders>
            <w:shd w:val="clear" w:color="auto" w:fill="D9D9D9"/>
          </w:tcPr>
          <w:p>
            <w:pPr>
              <w:jc w:val="right"/>
              <w:ind w:right="45"/>
              <w:spacing w:after="0" w:line="180" w:lineRule="exact"/>
              <w:rPr>
                <w:sz w:val="20"/>
                <w:szCs w:val="20"/>
                <w:color w:val="auto"/>
              </w:rPr>
            </w:pPr>
            <w:r>
              <w:rPr>
                <w:rFonts w:ascii="Arial" w:cs="Arial" w:eastAsia="Arial" w:hAnsi="Arial"/>
                <w:sz w:val="17"/>
                <w:szCs w:val="17"/>
                <w:color w:val="auto"/>
              </w:rPr>
              <w:t>256,901</w:t>
            </w:r>
          </w:p>
        </w:tc>
        <w:tc>
          <w:tcPr>
            <w:tcW w:w="400" w:type="dxa"/>
            <w:vAlign w:val="bottom"/>
            <w:tcBorders>
              <w:top w:val="single" w:sz="8" w:color="071D49"/>
            </w:tcBorders>
            <w:shd w:val="clear" w:color="auto" w:fill="D9D9D9"/>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071D49"/>
            </w:tcBorders>
            <w:shd w:val="clear" w:color="auto" w:fill="D9D9D9"/>
          </w:tcPr>
          <w:p>
            <w:pPr>
              <w:jc w:val="right"/>
              <w:spacing w:after="0" w:line="180" w:lineRule="exact"/>
              <w:rPr>
                <w:sz w:val="20"/>
                <w:szCs w:val="20"/>
                <w:color w:val="auto"/>
              </w:rPr>
            </w:pPr>
            <w:r>
              <w:rPr>
                <w:rFonts w:ascii="Arial" w:cs="Arial" w:eastAsia="Arial" w:hAnsi="Arial"/>
                <w:sz w:val="17"/>
                <w:szCs w:val="17"/>
                <w:color w:val="auto"/>
              </w:rPr>
              <w:t>39,634,686</w:t>
            </w:r>
          </w:p>
        </w:tc>
      </w:tr>
      <w:tr>
        <w:trPr>
          <w:trHeight w:val="188"/>
        </w:trPr>
        <w:tc>
          <w:tcPr>
            <w:tcW w:w="4180" w:type="dxa"/>
            <w:vAlign w:val="bottom"/>
          </w:tcPr>
          <w:p>
            <w:pPr>
              <w:spacing w:after="0" w:line="188" w:lineRule="exact"/>
              <w:rPr>
                <w:sz w:val="20"/>
                <w:szCs w:val="20"/>
                <w:color w:val="auto"/>
              </w:rPr>
            </w:pPr>
            <w:r>
              <w:rPr>
                <w:rFonts w:ascii="Arial" w:cs="Arial" w:eastAsia="Arial" w:hAnsi="Arial"/>
                <w:sz w:val="17"/>
                <w:szCs w:val="17"/>
                <w:color w:val="auto"/>
              </w:rPr>
              <w:t>R. Michael</w:t>
            </w:r>
          </w:p>
        </w:tc>
        <w:tc>
          <w:tcPr>
            <w:tcW w:w="1000" w:type="dxa"/>
            <w:vAlign w:val="bottom"/>
          </w:tcPr>
          <w:p>
            <w:pPr>
              <w:jc w:val="right"/>
              <w:ind w:right="67"/>
              <w:spacing w:after="0" w:line="188" w:lineRule="exact"/>
              <w:rPr>
                <w:sz w:val="20"/>
                <w:szCs w:val="20"/>
                <w:color w:val="auto"/>
              </w:rPr>
            </w:pPr>
            <w:r>
              <w:rPr>
                <w:rFonts w:ascii="Arial" w:cs="Arial" w:eastAsia="Arial" w:hAnsi="Arial"/>
                <w:sz w:val="17"/>
                <w:szCs w:val="17"/>
                <w:color w:val="auto"/>
              </w:rPr>
              <w:t>0</w:t>
            </w:r>
          </w:p>
        </w:tc>
        <w:tc>
          <w:tcPr>
            <w:tcW w:w="380" w:type="dxa"/>
            <w:vAlign w:val="bottom"/>
          </w:tcPr>
          <w:p>
            <w:pPr>
              <w:spacing w:after="0"/>
              <w:rPr>
                <w:sz w:val="16"/>
                <w:szCs w:val="16"/>
                <w:color w:val="auto"/>
              </w:rPr>
            </w:pPr>
          </w:p>
        </w:tc>
        <w:tc>
          <w:tcPr>
            <w:tcW w:w="980" w:type="dxa"/>
            <w:vAlign w:val="bottom"/>
          </w:tcPr>
          <w:p>
            <w:pPr>
              <w:jc w:val="right"/>
              <w:spacing w:after="0" w:line="188" w:lineRule="exact"/>
              <w:rPr>
                <w:sz w:val="20"/>
                <w:szCs w:val="20"/>
                <w:color w:val="auto"/>
              </w:rPr>
            </w:pPr>
            <w:r>
              <w:rPr>
                <w:rFonts w:ascii="Arial" w:cs="Arial" w:eastAsia="Arial" w:hAnsi="Arial"/>
                <w:sz w:val="17"/>
                <w:szCs w:val="17"/>
                <w:color w:val="auto"/>
              </w:rPr>
              <w:t>0</w:t>
            </w:r>
          </w:p>
        </w:tc>
        <w:tc>
          <w:tcPr>
            <w:tcW w:w="140" w:type="dxa"/>
            <w:vAlign w:val="bottom"/>
            <w:tcBorders>
              <w:right w:val="single" w:sz="8" w:color="071D49"/>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5"/>
              <w:spacing w:after="0" w:line="188" w:lineRule="exact"/>
              <w:rPr>
                <w:sz w:val="20"/>
                <w:szCs w:val="20"/>
                <w:color w:val="auto"/>
              </w:rPr>
            </w:pPr>
            <w:r>
              <w:rPr>
                <w:rFonts w:ascii="Arial" w:cs="Arial" w:eastAsia="Arial" w:hAnsi="Arial"/>
                <w:sz w:val="17"/>
                <w:szCs w:val="17"/>
                <w:color w:val="auto"/>
              </w:rPr>
              <w:t>109,103</w:t>
            </w:r>
          </w:p>
        </w:tc>
        <w:tc>
          <w:tcPr>
            <w:tcW w:w="40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Arial" w:cs="Arial" w:eastAsia="Arial" w:hAnsi="Arial"/>
                <w:sz w:val="17"/>
                <w:szCs w:val="17"/>
                <w:color w:val="auto"/>
              </w:rPr>
              <w:t>16,832,411</w:t>
            </w:r>
          </w:p>
        </w:tc>
      </w:tr>
      <w:tr>
        <w:trPr>
          <w:trHeight w:val="188"/>
        </w:trPr>
        <w:tc>
          <w:tcPr>
            <w:tcW w:w="418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S. Reents</w:t>
            </w:r>
          </w:p>
        </w:tc>
        <w:tc>
          <w:tcPr>
            <w:tcW w:w="1000" w:type="dxa"/>
            <w:vAlign w:val="bottom"/>
            <w:shd w:val="clear" w:color="auto" w:fill="D9D9D9"/>
          </w:tcPr>
          <w:p>
            <w:pPr>
              <w:jc w:val="right"/>
              <w:ind w:right="67"/>
              <w:spacing w:after="0" w:line="188" w:lineRule="exact"/>
              <w:rPr>
                <w:sz w:val="20"/>
                <w:szCs w:val="20"/>
                <w:color w:val="auto"/>
              </w:rPr>
            </w:pPr>
            <w:r>
              <w:rPr>
                <w:rFonts w:ascii="Arial" w:cs="Arial" w:eastAsia="Arial" w:hAnsi="Arial"/>
                <w:sz w:val="17"/>
                <w:szCs w:val="17"/>
                <w:color w:val="auto"/>
              </w:rPr>
              <w:t>0</w:t>
            </w:r>
          </w:p>
        </w:tc>
        <w:tc>
          <w:tcPr>
            <w:tcW w:w="380" w:type="dxa"/>
            <w:vAlign w:val="bottom"/>
            <w:shd w:val="clear" w:color="auto" w:fill="D9D9D9"/>
          </w:tcPr>
          <w:p>
            <w:pPr>
              <w:spacing w:after="0"/>
              <w:rPr>
                <w:sz w:val="16"/>
                <w:szCs w:val="16"/>
                <w:color w:val="auto"/>
              </w:rPr>
            </w:pPr>
          </w:p>
        </w:tc>
        <w:tc>
          <w:tcPr>
            <w:tcW w:w="9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0</w:t>
            </w:r>
          </w:p>
        </w:tc>
        <w:tc>
          <w:tcPr>
            <w:tcW w:w="140" w:type="dxa"/>
            <w:vAlign w:val="bottom"/>
            <w:tcBorders>
              <w:right w:val="single" w:sz="8" w:color="071D49"/>
            </w:tcBorders>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000" w:type="dxa"/>
            <w:vAlign w:val="bottom"/>
            <w:shd w:val="clear" w:color="auto" w:fill="D9D9D9"/>
          </w:tcPr>
          <w:p>
            <w:pPr>
              <w:jc w:val="right"/>
              <w:ind w:right="45"/>
              <w:spacing w:after="0" w:line="188" w:lineRule="exact"/>
              <w:rPr>
                <w:sz w:val="20"/>
                <w:szCs w:val="20"/>
                <w:color w:val="auto"/>
              </w:rPr>
            </w:pPr>
            <w:r>
              <w:rPr>
                <w:rFonts w:ascii="Arial" w:cs="Arial" w:eastAsia="Arial" w:hAnsi="Arial"/>
                <w:sz w:val="17"/>
                <w:szCs w:val="17"/>
                <w:color w:val="auto"/>
              </w:rPr>
              <w:t>28,625</w:t>
            </w:r>
          </w:p>
        </w:tc>
        <w:tc>
          <w:tcPr>
            <w:tcW w:w="400" w:type="dxa"/>
            <w:vAlign w:val="bottom"/>
            <w:shd w:val="clear" w:color="auto" w:fill="D9D9D9"/>
          </w:tcPr>
          <w:p>
            <w:pPr>
              <w:spacing w:after="0"/>
              <w:rPr>
                <w:sz w:val="16"/>
                <w:szCs w:val="16"/>
                <w:color w:val="auto"/>
              </w:rPr>
            </w:pPr>
          </w:p>
        </w:tc>
        <w:tc>
          <w:tcPr>
            <w:tcW w:w="10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4,416,265</w:t>
            </w:r>
          </w:p>
        </w:tc>
      </w:tr>
      <w:tr>
        <w:trPr>
          <w:trHeight w:val="188"/>
        </w:trPr>
        <w:tc>
          <w:tcPr>
            <w:tcW w:w="4180" w:type="dxa"/>
            <w:vAlign w:val="bottom"/>
          </w:tcPr>
          <w:p>
            <w:pPr>
              <w:spacing w:after="0" w:line="188" w:lineRule="exact"/>
              <w:rPr>
                <w:sz w:val="20"/>
                <w:szCs w:val="20"/>
                <w:color w:val="auto"/>
              </w:rPr>
            </w:pPr>
            <w:r>
              <w:rPr>
                <w:rFonts w:ascii="Arial" w:cs="Arial" w:eastAsia="Arial" w:hAnsi="Arial"/>
                <w:sz w:val="17"/>
                <w:szCs w:val="17"/>
                <w:color w:val="auto"/>
              </w:rPr>
              <w:t>J. Stewart</w:t>
            </w:r>
          </w:p>
        </w:tc>
        <w:tc>
          <w:tcPr>
            <w:tcW w:w="1000" w:type="dxa"/>
            <w:vAlign w:val="bottom"/>
          </w:tcPr>
          <w:p>
            <w:pPr>
              <w:jc w:val="right"/>
              <w:ind w:right="67"/>
              <w:spacing w:after="0"/>
              <w:rPr>
                <w:sz w:val="20"/>
                <w:szCs w:val="20"/>
                <w:color w:val="auto"/>
              </w:rPr>
            </w:pPr>
            <w:r>
              <w:rPr>
                <w:rFonts w:ascii="Arial" w:cs="Arial" w:eastAsia="Arial" w:hAnsi="Arial"/>
                <w:sz w:val="15"/>
                <w:szCs w:val="15"/>
                <w:color w:val="auto"/>
              </w:rPr>
              <w:t>21,810</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2,125,307</w:t>
            </w:r>
          </w:p>
        </w:tc>
        <w:tc>
          <w:tcPr>
            <w:tcW w:w="140" w:type="dxa"/>
            <w:vAlign w:val="bottom"/>
            <w:tcBorders>
              <w:right w:val="single" w:sz="8" w:color="071D49"/>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5"/>
              <w:spacing w:after="0" w:line="188" w:lineRule="exact"/>
              <w:rPr>
                <w:sz w:val="20"/>
                <w:szCs w:val="20"/>
                <w:color w:val="auto"/>
              </w:rPr>
            </w:pPr>
            <w:r>
              <w:rPr>
                <w:rFonts w:ascii="Arial" w:cs="Arial" w:eastAsia="Arial" w:hAnsi="Arial"/>
                <w:sz w:val="17"/>
                <w:szCs w:val="17"/>
                <w:color w:val="auto"/>
              </w:rPr>
              <w:t>56,225</w:t>
            </w:r>
          </w:p>
        </w:tc>
        <w:tc>
          <w:tcPr>
            <w:tcW w:w="400" w:type="dxa"/>
            <w:vAlign w:val="bottom"/>
          </w:tcPr>
          <w:p>
            <w:pPr>
              <w:spacing w:after="0"/>
              <w:rPr>
                <w:sz w:val="16"/>
                <w:szCs w:val="16"/>
                <w:color w:val="auto"/>
              </w:rPr>
            </w:pPr>
          </w:p>
        </w:tc>
        <w:tc>
          <w:tcPr>
            <w:tcW w:w="1060" w:type="dxa"/>
            <w:vAlign w:val="bottom"/>
          </w:tcPr>
          <w:p>
            <w:pPr>
              <w:jc w:val="right"/>
              <w:spacing w:after="0" w:line="188" w:lineRule="exact"/>
              <w:rPr>
                <w:sz w:val="20"/>
                <w:szCs w:val="20"/>
                <w:color w:val="auto"/>
              </w:rPr>
            </w:pPr>
            <w:r>
              <w:rPr>
                <w:rFonts w:ascii="Arial" w:cs="Arial" w:eastAsia="Arial" w:hAnsi="Arial"/>
                <w:sz w:val="17"/>
                <w:szCs w:val="17"/>
                <w:color w:val="auto"/>
              </w:rPr>
              <w:t>8,674,393</w:t>
            </w:r>
          </w:p>
        </w:tc>
      </w:tr>
      <w:tr>
        <w:trPr>
          <w:trHeight w:val="188"/>
        </w:trPr>
        <w:tc>
          <w:tcPr>
            <w:tcW w:w="4180" w:type="dxa"/>
            <w:vAlign w:val="bottom"/>
            <w:shd w:val="clear" w:color="auto" w:fill="D9D9D9"/>
          </w:tcPr>
          <w:p>
            <w:pPr>
              <w:spacing w:after="0" w:line="188" w:lineRule="exact"/>
              <w:rPr>
                <w:sz w:val="20"/>
                <w:szCs w:val="20"/>
                <w:color w:val="auto"/>
              </w:rPr>
            </w:pPr>
            <w:r>
              <w:rPr>
                <w:rFonts w:ascii="Arial" w:cs="Arial" w:eastAsia="Arial" w:hAnsi="Arial"/>
                <w:sz w:val="17"/>
                <w:szCs w:val="17"/>
                <w:color w:val="auto"/>
              </w:rPr>
              <w:t>A. Saleki-Gerhardt</w:t>
            </w:r>
          </w:p>
        </w:tc>
        <w:tc>
          <w:tcPr>
            <w:tcW w:w="1000" w:type="dxa"/>
            <w:vAlign w:val="bottom"/>
            <w:shd w:val="clear" w:color="auto" w:fill="D9D9D9"/>
          </w:tcPr>
          <w:p>
            <w:pPr>
              <w:jc w:val="right"/>
              <w:ind w:right="67"/>
              <w:spacing w:after="0"/>
              <w:rPr>
                <w:sz w:val="20"/>
                <w:szCs w:val="20"/>
                <w:color w:val="auto"/>
              </w:rPr>
            </w:pPr>
            <w:r>
              <w:rPr>
                <w:rFonts w:ascii="Arial" w:cs="Arial" w:eastAsia="Arial" w:hAnsi="Arial"/>
                <w:sz w:val="15"/>
                <w:szCs w:val="15"/>
                <w:color w:val="auto"/>
              </w:rPr>
              <w:t>51,990</w:t>
            </w:r>
          </w:p>
        </w:tc>
        <w:tc>
          <w:tcPr>
            <w:tcW w:w="380" w:type="dxa"/>
            <w:vAlign w:val="bottom"/>
            <w:shd w:val="clear" w:color="auto" w:fill="D9D9D9"/>
          </w:tcPr>
          <w:p>
            <w:pPr>
              <w:spacing w:after="0"/>
              <w:rPr>
                <w:sz w:val="16"/>
                <w:szCs w:val="16"/>
                <w:color w:val="auto"/>
              </w:rPr>
            </w:pPr>
          </w:p>
        </w:tc>
        <w:tc>
          <w:tcPr>
            <w:tcW w:w="980" w:type="dxa"/>
            <w:vAlign w:val="bottom"/>
            <w:shd w:val="clear" w:color="auto" w:fill="D9D9D9"/>
          </w:tcPr>
          <w:p>
            <w:pPr>
              <w:jc w:val="right"/>
              <w:spacing w:after="0"/>
              <w:rPr>
                <w:sz w:val="20"/>
                <w:szCs w:val="20"/>
                <w:color w:val="auto"/>
              </w:rPr>
            </w:pPr>
            <w:r>
              <w:rPr>
                <w:rFonts w:ascii="Arial" w:cs="Arial" w:eastAsia="Arial" w:hAnsi="Arial"/>
                <w:sz w:val="15"/>
                <w:szCs w:val="15"/>
                <w:color w:val="auto"/>
              </w:rPr>
              <w:t>5,248,500</w:t>
            </w:r>
          </w:p>
        </w:tc>
        <w:tc>
          <w:tcPr>
            <w:tcW w:w="140" w:type="dxa"/>
            <w:vAlign w:val="bottom"/>
            <w:tcBorders>
              <w:right w:val="single" w:sz="8" w:color="071D49"/>
            </w:tcBorders>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1000" w:type="dxa"/>
            <w:vAlign w:val="bottom"/>
            <w:shd w:val="clear" w:color="auto" w:fill="D9D9D9"/>
          </w:tcPr>
          <w:p>
            <w:pPr>
              <w:jc w:val="right"/>
              <w:ind w:right="45"/>
              <w:spacing w:after="0" w:line="188" w:lineRule="exact"/>
              <w:rPr>
                <w:sz w:val="20"/>
                <w:szCs w:val="20"/>
                <w:color w:val="auto"/>
              </w:rPr>
            </w:pPr>
            <w:r>
              <w:rPr>
                <w:rFonts w:ascii="Arial" w:cs="Arial" w:eastAsia="Arial" w:hAnsi="Arial"/>
                <w:sz w:val="17"/>
                <w:szCs w:val="17"/>
                <w:color w:val="auto"/>
              </w:rPr>
              <w:t>75,296</w:t>
            </w:r>
          </w:p>
        </w:tc>
        <w:tc>
          <w:tcPr>
            <w:tcW w:w="400" w:type="dxa"/>
            <w:vAlign w:val="bottom"/>
            <w:shd w:val="clear" w:color="auto" w:fill="D9D9D9"/>
          </w:tcPr>
          <w:p>
            <w:pPr>
              <w:spacing w:after="0"/>
              <w:rPr>
                <w:sz w:val="16"/>
                <w:szCs w:val="16"/>
                <w:color w:val="auto"/>
              </w:rPr>
            </w:pPr>
          </w:p>
        </w:tc>
        <w:tc>
          <w:tcPr>
            <w:tcW w:w="106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11,616,667</w:t>
            </w:r>
          </w:p>
        </w:tc>
      </w:tr>
    </w:tbl>
    <w:p>
      <w:pPr>
        <w:spacing w:after="0" w:line="17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PENSION BENEFITS</w:t>
      </w:r>
    </w:p>
    <w:p>
      <w:pPr>
        <w:spacing w:after="0" w:line="155" w:lineRule="exact"/>
        <w:rPr>
          <w:sz w:val="20"/>
          <w:szCs w:val="20"/>
          <w:color w:val="auto"/>
        </w:rPr>
      </w:pPr>
    </w:p>
    <w:p>
      <w:pPr>
        <w:ind w:left="20" w:right="80"/>
        <w:spacing w:after="0" w:line="238" w:lineRule="auto"/>
        <w:rPr>
          <w:sz w:val="20"/>
          <w:szCs w:val="20"/>
          <w:color w:val="auto"/>
        </w:rPr>
      </w:pPr>
      <w:r>
        <w:rPr>
          <w:rFonts w:ascii="Arial" w:cs="Arial" w:eastAsia="Arial" w:hAnsi="Arial"/>
          <w:sz w:val="17"/>
          <w:szCs w:val="17"/>
          <w:color w:val="auto"/>
        </w:rPr>
        <w:t>During 2023, the NEOs participated in two AbbVie-sponsored defined benefit pension plans: the AbbVie Pension Plan, a tax-qualified pension plan; and the AbbVie Supplemental Pension Plan, a non-qualified supplemental pension plan.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169" w:lineRule="exact"/>
        <w:rPr>
          <w:sz w:val="20"/>
          <w:szCs w:val="20"/>
          <w:color w:val="auto"/>
        </w:rPr>
      </w:pPr>
    </w:p>
    <w:p>
      <w:pPr>
        <w:ind w:left="20" w:right="220"/>
        <w:spacing w:after="0" w:line="261" w:lineRule="auto"/>
        <w:rPr>
          <w:sz w:val="20"/>
          <w:szCs w:val="20"/>
          <w:color w:val="auto"/>
        </w:rPr>
      </w:pPr>
      <w:r>
        <w:rPr>
          <w:rFonts w:ascii="Arial" w:cs="Arial" w:eastAsia="Arial" w:hAnsi="Arial"/>
          <w:sz w:val="17"/>
          <w:szCs w:val="17"/>
          <w:color w:val="auto"/>
        </w:rPr>
        <w:t>The compensation considered in determining the pensions payable to the NEOs is the compensation shown in the “Salary” and “Non-Equity Incentive Plan Compensation” columns of the Summary Compensation Table.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PENSION PLAN</w:t>
      </w:r>
    </w:p>
    <w:p>
      <w:pPr>
        <w:spacing w:after="0" w:line="155" w:lineRule="exact"/>
        <w:rPr>
          <w:sz w:val="20"/>
          <w:szCs w:val="20"/>
          <w:color w:val="auto"/>
        </w:rPr>
      </w:pPr>
    </w:p>
    <w:p>
      <w:pPr>
        <w:ind w:left="20" w:right="480"/>
        <w:spacing w:after="0" w:line="261" w:lineRule="auto"/>
        <w:rPr>
          <w:sz w:val="20"/>
          <w:szCs w:val="20"/>
          <w:color w:val="auto"/>
        </w:rPr>
      </w:pPr>
      <w:r>
        <w:rPr>
          <w:rFonts w:ascii="Arial" w:cs="Arial" w:eastAsia="Arial" w:hAnsi="Arial"/>
          <w:sz w:val="17"/>
          <w:szCs w:val="17"/>
          <w:color w:val="auto"/>
        </w:rPr>
        <w:t>The Pension Plan is a broad-based plan that covers many AbbVie employees in the United States, age 21 or older, and provides participants with a life annuity benefit at normal retirement equal to A plus the greater of B or C below.</w:t>
      </w:r>
    </w:p>
    <w:p>
      <w:pPr>
        <w:spacing w:after="0" w:line="150" w:lineRule="exact"/>
        <w:rPr>
          <w:sz w:val="20"/>
          <w:szCs w:val="20"/>
          <w:color w:val="auto"/>
        </w:rPr>
      </w:pPr>
    </w:p>
    <w:p>
      <w:pPr>
        <w:ind w:left="320" w:hanging="308"/>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after 2003.</w:t>
      </w:r>
    </w:p>
    <w:p>
      <w:pPr>
        <w:spacing w:after="0" w:line="192" w:lineRule="exact"/>
        <w:rPr>
          <w:rFonts w:ascii="Arial" w:cs="Arial" w:eastAsia="Arial" w:hAnsi="Arial"/>
          <w:sz w:val="17"/>
          <w:szCs w:val="17"/>
          <w:color w:val="auto"/>
        </w:rPr>
      </w:pPr>
    </w:p>
    <w:p>
      <w:pPr>
        <w:ind w:left="320" w:right="260" w:hanging="308"/>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final average earnings (but not more than the social security wage base in any year) or the social security covered compensation level multiplied by years of benefit service.</w:t>
      </w:r>
    </w:p>
    <w:p>
      <w:pPr>
        <w:spacing w:after="0" w:line="168" w:lineRule="exact"/>
        <w:rPr>
          <w:rFonts w:ascii="Arial" w:cs="Arial" w:eastAsia="Arial" w:hAnsi="Arial"/>
          <w:sz w:val="17"/>
          <w:szCs w:val="17"/>
          <w:color w:val="auto"/>
        </w:rPr>
      </w:pPr>
    </w:p>
    <w:p>
      <w:pPr>
        <w:ind w:left="320" w:hanging="308"/>
        <w:spacing w:after="0"/>
        <w:tabs>
          <w:tab w:leader="none" w:pos="3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prior to 2004.</w:t>
      </w:r>
    </w:p>
    <w:p>
      <w:pPr>
        <w:spacing w:after="0" w:line="192" w:lineRule="exact"/>
        <w:rPr>
          <w:sz w:val="20"/>
          <w:szCs w:val="20"/>
          <w:color w:val="auto"/>
        </w:rPr>
      </w:pPr>
    </w:p>
    <w:p>
      <w:pPr>
        <w:ind w:left="20" w:right="560"/>
        <w:spacing w:after="0" w:line="246"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62" w:lineRule="exact"/>
        <w:rPr>
          <w:sz w:val="20"/>
          <w:szCs w:val="20"/>
          <w:color w:val="auto"/>
        </w:rPr>
      </w:pPr>
    </w:p>
    <w:p>
      <w:pPr>
        <w:ind w:left="20" w:right="240"/>
        <w:spacing w:after="0" w:line="246"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162" w:lineRule="exact"/>
        <w:rPr>
          <w:sz w:val="20"/>
          <w:szCs w:val="20"/>
          <w:color w:val="auto"/>
        </w:rPr>
      </w:pPr>
    </w:p>
    <w:p>
      <w:pPr>
        <w:ind w:left="20" w:right="180"/>
        <w:spacing w:after="0" w:line="246" w:lineRule="auto"/>
        <w:rPr>
          <w:sz w:val="20"/>
          <w:szCs w:val="20"/>
          <w:color w:val="auto"/>
        </w:rPr>
      </w:pPr>
      <w:r>
        <w:rPr>
          <w:rFonts w:ascii="Arial" w:cs="Arial" w:eastAsia="Arial" w:hAnsi="Arial"/>
          <w:sz w:val="17"/>
          <w:szCs w:val="17"/>
          <w:color w:val="auto"/>
        </w:rPr>
        <w:t>Participants become fully vested in their pension benefit upon the completion of five years of service. The benefit is payable on an unreduced basis at age 65. Employees hired after 2003 who terminate employment prior to age 55 with at least 10 years of service may choose to commence their benefits on an actuarially reduced basis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4" w:name="page65"/>
    <w:bookmarkEnd w:id="6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8" w:right="80"/>
        <w:spacing w:after="0"/>
        <w:rPr>
          <w:sz w:val="20"/>
          <w:szCs w:val="20"/>
          <w:color w:val="auto"/>
        </w:rPr>
      </w:pPr>
      <w:r>
        <w:rPr>
          <w:rFonts w:ascii="Arial" w:cs="Arial" w:eastAsia="Arial" w:hAnsi="Arial"/>
          <w:sz w:val="17"/>
          <w:szCs w:val="17"/>
          <w:color w:val="auto"/>
        </w:rPr>
        <w:t>as early as age 55. Employees hired before 2004 who terminate employment prior to age 50 with at least 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169" w:lineRule="exact"/>
        <w:rPr>
          <w:sz w:val="20"/>
          <w:szCs w:val="20"/>
          <w:color w:val="auto"/>
        </w:rPr>
      </w:pPr>
    </w:p>
    <w:p>
      <w:pPr>
        <w:ind w:left="8" w:right="240"/>
        <w:spacing w:after="0" w:line="246" w:lineRule="auto"/>
        <w:rPr>
          <w:sz w:val="20"/>
          <w:szCs w:val="20"/>
          <w:color w:val="auto"/>
        </w:rPr>
      </w:pPr>
      <w:r>
        <w:rPr>
          <w:rFonts w:ascii="Arial" w:cs="Arial" w:eastAsia="Arial" w:hAnsi="Arial"/>
          <w:sz w:val="17"/>
          <w:szCs w:val="17"/>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62" w:lineRule="exact"/>
        <w:rPr>
          <w:sz w:val="20"/>
          <w:szCs w:val="20"/>
          <w:color w:val="auto"/>
        </w:rPr>
      </w:pPr>
    </w:p>
    <w:p>
      <w:pPr>
        <w:ind w:left="8" w:right="120"/>
        <w:spacing w:after="0" w:line="238" w:lineRule="auto"/>
        <w:rPr>
          <w:sz w:val="20"/>
          <w:szCs w:val="20"/>
          <w:color w:val="auto"/>
        </w:rPr>
      </w:pPr>
      <w:r>
        <w:rPr>
          <w:rFonts w:ascii="Arial" w:cs="Arial" w:eastAsia="Arial" w:hAnsi="Arial"/>
          <w:sz w:val="17"/>
          <w:szCs w:val="17"/>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 10 years of service or age 55 if the employee’s age plus years of benefit service total 70 or more. Mr. Gonzalez, Mr. Michael, Mr. Reents, Dr. Saleki-Gerhardt, and Mr. Stewart are eligible for early retirement benefits under the plan.</w:t>
      </w:r>
    </w:p>
    <w:p>
      <w:pPr>
        <w:spacing w:after="0" w:line="169" w:lineRule="exact"/>
        <w:rPr>
          <w:sz w:val="20"/>
          <w:szCs w:val="20"/>
          <w:color w:val="auto"/>
        </w:rPr>
      </w:pPr>
    </w:p>
    <w:p>
      <w:pPr>
        <w:ind w:left="8" w:right="80"/>
        <w:spacing w:after="0"/>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spacing w:after="0" w:line="169" w:lineRule="exact"/>
        <w:rPr>
          <w:sz w:val="20"/>
          <w:szCs w:val="20"/>
          <w:color w:val="auto"/>
        </w:rPr>
      </w:pPr>
    </w:p>
    <w:p>
      <w:pPr>
        <w:ind w:left="8"/>
        <w:spacing w:after="0" w:line="261" w:lineRule="auto"/>
        <w:rPr>
          <w:sz w:val="20"/>
          <w:szCs w:val="20"/>
          <w:color w:val="auto"/>
        </w:rPr>
      </w:pPr>
      <w:r>
        <w:rPr>
          <w:rFonts w:ascii="Arial" w:cs="Arial" w:eastAsia="Arial" w:hAnsi="Arial"/>
          <w:sz w:val="17"/>
          <w:szCs w:val="17"/>
          <w:color w:val="auto"/>
        </w:rPr>
        <w:t>The early retirement reductions applied to the benefit payable for service prior to 2004 (B and C above) depend upon age and service at retirement:</w:t>
      </w:r>
    </w:p>
    <w:p>
      <w:pPr>
        <w:spacing w:after="0" w:line="150" w:lineRule="exact"/>
        <w:rPr>
          <w:sz w:val="20"/>
          <w:szCs w:val="20"/>
          <w:color w:val="auto"/>
        </w:rPr>
      </w:pPr>
    </w:p>
    <w:p>
      <w:pPr>
        <w:ind w:left="308" w:right="200" w:hanging="308"/>
        <w:spacing w:after="0" w:line="236" w:lineRule="auto"/>
        <w:tabs>
          <w:tab w:leader="none" w:pos="308" w:val="left"/>
        </w:tabs>
        <w:numPr>
          <w:ilvl w:val="0"/>
          <w:numId w:val="91"/>
        </w:numPr>
        <w:rPr>
          <w:rFonts w:ascii="Times New Roman" w:cs="Times New Roman" w:eastAsia="Times New Roman" w:hAnsi="Times New Roman"/>
          <w:sz w:val="17"/>
          <w:szCs w:val="17"/>
          <w:color w:val="071D49"/>
        </w:rPr>
      </w:pPr>
      <w:r>
        <w:rPr>
          <w:rFonts w:ascii="Arial" w:cs="Arial" w:eastAsia="Arial" w:hAnsi="Arial"/>
          <w:sz w:val="17"/>
          <w:szCs w:val="17"/>
          <w:color w:val="auto"/>
        </w:rPr>
        <w:t>In general, the 5-year final average earnings portions of the benefit are reduced 3 percent per year for each year that payments are made before age 62 and the 3-year final average earnings portion of the benefit is reduced 5 percent per year for each year that payments are made before age 62.</w:t>
      </w:r>
    </w:p>
    <w:p>
      <w:pPr>
        <w:spacing w:after="0" w:line="1" w:lineRule="exact"/>
        <w:rPr>
          <w:rFonts w:ascii="Times New Roman" w:cs="Times New Roman" w:eastAsia="Times New Roman" w:hAnsi="Times New Roman"/>
          <w:sz w:val="17"/>
          <w:szCs w:val="17"/>
          <w:color w:val="071D49"/>
        </w:rPr>
      </w:pPr>
    </w:p>
    <w:p>
      <w:pPr>
        <w:jc w:val="both"/>
        <w:ind w:left="308" w:right="140" w:hanging="308"/>
        <w:spacing w:after="0" w:line="244" w:lineRule="auto"/>
        <w:tabs>
          <w:tab w:leader="none" w:pos="308" w:val="left"/>
        </w:tabs>
        <w:numPr>
          <w:ilvl w:val="0"/>
          <w:numId w:val="91"/>
        </w:numPr>
        <w:rPr>
          <w:rFonts w:ascii="Times New Roman" w:cs="Times New Roman" w:eastAsia="Times New Roman" w:hAnsi="Times New Roman"/>
          <w:sz w:val="16"/>
          <w:szCs w:val="16"/>
          <w:color w:val="071D49"/>
        </w:rPr>
      </w:pPr>
      <w:r>
        <w:rPr>
          <w:rFonts w:ascii="Arial" w:cs="Arial" w:eastAsia="Arial" w:hAnsi="Arial"/>
          <w:sz w:val="16"/>
          <w:szCs w:val="16"/>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w:t>
      </w:r>
    </w:p>
    <w:p>
      <w:pPr>
        <w:spacing w:after="0" w:line="1" w:lineRule="exact"/>
        <w:rPr>
          <w:rFonts w:ascii="Times New Roman" w:cs="Times New Roman" w:eastAsia="Times New Roman" w:hAnsi="Times New Roman"/>
          <w:sz w:val="16"/>
          <w:szCs w:val="16"/>
          <w:color w:val="071D49"/>
        </w:rPr>
      </w:pPr>
    </w:p>
    <w:p>
      <w:pPr>
        <w:ind w:left="308" w:right="60"/>
        <w:spacing w:after="0" w:line="213" w:lineRule="auto"/>
        <w:rPr>
          <w:rFonts w:ascii="Times New Roman" w:cs="Times New Roman" w:eastAsia="Times New Roman" w:hAnsi="Times New Roman"/>
          <w:sz w:val="16"/>
          <w:szCs w:val="16"/>
          <w:color w:val="071D49"/>
        </w:rPr>
      </w:pPr>
      <w:r>
        <w:rPr>
          <w:rFonts w:ascii="Arial" w:cs="Arial" w:eastAsia="Arial" w:hAnsi="Arial"/>
          <w:sz w:val="17"/>
          <w:szCs w:val="17"/>
          <w:color w:val="auto"/>
        </w:rPr>
        <w:t>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5"/>
          <w:szCs w:val="25"/>
          <w:color w:val="auto"/>
          <w:vertAlign w:val="superscript"/>
        </w:rPr>
        <w:t>2</w:t>
      </w:r>
      <w:r>
        <w:rPr>
          <w:rFonts w:ascii="Arial" w:cs="Arial" w:eastAsia="Arial" w:hAnsi="Arial"/>
          <w:sz w:val="17"/>
          <w:szCs w:val="17"/>
          <w:color w:val="auto"/>
        </w:rPr>
        <w:t>/</w:t>
      </w:r>
      <w:r>
        <w:rPr>
          <w:rFonts w:ascii="Arial" w:cs="Arial" w:eastAsia="Arial" w:hAnsi="Arial"/>
          <w:sz w:val="25"/>
          <w:szCs w:val="25"/>
          <w:color w:val="auto"/>
          <w:vertAlign w:val="subscript"/>
        </w:rPr>
        <w:t>3</w:t>
      </w:r>
      <w:r>
        <w:rPr>
          <w:rFonts w:ascii="Arial" w:cs="Arial" w:eastAsia="Arial" w:hAnsi="Arial"/>
          <w:sz w:val="17"/>
          <w:szCs w:val="17"/>
          <w:color w:val="auto"/>
        </w:rPr>
        <w:t xml:space="preserve"> percent for each year between ages 59 and 62 plus 2</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25"/>
          <w:szCs w:val="25"/>
          <w:color w:val="auto"/>
          <w:vertAlign w:val="subscript"/>
        </w:rPr>
        <w:t>2</w:t>
      </w:r>
      <w:r>
        <w:rPr>
          <w:rFonts w:ascii="Arial" w:cs="Arial" w:eastAsia="Arial" w:hAnsi="Arial"/>
          <w:sz w:val="17"/>
          <w:szCs w:val="17"/>
          <w:color w:val="auto"/>
        </w:rPr>
        <w:t xml:space="preserve"> percent for each year between ages 55 and 59. The 3-year final average earnings portion of the benefit is reduced 5 percent per year for each year that payments are made before age 62. Benefit C is payable on an unreduced basis at Special Retirement and is reduced 3 percent per year for each year that payments are made before age 62, if Early Special Retirement applies.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SUPPLEMENTAL PENSION PLAN</w:t>
      </w:r>
    </w:p>
    <w:p>
      <w:pPr>
        <w:spacing w:after="0" w:line="155" w:lineRule="exact"/>
        <w:rPr>
          <w:sz w:val="20"/>
          <w:szCs w:val="20"/>
          <w:color w:val="auto"/>
        </w:rPr>
      </w:pPr>
    </w:p>
    <w:p>
      <w:pPr>
        <w:ind w:left="8" w:right="20"/>
        <w:spacing w:after="0" w:line="246" w:lineRule="auto"/>
        <w:rPr>
          <w:sz w:val="20"/>
          <w:szCs w:val="20"/>
          <w:color w:val="auto"/>
        </w:rPr>
      </w:pPr>
      <w:r>
        <w:rPr>
          <w:rFonts w:ascii="Arial" w:cs="Arial" w:eastAsia="Arial" w:hAnsi="Arial"/>
          <w:sz w:val="17"/>
          <w:szCs w:val="17"/>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162" w:lineRule="exact"/>
        <w:rPr>
          <w:sz w:val="20"/>
          <w:szCs w:val="20"/>
          <w:color w:val="auto"/>
        </w:rPr>
      </w:pPr>
    </w:p>
    <w:p>
      <w:pPr>
        <w:ind w:left="308" w:right="160" w:hanging="308"/>
        <w:spacing w:after="0" w:line="239" w:lineRule="auto"/>
        <w:tabs>
          <w:tab w:leader="none" w:pos="308" w:val="left"/>
        </w:tabs>
        <w:numPr>
          <w:ilvl w:val="0"/>
          <w:numId w:val="92"/>
        </w:numPr>
        <w:rPr>
          <w:rFonts w:ascii="Times New Roman" w:cs="Times New Roman" w:eastAsia="Times New Roman" w:hAnsi="Times New Roman"/>
          <w:sz w:val="17"/>
          <w:szCs w:val="17"/>
          <w:color w:val="071D49"/>
        </w:rPr>
      </w:pPr>
      <w:r>
        <w:rPr>
          <w:rFonts w:ascii="Arial" w:cs="Arial" w:eastAsia="Arial" w:hAnsi="Arial"/>
          <w:sz w:val="17"/>
          <w:szCs w:val="17"/>
          <w:color w:val="auto"/>
        </w:rPr>
        <w:t>Participants’ 5-year final average earnings are calculated using the average of the 5 highest years of base earnings and the 5 highest years of payments under AbbVie’s non-equity incentive plans.</w:t>
      </w:r>
    </w:p>
    <w:p>
      <w:pPr>
        <w:spacing w:after="0" w:line="1" w:lineRule="exact"/>
        <w:rPr>
          <w:rFonts w:ascii="Times New Roman" w:cs="Times New Roman" w:eastAsia="Times New Roman" w:hAnsi="Times New Roman"/>
          <w:sz w:val="17"/>
          <w:szCs w:val="17"/>
          <w:color w:val="071D49"/>
        </w:rPr>
      </w:pPr>
    </w:p>
    <w:p>
      <w:pPr>
        <w:ind w:left="308" w:right="240" w:hanging="308"/>
        <w:spacing w:after="0" w:line="230" w:lineRule="auto"/>
        <w:tabs>
          <w:tab w:leader="none" w:pos="308" w:val="left"/>
        </w:tabs>
        <w:numPr>
          <w:ilvl w:val="0"/>
          <w:numId w:val="92"/>
        </w:numPr>
        <w:rPr>
          <w:rFonts w:ascii="Times New Roman" w:cs="Times New Roman" w:eastAsia="Times New Roman" w:hAnsi="Times New Roman"/>
          <w:sz w:val="17"/>
          <w:szCs w:val="17"/>
          <w:color w:val="071D49"/>
        </w:rPr>
      </w:pPr>
      <w:r>
        <w:rPr>
          <w:rFonts w:ascii="Arial" w:cs="Arial" w:eastAsia="Arial" w:hAnsi="Arial"/>
          <w:sz w:val="17"/>
          <w:szCs w:val="17"/>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ind w:left="308" w:right="40" w:hanging="308"/>
        <w:spacing w:after="0" w:line="234" w:lineRule="auto"/>
        <w:tabs>
          <w:tab w:leader="none" w:pos="308" w:val="left"/>
        </w:tabs>
        <w:numPr>
          <w:ilvl w:val="0"/>
          <w:numId w:val="92"/>
        </w:numPr>
        <w:rPr>
          <w:rFonts w:ascii="Times New Roman" w:cs="Times New Roman" w:eastAsia="Times New Roman" w:hAnsi="Times New Roman"/>
          <w:sz w:val="17"/>
          <w:szCs w:val="17"/>
          <w:color w:val="071D49"/>
        </w:rPr>
      </w:pPr>
      <w:r>
        <w:rPr>
          <w:rFonts w:ascii="Arial" w:cs="Arial" w:eastAsia="Arial" w:hAnsi="Arial"/>
          <w:sz w:val="17"/>
          <w:szCs w:val="17"/>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w:t>
      </w:r>
    </w:p>
    <w:p>
      <w:pPr>
        <w:spacing w:after="0" w:line="361"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62</w:t>
      </w:r>
      <w:r>
        <w:rPr>
          <w:sz w:val="20"/>
          <w:szCs w:val="20"/>
          <w:color w:val="auto"/>
        </w:rPr>
        <w:tab/>
      </w:r>
      <w:r>
        <w:rPr>
          <w:sz w:val="1"/>
          <w:szCs w:val="1"/>
          <w:color w:val="auto"/>
        </w:rPr>
        <w:drawing>
          <wp:inline distT="0" distB="0" distL="0" distR="0">
            <wp:extent cx="810260" cy="15113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486" w:right="1319" w:bottom="1440" w:gutter="0" w:footer="0" w:header="0"/>
        </w:sectPr>
      </w:pPr>
    </w:p>
    <w:bookmarkStart w:id="65" w:name="page66"/>
    <w:bookmarkEnd w:id="6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320" w:right="40"/>
        <w:spacing w:after="0" w:line="251" w:lineRule="auto"/>
        <w:rPr>
          <w:sz w:val="20"/>
          <w:szCs w:val="20"/>
          <w:color w:val="auto"/>
        </w:rPr>
      </w:pPr>
      <w:r>
        <w:rPr>
          <w:rFonts w:ascii="Arial" w:cs="Arial" w:eastAsia="Arial" w:hAnsi="Arial"/>
          <w:sz w:val="16"/>
          <w:szCs w:val="16"/>
          <w:color w:val="auto"/>
        </w:rPr>
        <w:t>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2" w:lineRule="exact"/>
        <w:rPr>
          <w:sz w:val="20"/>
          <w:szCs w:val="20"/>
          <w:color w:val="auto"/>
        </w:rPr>
      </w:pPr>
    </w:p>
    <w:p>
      <w:pPr>
        <w:ind w:left="320" w:right="60" w:hanging="308"/>
        <w:spacing w:after="0" w:line="230" w:lineRule="auto"/>
        <w:tabs>
          <w:tab w:leader="none" w:pos="320" w:val="left"/>
        </w:tabs>
        <w:numPr>
          <w:ilvl w:val="0"/>
          <w:numId w:val="93"/>
        </w:numPr>
        <w:rPr>
          <w:rFonts w:ascii="Times New Roman" w:cs="Times New Roman" w:eastAsia="Times New Roman" w:hAnsi="Times New Roman"/>
          <w:sz w:val="17"/>
          <w:szCs w:val="17"/>
          <w:color w:val="071D49"/>
        </w:rPr>
      </w:pPr>
      <w:r>
        <w:rPr>
          <w:rFonts w:ascii="Arial" w:cs="Arial" w:eastAsia="Arial" w:hAnsi="Arial"/>
          <w:sz w:val="17"/>
          <w:szCs w:val="17"/>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Gonzalez, Mr. Michael, Mr. Reents, Dr. Saleki-Gerhardt, and Mr. Stewart are eligible for early retirement benefits under the plan.</w:t>
      </w:r>
    </w:p>
    <w:p>
      <w:pPr>
        <w:ind w:left="320" w:right="100" w:hanging="308"/>
        <w:spacing w:after="0" w:line="251" w:lineRule="auto"/>
        <w:tabs>
          <w:tab w:leader="none" w:pos="320" w:val="left"/>
        </w:tabs>
        <w:numPr>
          <w:ilvl w:val="0"/>
          <w:numId w:val="93"/>
        </w:numPr>
        <w:rPr>
          <w:rFonts w:ascii="Times New Roman" w:cs="Times New Roman" w:eastAsia="Times New Roman" w:hAnsi="Times New Roman"/>
          <w:sz w:val="16"/>
          <w:szCs w:val="16"/>
          <w:color w:val="071D49"/>
        </w:rPr>
      </w:pPr>
      <w:r>
        <w:rPr>
          <w:rFonts w:ascii="Arial" w:cs="Arial" w:eastAsia="Arial" w:hAnsi="Arial"/>
          <w:sz w:val="16"/>
          <w:szCs w:val="16"/>
          <w:color w:val="auto"/>
        </w:rPr>
        <w:t>Vested benefits accrued under the Supplemental Pension Plan may be funded through a grantor trust established by an eligible NEO. Consistent with the distribution requirements of Internal Revenue Code Section 409A and its regulations, an eligible NEO who became an officer prior to 2009 may have the entire amount of their vested plan benefits funded through a grantor trust. An eligible NEO who became an officer after 2008 may have only the vested benefits that accrue following the calendar year in which they are first elected as an officer funded through a grantor trust.</w:t>
      </w:r>
    </w:p>
    <w:p>
      <w:pPr>
        <w:spacing w:after="0" w:line="160" w:lineRule="exact"/>
        <w:rPr>
          <w:sz w:val="20"/>
          <w:szCs w:val="20"/>
          <w:color w:val="auto"/>
        </w:rPr>
      </w:pPr>
    </w:p>
    <w:p>
      <w:pPr>
        <w:ind w:left="20" w:right="60"/>
        <w:spacing w:after="0" w:line="260" w:lineRule="auto"/>
        <w:rPr>
          <w:sz w:val="20"/>
          <w:szCs w:val="20"/>
          <w:color w:val="auto"/>
        </w:rPr>
      </w:pPr>
      <w:r>
        <w:rPr>
          <w:rFonts w:ascii="Arial" w:cs="Arial" w:eastAsia="Arial" w:hAnsi="Arial"/>
          <w:sz w:val="16"/>
          <w:szCs w:val="16"/>
          <w:color w:val="auto"/>
        </w:rPr>
        <w:t>Benefits payable under the Supplemental Pension Plan are offset by the benefits payable from the Pension Plan, calculated as if benefits under the plans commenced at the same time. The amounts paid to an eligible NEO’s Supplemental Pension Plan grantor trust to fund plan benefits are actuarially determined. The plan is designed to result in AbbVie paying the eligible NEO’s Supplemental Pension Plan benefits to the extent assets held in their trust are insufficient.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PENSION BENEFITS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3"/>
                <w:szCs w:val="13"/>
                <w:b w:val="1"/>
                <w:bCs w:val="1"/>
                <w:color w:val="454968"/>
              </w:rPr>
              <w:t>Present</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454968"/>
              </w:rPr>
              <w:t>Number of</w:t>
            </w:r>
          </w:p>
        </w:tc>
        <w:tc>
          <w:tcPr>
            <w:tcW w:w="34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3"/>
                <w:szCs w:val="13"/>
                <w:b w:val="1"/>
                <w:bCs w:val="1"/>
                <w:color w:val="454968"/>
              </w:rPr>
              <w:t>Value of</w:t>
            </w:r>
          </w:p>
        </w:tc>
        <w:tc>
          <w:tcPr>
            <w:tcW w:w="3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Payments</w:t>
            </w:r>
          </w:p>
        </w:tc>
        <w:tc>
          <w:tcPr>
            <w:tcW w:w="2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454968"/>
              </w:rPr>
              <w:t>Years</w:t>
            </w:r>
          </w:p>
        </w:tc>
        <w:tc>
          <w:tcPr>
            <w:tcW w:w="34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3"/>
                <w:szCs w:val="13"/>
                <w:b w:val="1"/>
                <w:bCs w:val="1"/>
                <w:color w:val="454968"/>
              </w:rPr>
              <w:t>Accumulated</w:t>
            </w:r>
          </w:p>
        </w:tc>
        <w:tc>
          <w:tcPr>
            <w:tcW w:w="3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During Last</w:t>
            </w:r>
          </w:p>
        </w:tc>
        <w:tc>
          <w:tcPr>
            <w:tcW w:w="24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454968"/>
              </w:rPr>
              <w:t>Credited</w:t>
            </w:r>
          </w:p>
        </w:tc>
        <w:tc>
          <w:tcPr>
            <w:tcW w:w="340" w:type="dxa"/>
            <w:vAlign w:val="bottom"/>
          </w:tcPr>
          <w:p>
            <w:pPr>
              <w:spacing w:after="0"/>
              <w:rPr>
                <w:sz w:val="13"/>
                <w:szCs w:val="13"/>
                <w:color w:val="auto"/>
              </w:rPr>
            </w:pPr>
          </w:p>
        </w:tc>
        <w:tc>
          <w:tcPr>
            <w:tcW w:w="1120" w:type="dxa"/>
            <w:vAlign w:val="bottom"/>
          </w:tcPr>
          <w:p>
            <w:pPr>
              <w:jc w:val="right"/>
              <w:ind w:right="82"/>
              <w:spacing w:after="0"/>
              <w:rPr>
                <w:sz w:val="20"/>
                <w:szCs w:val="20"/>
                <w:color w:val="auto"/>
              </w:rPr>
            </w:pPr>
            <w:r>
              <w:rPr>
                <w:rFonts w:ascii="Arial" w:cs="Arial" w:eastAsia="Arial" w:hAnsi="Arial"/>
                <w:sz w:val="13"/>
                <w:szCs w:val="13"/>
                <w:b w:val="1"/>
                <w:bCs w:val="1"/>
                <w:color w:val="454968"/>
              </w:rPr>
              <w:t>Benefit</w:t>
            </w:r>
          </w:p>
        </w:tc>
        <w:tc>
          <w:tcPr>
            <w:tcW w:w="3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Fiscal Year</w:t>
            </w:r>
          </w:p>
        </w:tc>
        <w:tc>
          <w:tcPr>
            <w:tcW w:w="240" w:type="dxa"/>
            <w:vAlign w:val="bottom"/>
          </w:tcPr>
          <w:p>
            <w:pPr>
              <w:spacing w:after="0"/>
              <w:rPr>
                <w:sz w:val="13"/>
                <w:szCs w:val="13"/>
                <w:color w:val="auto"/>
              </w:rPr>
            </w:pPr>
          </w:p>
        </w:tc>
      </w:tr>
      <w:tr>
        <w:trPr>
          <w:trHeight w:val="160"/>
        </w:trPr>
        <w:tc>
          <w:tcPr>
            <w:tcW w:w="2320" w:type="dxa"/>
            <w:vAlign w:val="bottom"/>
            <w:gridSpan w:val="2"/>
          </w:tcPr>
          <w:p>
            <w:pPr>
              <w:ind w:left="20"/>
              <w:spacing w:after="0"/>
              <w:rPr>
                <w:sz w:val="20"/>
                <w:szCs w:val="20"/>
                <w:color w:val="auto"/>
              </w:rPr>
            </w:pPr>
            <w:r>
              <w:rPr>
                <w:rFonts w:ascii="Arial" w:cs="Arial" w:eastAsia="Arial" w:hAnsi="Arial"/>
                <w:sz w:val="13"/>
                <w:szCs w:val="13"/>
                <w:b w:val="1"/>
                <w:bCs w:val="1"/>
                <w:color w:val="454968"/>
              </w:rPr>
              <w:t>Name</w:t>
            </w:r>
          </w:p>
        </w:tc>
        <w:tc>
          <w:tcPr>
            <w:tcW w:w="2980" w:type="dxa"/>
            <w:vAlign w:val="bottom"/>
          </w:tcPr>
          <w:p>
            <w:pPr>
              <w:ind w:left="80"/>
              <w:spacing w:after="0"/>
              <w:rPr>
                <w:sz w:val="20"/>
                <w:szCs w:val="20"/>
                <w:color w:val="auto"/>
              </w:rPr>
            </w:pPr>
            <w:r>
              <w:rPr>
                <w:rFonts w:ascii="Arial" w:cs="Arial" w:eastAsia="Arial" w:hAnsi="Arial"/>
                <w:sz w:val="13"/>
                <w:szCs w:val="13"/>
                <w:b w:val="1"/>
                <w:bCs w:val="1"/>
                <w:color w:val="454968"/>
              </w:rPr>
              <w:t>Plan Name</w:t>
            </w:r>
          </w:p>
        </w:tc>
        <w:tc>
          <w:tcPr>
            <w:tcW w:w="1080" w:type="dxa"/>
            <w:vAlign w:val="bottom"/>
          </w:tcPr>
          <w:p>
            <w:pPr>
              <w:jc w:val="right"/>
              <w:ind w:right="41"/>
              <w:spacing w:after="0"/>
              <w:rPr>
                <w:sz w:val="20"/>
                <w:szCs w:val="20"/>
                <w:color w:val="auto"/>
              </w:rPr>
            </w:pPr>
            <w:r>
              <w:rPr>
                <w:rFonts w:ascii="Arial" w:cs="Arial" w:eastAsia="Arial" w:hAnsi="Arial"/>
                <w:sz w:val="13"/>
                <w:szCs w:val="13"/>
                <w:b w:val="1"/>
                <w:bCs w:val="1"/>
                <w:color w:val="454968"/>
              </w:rPr>
              <w:t>Service (#)</w:t>
            </w:r>
          </w:p>
        </w:tc>
        <w:tc>
          <w:tcPr>
            <w:tcW w:w="340" w:type="dxa"/>
            <w:vAlign w:val="bottom"/>
          </w:tcPr>
          <w:p>
            <w:pPr>
              <w:spacing w:after="0"/>
              <w:rPr>
                <w:sz w:val="13"/>
                <w:szCs w:val="13"/>
                <w:color w:val="auto"/>
              </w:rPr>
            </w:pPr>
          </w:p>
        </w:tc>
        <w:tc>
          <w:tcPr>
            <w:tcW w:w="1120" w:type="dxa"/>
            <w:vAlign w:val="bottom"/>
          </w:tcPr>
          <w:p>
            <w:pPr>
              <w:jc w:val="right"/>
              <w:ind w:right="22"/>
              <w:spacing w:after="0"/>
              <w:rPr>
                <w:sz w:val="20"/>
                <w:szCs w:val="20"/>
                <w:color w:val="auto"/>
              </w:rPr>
            </w:pPr>
            <w:r>
              <w:rPr>
                <w:rFonts w:ascii="Arial" w:cs="Arial" w:eastAsia="Arial" w:hAnsi="Arial"/>
                <w:sz w:val="13"/>
                <w:szCs w:val="13"/>
                <w:b w:val="1"/>
                <w:bCs w:val="1"/>
                <w:color w:val="454968"/>
              </w:rPr>
              <w:t>($)(1)</w:t>
            </w:r>
          </w:p>
        </w:tc>
        <w:tc>
          <w:tcPr>
            <w:tcW w:w="3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454968"/>
              </w:rPr>
              <w:t>($)</w:t>
            </w:r>
          </w:p>
        </w:tc>
        <w:tc>
          <w:tcPr>
            <w:tcW w:w="24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2300" w:type="dxa"/>
            <w:vAlign w:val="bottom"/>
            <w:tcBorders>
              <w:top w:val="single" w:sz="8" w:color="071D49"/>
            </w:tcBorders>
            <w:shd w:val="clear" w:color="auto" w:fill="D9D9D9"/>
          </w:tcPr>
          <w:p>
            <w:pPr>
              <w:spacing w:after="0" w:line="163" w:lineRule="exact"/>
              <w:rPr>
                <w:sz w:val="20"/>
                <w:szCs w:val="20"/>
                <w:color w:val="auto"/>
              </w:rPr>
            </w:pPr>
            <w:r>
              <w:rPr>
                <w:rFonts w:ascii="Arial" w:cs="Arial" w:eastAsia="Arial" w:hAnsi="Arial"/>
                <w:sz w:val="17"/>
                <w:szCs w:val="17"/>
                <w:color w:val="auto"/>
              </w:rPr>
              <w:t>R. Gonzalez</w:t>
            </w:r>
          </w:p>
        </w:tc>
        <w:tc>
          <w:tcPr>
            <w:tcW w:w="2980" w:type="dxa"/>
            <w:vAlign w:val="bottom"/>
            <w:tcBorders>
              <w:top w:val="single" w:sz="8" w:color="071D49"/>
            </w:tcBorders>
            <w:shd w:val="clear" w:color="auto" w:fill="D9D9D9"/>
          </w:tcPr>
          <w:p>
            <w:pPr>
              <w:ind w:left="80"/>
              <w:spacing w:after="0" w:line="163" w:lineRule="exact"/>
              <w:rPr>
                <w:sz w:val="20"/>
                <w:szCs w:val="20"/>
                <w:color w:val="auto"/>
              </w:rPr>
            </w:pPr>
            <w:r>
              <w:rPr>
                <w:rFonts w:ascii="Arial" w:cs="Arial" w:eastAsia="Arial" w:hAnsi="Arial"/>
                <w:sz w:val="17"/>
                <w:szCs w:val="17"/>
                <w:color w:val="auto"/>
              </w:rPr>
              <w:t>AbbVie Pension Plan</w:t>
            </w:r>
          </w:p>
        </w:tc>
        <w:tc>
          <w:tcPr>
            <w:tcW w:w="1080" w:type="dxa"/>
            <w:vAlign w:val="bottom"/>
            <w:tcBorders>
              <w:top w:val="single" w:sz="8" w:color="071D49"/>
            </w:tcBorders>
            <w:shd w:val="clear" w:color="auto" w:fill="D9D9D9"/>
          </w:tcPr>
          <w:p>
            <w:pPr>
              <w:jc w:val="right"/>
              <w:ind w:right="41"/>
              <w:spacing w:after="0" w:line="163" w:lineRule="exact"/>
              <w:rPr>
                <w:sz w:val="20"/>
                <w:szCs w:val="20"/>
                <w:color w:val="auto"/>
              </w:rPr>
            </w:pPr>
            <w:r>
              <w:rPr>
                <w:rFonts w:ascii="Arial" w:cs="Arial" w:eastAsia="Arial" w:hAnsi="Arial"/>
                <w:sz w:val="17"/>
                <w:szCs w:val="17"/>
                <w:color w:val="auto"/>
              </w:rPr>
              <w:t>35</w:t>
            </w:r>
          </w:p>
        </w:tc>
        <w:tc>
          <w:tcPr>
            <w:tcW w:w="340" w:type="dxa"/>
            <w:vAlign w:val="bottom"/>
            <w:tcBorders>
              <w:top w:val="single" w:sz="8" w:color="071D49"/>
            </w:tcBorders>
            <w:shd w:val="clear" w:color="auto" w:fill="D9D9D9"/>
          </w:tcPr>
          <w:p>
            <w:pPr>
              <w:jc w:val="right"/>
              <w:ind w:right="37"/>
              <w:spacing w:after="0" w:line="16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071D49"/>
            </w:tcBorders>
            <w:shd w:val="clear" w:color="auto" w:fill="D9D9D9"/>
          </w:tcPr>
          <w:p>
            <w:pPr>
              <w:jc w:val="right"/>
              <w:ind w:right="82"/>
              <w:spacing w:after="0" w:line="163" w:lineRule="exact"/>
              <w:rPr>
                <w:sz w:val="20"/>
                <w:szCs w:val="20"/>
                <w:color w:val="auto"/>
              </w:rPr>
            </w:pPr>
            <w:r>
              <w:rPr>
                <w:rFonts w:ascii="Arial" w:cs="Arial" w:eastAsia="Arial" w:hAnsi="Arial"/>
                <w:sz w:val="17"/>
                <w:szCs w:val="17"/>
                <w:color w:val="auto"/>
              </w:rPr>
              <w:t>223,493</w:t>
            </w:r>
          </w:p>
        </w:tc>
        <w:tc>
          <w:tcPr>
            <w:tcW w:w="320" w:type="dxa"/>
            <w:vAlign w:val="bottom"/>
            <w:tcBorders>
              <w:top w:val="single" w:sz="8" w:color="071D49"/>
            </w:tcBorders>
            <w:shd w:val="clear" w:color="auto" w:fill="D9D9D9"/>
          </w:tcPr>
          <w:p>
            <w:pPr>
              <w:jc w:val="right"/>
              <w:ind w:right="57"/>
              <w:spacing w:after="0" w:line="163"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071D49"/>
            </w:tcBorders>
            <w:shd w:val="clear" w:color="auto" w:fill="D9D9D9"/>
          </w:tcPr>
          <w:p>
            <w:pPr>
              <w:jc w:val="right"/>
              <w:spacing w:after="0" w:line="163" w:lineRule="exact"/>
              <w:rPr>
                <w:sz w:val="20"/>
                <w:szCs w:val="20"/>
                <w:color w:val="auto"/>
              </w:rPr>
            </w:pPr>
            <w:r>
              <w:rPr>
                <w:rFonts w:ascii="Arial" w:cs="Arial" w:eastAsia="Arial" w:hAnsi="Arial"/>
                <w:sz w:val="17"/>
                <w:szCs w:val="17"/>
                <w:color w:val="auto"/>
              </w:rPr>
              <w:t>0</w:t>
            </w:r>
          </w:p>
        </w:tc>
        <w:tc>
          <w:tcPr>
            <w:tcW w:w="240" w:type="dxa"/>
            <w:vAlign w:val="bottom"/>
            <w:tcBorders>
              <w:top w:val="single" w:sz="8" w:color="071D49"/>
            </w:tcBorders>
            <w:shd w:val="clear" w:color="auto" w:fill="D9D9D9"/>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2300" w:type="dxa"/>
            <w:vAlign w:val="bottom"/>
            <w:shd w:val="clear" w:color="auto" w:fill="D9D9D9"/>
          </w:tcPr>
          <w:p>
            <w:pPr>
              <w:spacing w:after="0"/>
              <w:rPr>
                <w:sz w:val="17"/>
                <w:szCs w:val="17"/>
                <w:color w:val="auto"/>
              </w:rPr>
            </w:pPr>
          </w:p>
        </w:tc>
        <w:tc>
          <w:tcPr>
            <w:tcW w:w="2980" w:type="dxa"/>
            <w:vAlign w:val="bottom"/>
            <w:shd w:val="clear" w:color="auto" w:fill="D9D9D9"/>
          </w:tcPr>
          <w:p>
            <w:pPr>
              <w:ind w:left="80"/>
              <w:spacing w:after="0"/>
              <w:rPr>
                <w:sz w:val="20"/>
                <w:szCs w:val="20"/>
                <w:color w:val="auto"/>
              </w:rPr>
            </w:pPr>
            <w:r>
              <w:rPr>
                <w:rFonts w:ascii="Arial" w:cs="Arial" w:eastAsia="Arial" w:hAnsi="Arial"/>
                <w:sz w:val="17"/>
                <w:szCs w:val="17"/>
                <w:color w:val="auto"/>
              </w:rPr>
              <w:t>AbbVie Supplemental Pension Plan</w:t>
            </w:r>
          </w:p>
        </w:tc>
        <w:tc>
          <w:tcPr>
            <w:tcW w:w="1080" w:type="dxa"/>
            <w:vAlign w:val="bottom"/>
            <w:shd w:val="clear" w:color="auto" w:fill="D9D9D9"/>
          </w:tcPr>
          <w:p>
            <w:pPr>
              <w:jc w:val="right"/>
              <w:ind w:right="41"/>
              <w:spacing w:after="0"/>
              <w:rPr>
                <w:sz w:val="20"/>
                <w:szCs w:val="20"/>
                <w:color w:val="auto"/>
              </w:rPr>
            </w:pPr>
            <w:r>
              <w:rPr>
                <w:rFonts w:ascii="Arial" w:cs="Arial" w:eastAsia="Arial" w:hAnsi="Arial"/>
                <w:sz w:val="17"/>
                <w:szCs w:val="17"/>
                <w:color w:val="auto"/>
              </w:rPr>
              <w:t>35</w:t>
            </w:r>
          </w:p>
        </w:tc>
        <w:tc>
          <w:tcPr>
            <w:tcW w:w="340" w:type="dxa"/>
            <w:vAlign w:val="bottom"/>
            <w:shd w:val="clear" w:color="auto" w:fill="D9D9D9"/>
          </w:tcPr>
          <w:p>
            <w:pPr>
              <w:spacing w:after="0"/>
              <w:rPr>
                <w:sz w:val="17"/>
                <w:szCs w:val="17"/>
                <w:color w:val="auto"/>
              </w:rPr>
            </w:pPr>
          </w:p>
        </w:tc>
        <w:tc>
          <w:tcPr>
            <w:tcW w:w="1120" w:type="dxa"/>
            <w:vAlign w:val="bottom"/>
            <w:shd w:val="clear" w:color="auto" w:fill="D9D9D9"/>
          </w:tcPr>
          <w:p>
            <w:pPr>
              <w:jc w:val="right"/>
              <w:ind w:right="82"/>
              <w:spacing w:after="0"/>
              <w:rPr>
                <w:sz w:val="20"/>
                <w:szCs w:val="20"/>
                <w:color w:val="auto"/>
              </w:rPr>
            </w:pPr>
            <w:r>
              <w:rPr>
                <w:rFonts w:ascii="Arial" w:cs="Arial" w:eastAsia="Arial" w:hAnsi="Arial"/>
                <w:sz w:val="17"/>
                <w:szCs w:val="17"/>
                <w:color w:val="auto"/>
              </w:rPr>
              <w:t>15,767,991</w:t>
            </w:r>
          </w:p>
        </w:tc>
        <w:tc>
          <w:tcPr>
            <w:tcW w:w="32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7"/>
                <w:szCs w:val="17"/>
                <w:color w:val="auto"/>
              </w:rPr>
              <w:t>1,376,506</w:t>
            </w:r>
          </w:p>
        </w:tc>
        <w:tc>
          <w:tcPr>
            <w:tcW w:w="240" w:type="dxa"/>
            <w:vAlign w:val="bottom"/>
            <w:shd w:val="clear" w:color="auto" w:fill="D9D9D9"/>
          </w:tcPr>
          <w:p>
            <w:pPr>
              <w:jc w:val="right"/>
              <w:ind w:right="4"/>
              <w:spacing w:after="0"/>
              <w:rPr>
                <w:sz w:val="20"/>
                <w:szCs w:val="20"/>
                <w:color w:val="auto"/>
              </w:rPr>
            </w:pPr>
            <w:r>
              <w:rPr>
                <w:rFonts w:ascii="Arial" w:cs="Arial" w:eastAsia="Arial" w:hAnsi="Arial"/>
                <w:sz w:val="11"/>
                <w:szCs w:val="11"/>
                <w:color w:val="auto"/>
              </w:rPr>
              <w:t>(2)</w:t>
            </w:r>
          </w:p>
        </w:tc>
      </w:tr>
      <w:tr>
        <w:trPr>
          <w:trHeight w:val="171"/>
        </w:trPr>
        <w:tc>
          <w:tcPr>
            <w:tcW w:w="20" w:type="dxa"/>
            <w:vAlign w:val="bottom"/>
          </w:tcPr>
          <w:p>
            <w:pPr>
              <w:spacing w:after="0"/>
              <w:rPr>
                <w:sz w:val="14"/>
                <w:szCs w:val="14"/>
                <w:color w:val="auto"/>
              </w:rPr>
            </w:pPr>
          </w:p>
        </w:tc>
        <w:tc>
          <w:tcPr>
            <w:tcW w:w="2300" w:type="dxa"/>
            <w:vAlign w:val="bottom"/>
          </w:tcPr>
          <w:p>
            <w:pPr>
              <w:spacing w:after="0" w:line="171" w:lineRule="exact"/>
              <w:rPr>
                <w:sz w:val="20"/>
                <w:szCs w:val="20"/>
                <w:color w:val="auto"/>
              </w:rPr>
            </w:pPr>
            <w:r>
              <w:rPr>
                <w:rFonts w:ascii="Arial" w:cs="Arial" w:eastAsia="Arial" w:hAnsi="Arial"/>
                <w:sz w:val="17"/>
                <w:szCs w:val="17"/>
                <w:color w:val="auto"/>
              </w:rPr>
              <w:t>R. Michael</w:t>
            </w:r>
          </w:p>
        </w:tc>
        <w:tc>
          <w:tcPr>
            <w:tcW w:w="2980" w:type="dxa"/>
            <w:vAlign w:val="bottom"/>
          </w:tcPr>
          <w:p>
            <w:pPr>
              <w:ind w:left="80"/>
              <w:spacing w:after="0" w:line="171" w:lineRule="exact"/>
              <w:rPr>
                <w:sz w:val="20"/>
                <w:szCs w:val="20"/>
                <w:color w:val="auto"/>
              </w:rPr>
            </w:pPr>
            <w:r>
              <w:rPr>
                <w:rFonts w:ascii="Arial" w:cs="Arial" w:eastAsia="Arial" w:hAnsi="Arial"/>
                <w:sz w:val="17"/>
                <w:szCs w:val="17"/>
                <w:color w:val="auto"/>
              </w:rPr>
              <w:t>AbbVie Pension Plan</w:t>
            </w:r>
          </w:p>
        </w:tc>
        <w:tc>
          <w:tcPr>
            <w:tcW w:w="1080" w:type="dxa"/>
            <w:vAlign w:val="bottom"/>
          </w:tcPr>
          <w:p>
            <w:pPr>
              <w:jc w:val="right"/>
              <w:ind w:right="41"/>
              <w:spacing w:after="0" w:line="171" w:lineRule="exact"/>
              <w:rPr>
                <w:sz w:val="20"/>
                <w:szCs w:val="20"/>
                <w:color w:val="auto"/>
              </w:rPr>
            </w:pPr>
            <w:r>
              <w:rPr>
                <w:rFonts w:ascii="Arial" w:cs="Arial" w:eastAsia="Arial" w:hAnsi="Arial"/>
                <w:sz w:val="17"/>
                <w:szCs w:val="17"/>
                <w:color w:val="auto"/>
              </w:rPr>
              <w:t>31</w:t>
            </w:r>
          </w:p>
        </w:tc>
        <w:tc>
          <w:tcPr>
            <w:tcW w:w="340" w:type="dxa"/>
            <w:vAlign w:val="bottom"/>
          </w:tcPr>
          <w:p>
            <w:pPr>
              <w:spacing w:after="0"/>
              <w:rPr>
                <w:sz w:val="14"/>
                <w:szCs w:val="14"/>
                <w:color w:val="auto"/>
              </w:rPr>
            </w:pPr>
          </w:p>
        </w:tc>
        <w:tc>
          <w:tcPr>
            <w:tcW w:w="1120" w:type="dxa"/>
            <w:vAlign w:val="bottom"/>
          </w:tcPr>
          <w:p>
            <w:pPr>
              <w:jc w:val="right"/>
              <w:ind w:right="82"/>
              <w:spacing w:after="0" w:line="171" w:lineRule="exact"/>
              <w:rPr>
                <w:sz w:val="20"/>
                <w:szCs w:val="20"/>
                <w:color w:val="auto"/>
              </w:rPr>
            </w:pPr>
            <w:r>
              <w:rPr>
                <w:rFonts w:ascii="Arial" w:cs="Arial" w:eastAsia="Arial" w:hAnsi="Arial"/>
                <w:sz w:val="17"/>
                <w:szCs w:val="17"/>
                <w:color w:val="auto"/>
              </w:rPr>
              <w:t>833,874</w:t>
            </w:r>
          </w:p>
        </w:tc>
        <w:tc>
          <w:tcPr>
            <w:tcW w:w="32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0</w:t>
            </w:r>
          </w:p>
        </w:tc>
        <w:tc>
          <w:tcPr>
            <w:tcW w:w="24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980" w:type="dxa"/>
            <w:vAlign w:val="bottom"/>
          </w:tcPr>
          <w:p>
            <w:pPr>
              <w:ind w:left="80"/>
              <w:spacing w:after="0"/>
              <w:rPr>
                <w:sz w:val="20"/>
                <w:szCs w:val="20"/>
                <w:color w:val="auto"/>
              </w:rPr>
            </w:pPr>
            <w:r>
              <w:rPr>
                <w:rFonts w:ascii="Arial" w:cs="Arial" w:eastAsia="Arial" w:hAnsi="Arial"/>
                <w:sz w:val="17"/>
                <w:szCs w:val="17"/>
                <w:color w:val="auto"/>
              </w:rPr>
              <w:t>AbbVie Supplemental Pension Plan</w:t>
            </w: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31</w:t>
            </w:r>
          </w:p>
        </w:tc>
        <w:tc>
          <w:tcPr>
            <w:tcW w:w="34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7"/>
                <w:szCs w:val="17"/>
                <w:color w:val="auto"/>
              </w:rPr>
              <w:t>11,520,643</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2,354,834</w:t>
            </w:r>
          </w:p>
        </w:tc>
        <w:tc>
          <w:tcPr>
            <w:tcW w:w="240" w:type="dxa"/>
            <w:vAlign w:val="bottom"/>
          </w:tcPr>
          <w:p>
            <w:pPr>
              <w:jc w:val="right"/>
              <w:ind w:right="4"/>
              <w:spacing w:after="0"/>
              <w:rPr>
                <w:sz w:val="20"/>
                <w:szCs w:val="20"/>
                <w:color w:val="auto"/>
              </w:rPr>
            </w:pPr>
            <w:r>
              <w:rPr>
                <w:rFonts w:ascii="Arial" w:cs="Arial" w:eastAsia="Arial" w:hAnsi="Arial"/>
                <w:sz w:val="11"/>
                <w:szCs w:val="11"/>
                <w:color w:val="auto"/>
              </w:rPr>
              <w:t>(2)</w:t>
            </w:r>
          </w:p>
        </w:tc>
      </w:tr>
      <w:tr>
        <w:trPr>
          <w:trHeight w:val="171"/>
        </w:trPr>
        <w:tc>
          <w:tcPr>
            <w:tcW w:w="20" w:type="dxa"/>
            <w:vAlign w:val="bottom"/>
          </w:tcPr>
          <w:p>
            <w:pPr>
              <w:spacing w:after="0"/>
              <w:rPr>
                <w:sz w:val="14"/>
                <w:szCs w:val="14"/>
                <w:color w:val="auto"/>
              </w:rPr>
            </w:pPr>
          </w:p>
        </w:tc>
        <w:tc>
          <w:tcPr>
            <w:tcW w:w="2300" w:type="dxa"/>
            <w:vAlign w:val="bottom"/>
            <w:shd w:val="clear" w:color="auto" w:fill="D9D9D9"/>
          </w:tcPr>
          <w:p>
            <w:pPr>
              <w:spacing w:after="0" w:line="171" w:lineRule="exact"/>
              <w:rPr>
                <w:sz w:val="20"/>
                <w:szCs w:val="20"/>
                <w:color w:val="auto"/>
              </w:rPr>
            </w:pPr>
            <w:r>
              <w:rPr>
                <w:rFonts w:ascii="Arial" w:cs="Arial" w:eastAsia="Arial" w:hAnsi="Arial"/>
                <w:sz w:val="17"/>
                <w:szCs w:val="17"/>
                <w:color w:val="auto"/>
              </w:rPr>
              <w:t>S. Reents</w:t>
            </w:r>
          </w:p>
        </w:tc>
        <w:tc>
          <w:tcPr>
            <w:tcW w:w="2980" w:type="dxa"/>
            <w:vAlign w:val="bottom"/>
            <w:shd w:val="clear" w:color="auto" w:fill="D9D9D9"/>
          </w:tcPr>
          <w:p>
            <w:pPr>
              <w:ind w:left="80"/>
              <w:spacing w:after="0" w:line="171" w:lineRule="exact"/>
              <w:rPr>
                <w:sz w:val="20"/>
                <w:szCs w:val="20"/>
                <w:color w:val="auto"/>
              </w:rPr>
            </w:pPr>
            <w:r>
              <w:rPr>
                <w:rFonts w:ascii="Arial" w:cs="Arial" w:eastAsia="Arial" w:hAnsi="Arial"/>
                <w:sz w:val="17"/>
                <w:szCs w:val="17"/>
                <w:color w:val="auto"/>
              </w:rPr>
              <w:t>AbbVie Pension Plan</w:t>
            </w:r>
          </w:p>
        </w:tc>
        <w:tc>
          <w:tcPr>
            <w:tcW w:w="1080" w:type="dxa"/>
            <w:vAlign w:val="bottom"/>
            <w:shd w:val="clear" w:color="auto" w:fill="D9D9D9"/>
          </w:tcPr>
          <w:p>
            <w:pPr>
              <w:jc w:val="right"/>
              <w:ind w:right="41"/>
              <w:spacing w:after="0" w:line="171" w:lineRule="exact"/>
              <w:rPr>
                <w:sz w:val="20"/>
                <w:szCs w:val="20"/>
                <w:color w:val="auto"/>
              </w:rPr>
            </w:pPr>
            <w:r>
              <w:rPr>
                <w:rFonts w:ascii="Arial" w:cs="Arial" w:eastAsia="Arial" w:hAnsi="Arial"/>
                <w:sz w:val="17"/>
                <w:szCs w:val="17"/>
                <w:color w:val="auto"/>
              </w:rPr>
              <w:t>16</w:t>
            </w:r>
          </w:p>
        </w:tc>
        <w:tc>
          <w:tcPr>
            <w:tcW w:w="340" w:type="dxa"/>
            <w:vAlign w:val="bottom"/>
            <w:shd w:val="clear" w:color="auto" w:fill="D9D9D9"/>
          </w:tcPr>
          <w:p>
            <w:pPr>
              <w:spacing w:after="0"/>
              <w:rPr>
                <w:sz w:val="14"/>
                <w:szCs w:val="14"/>
                <w:color w:val="auto"/>
              </w:rPr>
            </w:pPr>
          </w:p>
        </w:tc>
        <w:tc>
          <w:tcPr>
            <w:tcW w:w="1120" w:type="dxa"/>
            <w:vAlign w:val="bottom"/>
            <w:shd w:val="clear" w:color="auto" w:fill="D9D9D9"/>
          </w:tcPr>
          <w:p>
            <w:pPr>
              <w:jc w:val="right"/>
              <w:ind w:right="82"/>
              <w:spacing w:after="0" w:line="171" w:lineRule="exact"/>
              <w:rPr>
                <w:sz w:val="20"/>
                <w:szCs w:val="20"/>
                <w:color w:val="auto"/>
              </w:rPr>
            </w:pPr>
            <w:r>
              <w:rPr>
                <w:rFonts w:ascii="Arial" w:cs="Arial" w:eastAsia="Arial" w:hAnsi="Arial"/>
                <w:sz w:val="17"/>
                <w:szCs w:val="17"/>
                <w:color w:val="auto"/>
              </w:rPr>
              <w:t>529,349</w:t>
            </w:r>
          </w:p>
        </w:tc>
        <w:tc>
          <w:tcPr>
            <w:tcW w:w="32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line="171" w:lineRule="exact"/>
              <w:rPr>
                <w:sz w:val="20"/>
                <w:szCs w:val="20"/>
                <w:color w:val="auto"/>
              </w:rPr>
            </w:pPr>
            <w:r>
              <w:rPr>
                <w:rFonts w:ascii="Arial" w:cs="Arial" w:eastAsia="Arial" w:hAnsi="Arial"/>
                <w:sz w:val="17"/>
                <w:szCs w:val="17"/>
                <w:color w:val="auto"/>
              </w:rPr>
              <w:t>0</w:t>
            </w:r>
          </w:p>
        </w:tc>
        <w:tc>
          <w:tcPr>
            <w:tcW w:w="240" w:type="dxa"/>
            <w:vAlign w:val="bottom"/>
            <w:shd w:val="clear" w:color="auto" w:fill="D9D9D9"/>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2300" w:type="dxa"/>
            <w:vAlign w:val="bottom"/>
            <w:shd w:val="clear" w:color="auto" w:fill="D9D9D9"/>
          </w:tcPr>
          <w:p>
            <w:pPr>
              <w:spacing w:after="0"/>
              <w:rPr>
                <w:sz w:val="17"/>
                <w:szCs w:val="17"/>
                <w:color w:val="auto"/>
              </w:rPr>
            </w:pPr>
          </w:p>
        </w:tc>
        <w:tc>
          <w:tcPr>
            <w:tcW w:w="2980" w:type="dxa"/>
            <w:vAlign w:val="bottom"/>
            <w:shd w:val="clear" w:color="auto" w:fill="D9D9D9"/>
          </w:tcPr>
          <w:p>
            <w:pPr>
              <w:ind w:left="80"/>
              <w:spacing w:after="0"/>
              <w:rPr>
                <w:sz w:val="20"/>
                <w:szCs w:val="20"/>
                <w:color w:val="auto"/>
              </w:rPr>
            </w:pPr>
            <w:r>
              <w:rPr>
                <w:rFonts w:ascii="Arial" w:cs="Arial" w:eastAsia="Arial" w:hAnsi="Arial"/>
                <w:sz w:val="17"/>
                <w:szCs w:val="17"/>
                <w:color w:val="auto"/>
              </w:rPr>
              <w:t>AbbVie Supplemental Pension Plan</w:t>
            </w:r>
          </w:p>
        </w:tc>
        <w:tc>
          <w:tcPr>
            <w:tcW w:w="1080" w:type="dxa"/>
            <w:vAlign w:val="bottom"/>
            <w:shd w:val="clear" w:color="auto" w:fill="D9D9D9"/>
          </w:tcPr>
          <w:p>
            <w:pPr>
              <w:jc w:val="right"/>
              <w:ind w:right="41"/>
              <w:spacing w:after="0"/>
              <w:rPr>
                <w:sz w:val="20"/>
                <w:szCs w:val="20"/>
                <w:color w:val="auto"/>
              </w:rPr>
            </w:pPr>
            <w:r>
              <w:rPr>
                <w:rFonts w:ascii="Arial" w:cs="Arial" w:eastAsia="Arial" w:hAnsi="Arial"/>
                <w:sz w:val="17"/>
                <w:szCs w:val="17"/>
                <w:color w:val="auto"/>
              </w:rPr>
              <w:t>16</w:t>
            </w:r>
          </w:p>
        </w:tc>
        <w:tc>
          <w:tcPr>
            <w:tcW w:w="340" w:type="dxa"/>
            <w:vAlign w:val="bottom"/>
            <w:shd w:val="clear" w:color="auto" w:fill="D9D9D9"/>
          </w:tcPr>
          <w:p>
            <w:pPr>
              <w:spacing w:after="0"/>
              <w:rPr>
                <w:sz w:val="17"/>
                <w:szCs w:val="17"/>
                <w:color w:val="auto"/>
              </w:rPr>
            </w:pPr>
          </w:p>
        </w:tc>
        <w:tc>
          <w:tcPr>
            <w:tcW w:w="1120" w:type="dxa"/>
            <w:vAlign w:val="bottom"/>
            <w:shd w:val="clear" w:color="auto" w:fill="D9D9D9"/>
          </w:tcPr>
          <w:p>
            <w:pPr>
              <w:jc w:val="right"/>
              <w:ind w:right="82"/>
              <w:spacing w:after="0"/>
              <w:rPr>
                <w:sz w:val="20"/>
                <w:szCs w:val="20"/>
                <w:color w:val="auto"/>
              </w:rPr>
            </w:pPr>
            <w:r>
              <w:rPr>
                <w:rFonts w:ascii="Arial" w:cs="Arial" w:eastAsia="Arial" w:hAnsi="Arial"/>
                <w:sz w:val="17"/>
                <w:szCs w:val="17"/>
                <w:color w:val="auto"/>
              </w:rPr>
              <w:t>5,113,212</w:t>
            </w:r>
          </w:p>
        </w:tc>
        <w:tc>
          <w:tcPr>
            <w:tcW w:w="32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7"/>
                <w:szCs w:val="17"/>
                <w:color w:val="auto"/>
              </w:rPr>
              <w:t>1,756,813</w:t>
            </w:r>
          </w:p>
        </w:tc>
        <w:tc>
          <w:tcPr>
            <w:tcW w:w="240" w:type="dxa"/>
            <w:vAlign w:val="bottom"/>
            <w:shd w:val="clear" w:color="auto" w:fill="D9D9D9"/>
          </w:tcPr>
          <w:p>
            <w:pPr>
              <w:jc w:val="right"/>
              <w:ind w:right="4"/>
              <w:spacing w:after="0"/>
              <w:rPr>
                <w:sz w:val="20"/>
                <w:szCs w:val="20"/>
                <w:color w:val="auto"/>
              </w:rPr>
            </w:pPr>
            <w:r>
              <w:rPr>
                <w:rFonts w:ascii="Arial" w:cs="Arial" w:eastAsia="Arial" w:hAnsi="Arial"/>
                <w:sz w:val="11"/>
                <w:szCs w:val="11"/>
                <w:color w:val="auto"/>
              </w:rPr>
              <w:t>(2)</w:t>
            </w:r>
          </w:p>
        </w:tc>
      </w:tr>
      <w:tr>
        <w:trPr>
          <w:trHeight w:val="171"/>
        </w:trPr>
        <w:tc>
          <w:tcPr>
            <w:tcW w:w="20" w:type="dxa"/>
            <w:vAlign w:val="bottom"/>
          </w:tcPr>
          <w:p>
            <w:pPr>
              <w:spacing w:after="0"/>
              <w:rPr>
                <w:sz w:val="14"/>
                <w:szCs w:val="14"/>
                <w:color w:val="auto"/>
              </w:rPr>
            </w:pPr>
          </w:p>
        </w:tc>
        <w:tc>
          <w:tcPr>
            <w:tcW w:w="2300" w:type="dxa"/>
            <w:vAlign w:val="bottom"/>
          </w:tcPr>
          <w:p>
            <w:pPr>
              <w:spacing w:after="0" w:line="171" w:lineRule="exact"/>
              <w:rPr>
                <w:sz w:val="20"/>
                <w:szCs w:val="20"/>
                <w:color w:val="auto"/>
              </w:rPr>
            </w:pPr>
            <w:r>
              <w:rPr>
                <w:rFonts w:ascii="Arial" w:cs="Arial" w:eastAsia="Arial" w:hAnsi="Arial"/>
                <w:sz w:val="17"/>
                <w:szCs w:val="17"/>
                <w:color w:val="auto"/>
              </w:rPr>
              <w:t>J. Stewart</w:t>
            </w:r>
          </w:p>
        </w:tc>
        <w:tc>
          <w:tcPr>
            <w:tcW w:w="2980" w:type="dxa"/>
            <w:vAlign w:val="bottom"/>
          </w:tcPr>
          <w:p>
            <w:pPr>
              <w:ind w:left="80"/>
              <w:spacing w:after="0" w:line="171" w:lineRule="exact"/>
              <w:rPr>
                <w:sz w:val="20"/>
                <w:szCs w:val="20"/>
                <w:color w:val="auto"/>
              </w:rPr>
            </w:pPr>
            <w:r>
              <w:rPr>
                <w:rFonts w:ascii="Arial" w:cs="Arial" w:eastAsia="Arial" w:hAnsi="Arial"/>
                <w:sz w:val="17"/>
                <w:szCs w:val="17"/>
                <w:color w:val="auto"/>
              </w:rPr>
              <w:t>AbbVie Pension Plan</w:t>
            </w:r>
          </w:p>
        </w:tc>
        <w:tc>
          <w:tcPr>
            <w:tcW w:w="1080" w:type="dxa"/>
            <w:vAlign w:val="bottom"/>
          </w:tcPr>
          <w:p>
            <w:pPr>
              <w:jc w:val="right"/>
              <w:ind w:right="41"/>
              <w:spacing w:after="0" w:line="171" w:lineRule="exact"/>
              <w:rPr>
                <w:sz w:val="20"/>
                <w:szCs w:val="20"/>
                <w:color w:val="auto"/>
              </w:rPr>
            </w:pPr>
            <w:r>
              <w:rPr>
                <w:rFonts w:ascii="Arial" w:cs="Arial" w:eastAsia="Arial" w:hAnsi="Arial"/>
                <w:sz w:val="17"/>
                <w:szCs w:val="17"/>
                <w:color w:val="auto"/>
              </w:rPr>
              <w:t>32</w:t>
            </w:r>
          </w:p>
        </w:tc>
        <w:tc>
          <w:tcPr>
            <w:tcW w:w="340" w:type="dxa"/>
            <w:vAlign w:val="bottom"/>
          </w:tcPr>
          <w:p>
            <w:pPr>
              <w:spacing w:after="0"/>
              <w:rPr>
                <w:sz w:val="14"/>
                <w:szCs w:val="14"/>
                <w:color w:val="auto"/>
              </w:rPr>
            </w:pPr>
          </w:p>
        </w:tc>
        <w:tc>
          <w:tcPr>
            <w:tcW w:w="1120" w:type="dxa"/>
            <w:vAlign w:val="bottom"/>
          </w:tcPr>
          <w:p>
            <w:pPr>
              <w:jc w:val="right"/>
              <w:ind w:right="82"/>
              <w:spacing w:after="0" w:line="171" w:lineRule="exact"/>
              <w:rPr>
                <w:sz w:val="20"/>
                <w:szCs w:val="20"/>
                <w:color w:val="auto"/>
              </w:rPr>
            </w:pPr>
            <w:r>
              <w:rPr>
                <w:rFonts w:ascii="Arial" w:cs="Arial" w:eastAsia="Arial" w:hAnsi="Arial"/>
                <w:sz w:val="17"/>
                <w:szCs w:val="17"/>
                <w:color w:val="auto"/>
              </w:rPr>
              <w:t>1,079,465</w:t>
            </w:r>
          </w:p>
        </w:tc>
        <w:tc>
          <w:tcPr>
            <w:tcW w:w="32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Arial" w:cs="Arial" w:eastAsia="Arial" w:hAnsi="Arial"/>
                <w:sz w:val="17"/>
                <w:szCs w:val="17"/>
                <w:color w:val="auto"/>
              </w:rPr>
              <w:t>0</w:t>
            </w:r>
          </w:p>
        </w:tc>
        <w:tc>
          <w:tcPr>
            <w:tcW w:w="24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980" w:type="dxa"/>
            <w:vAlign w:val="bottom"/>
          </w:tcPr>
          <w:p>
            <w:pPr>
              <w:ind w:left="80"/>
              <w:spacing w:after="0"/>
              <w:rPr>
                <w:sz w:val="20"/>
                <w:szCs w:val="20"/>
                <w:color w:val="auto"/>
              </w:rPr>
            </w:pPr>
            <w:r>
              <w:rPr>
                <w:rFonts w:ascii="Arial" w:cs="Arial" w:eastAsia="Arial" w:hAnsi="Arial"/>
                <w:sz w:val="17"/>
                <w:szCs w:val="17"/>
                <w:color w:val="auto"/>
              </w:rPr>
              <w:t>AbbVie Supplemental Pension Plan</w:t>
            </w:r>
          </w:p>
        </w:tc>
        <w:tc>
          <w:tcPr>
            <w:tcW w:w="1080" w:type="dxa"/>
            <w:vAlign w:val="bottom"/>
          </w:tcPr>
          <w:p>
            <w:pPr>
              <w:jc w:val="right"/>
              <w:ind w:right="41"/>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7"/>
                <w:szCs w:val="17"/>
                <w:color w:val="auto"/>
              </w:rPr>
            </w:pPr>
          </w:p>
        </w:tc>
        <w:tc>
          <w:tcPr>
            <w:tcW w:w="1120" w:type="dxa"/>
            <w:vAlign w:val="bottom"/>
          </w:tcPr>
          <w:p>
            <w:pPr>
              <w:jc w:val="right"/>
              <w:ind w:right="82"/>
              <w:spacing w:after="0"/>
              <w:rPr>
                <w:sz w:val="20"/>
                <w:szCs w:val="20"/>
                <w:color w:val="auto"/>
              </w:rPr>
            </w:pPr>
            <w:r>
              <w:rPr>
                <w:rFonts w:ascii="Arial" w:cs="Arial" w:eastAsia="Arial" w:hAnsi="Arial"/>
                <w:sz w:val="17"/>
                <w:szCs w:val="17"/>
                <w:color w:val="auto"/>
              </w:rPr>
              <w:t>12,129,814</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1,066,056</w:t>
            </w:r>
          </w:p>
        </w:tc>
        <w:tc>
          <w:tcPr>
            <w:tcW w:w="240" w:type="dxa"/>
            <w:vAlign w:val="bottom"/>
          </w:tcPr>
          <w:p>
            <w:pPr>
              <w:jc w:val="right"/>
              <w:ind w:right="4"/>
              <w:spacing w:after="0"/>
              <w:rPr>
                <w:sz w:val="20"/>
                <w:szCs w:val="20"/>
                <w:color w:val="auto"/>
              </w:rPr>
            </w:pPr>
            <w:r>
              <w:rPr>
                <w:rFonts w:ascii="Arial" w:cs="Arial" w:eastAsia="Arial" w:hAnsi="Arial"/>
                <w:sz w:val="11"/>
                <w:szCs w:val="11"/>
                <w:color w:val="auto"/>
              </w:rPr>
              <w:t>(2)</w:t>
            </w:r>
          </w:p>
        </w:tc>
      </w:tr>
      <w:tr>
        <w:trPr>
          <w:trHeight w:val="171"/>
        </w:trPr>
        <w:tc>
          <w:tcPr>
            <w:tcW w:w="20" w:type="dxa"/>
            <w:vAlign w:val="bottom"/>
          </w:tcPr>
          <w:p>
            <w:pPr>
              <w:spacing w:after="0"/>
              <w:rPr>
                <w:sz w:val="14"/>
                <w:szCs w:val="14"/>
                <w:color w:val="auto"/>
              </w:rPr>
            </w:pPr>
          </w:p>
        </w:tc>
        <w:tc>
          <w:tcPr>
            <w:tcW w:w="2300" w:type="dxa"/>
            <w:vAlign w:val="bottom"/>
            <w:shd w:val="clear" w:color="auto" w:fill="D9D9D9"/>
          </w:tcPr>
          <w:p>
            <w:pPr>
              <w:spacing w:after="0" w:line="171" w:lineRule="exact"/>
              <w:rPr>
                <w:sz w:val="20"/>
                <w:szCs w:val="20"/>
                <w:color w:val="auto"/>
              </w:rPr>
            </w:pPr>
            <w:r>
              <w:rPr>
                <w:rFonts w:ascii="Arial" w:cs="Arial" w:eastAsia="Arial" w:hAnsi="Arial"/>
                <w:sz w:val="17"/>
                <w:szCs w:val="17"/>
                <w:color w:val="auto"/>
              </w:rPr>
              <w:t>A. Saleki-Gerhardt</w:t>
            </w:r>
          </w:p>
        </w:tc>
        <w:tc>
          <w:tcPr>
            <w:tcW w:w="2980" w:type="dxa"/>
            <w:vAlign w:val="bottom"/>
            <w:shd w:val="clear" w:color="auto" w:fill="D9D9D9"/>
          </w:tcPr>
          <w:p>
            <w:pPr>
              <w:ind w:left="80"/>
              <w:spacing w:after="0" w:line="171" w:lineRule="exact"/>
              <w:rPr>
                <w:sz w:val="20"/>
                <w:szCs w:val="20"/>
                <w:color w:val="auto"/>
              </w:rPr>
            </w:pPr>
            <w:r>
              <w:rPr>
                <w:rFonts w:ascii="Arial" w:cs="Arial" w:eastAsia="Arial" w:hAnsi="Arial"/>
                <w:sz w:val="17"/>
                <w:szCs w:val="17"/>
                <w:color w:val="auto"/>
              </w:rPr>
              <w:t>AbbVie Pension Plan</w:t>
            </w:r>
          </w:p>
        </w:tc>
        <w:tc>
          <w:tcPr>
            <w:tcW w:w="1080" w:type="dxa"/>
            <w:vAlign w:val="bottom"/>
            <w:shd w:val="clear" w:color="auto" w:fill="D9D9D9"/>
          </w:tcPr>
          <w:p>
            <w:pPr>
              <w:jc w:val="right"/>
              <w:ind w:right="41"/>
              <w:spacing w:after="0" w:line="171" w:lineRule="exact"/>
              <w:rPr>
                <w:sz w:val="20"/>
                <w:szCs w:val="20"/>
                <w:color w:val="auto"/>
              </w:rPr>
            </w:pPr>
            <w:r>
              <w:rPr>
                <w:rFonts w:ascii="Arial" w:cs="Arial" w:eastAsia="Arial" w:hAnsi="Arial"/>
                <w:sz w:val="17"/>
                <w:szCs w:val="17"/>
                <w:color w:val="auto"/>
              </w:rPr>
              <w:t>31</w:t>
            </w:r>
          </w:p>
        </w:tc>
        <w:tc>
          <w:tcPr>
            <w:tcW w:w="340" w:type="dxa"/>
            <w:vAlign w:val="bottom"/>
            <w:shd w:val="clear" w:color="auto" w:fill="D9D9D9"/>
          </w:tcPr>
          <w:p>
            <w:pPr>
              <w:spacing w:after="0"/>
              <w:rPr>
                <w:sz w:val="14"/>
                <w:szCs w:val="14"/>
                <w:color w:val="auto"/>
              </w:rPr>
            </w:pPr>
          </w:p>
        </w:tc>
        <w:tc>
          <w:tcPr>
            <w:tcW w:w="1120" w:type="dxa"/>
            <w:vAlign w:val="bottom"/>
            <w:shd w:val="clear" w:color="auto" w:fill="D9D9D9"/>
          </w:tcPr>
          <w:p>
            <w:pPr>
              <w:jc w:val="right"/>
              <w:ind w:right="82"/>
              <w:spacing w:after="0" w:line="171" w:lineRule="exact"/>
              <w:rPr>
                <w:sz w:val="20"/>
                <w:szCs w:val="20"/>
                <w:color w:val="auto"/>
              </w:rPr>
            </w:pPr>
            <w:r>
              <w:rPr>
                <w:rFonts w:ascii="Arial" w:cs="Arial" w:eastAsia="Arial" w:hAnsi="Arial"/>
                <w:sz w:val="17"/>
                <w:szCs w:val="17"/>
                <w:color w:val="auto"/>
              </w:rPr>
              <w:t>1,384,684</w:t>
            </w:r>
          </w:p>
        </w:tc>
        <w:tc>
          <w:tcPr>
            <w:tcW w:w="320" w:type="dxa"/>
            <w:vAlign w:val="bottom"/>
            <w:shd w:val="clear" w:color="auto" w:fill="D9D9D9"/>
          </w:tcPr>
          <w:p>
            <w:pPr>
              <w:spacing w:after="0"/>
              <w:rPr>
                <w:sz w:val="14"/>
                <w:szCs w:val="14"/>
                <w:color w:val="auto"/>
              </w:rPr>
            </w:pPr>
          </w:p>
        </w:tc>
        <w:tc>
          <w:tcPr>
            <w:tcW w:w="880" w:type="dxa"/>
            <w:vAlign w:val="bottom"/>
            <w:shd w:val="clear" w:color="auto" w:fill="D9D9D9"/>
          </w:tcPr>
          <w:p>
            <w:pPr>
              <w:jc w:val="right"/>
              <w:spacing w:after="0" w:line="171" w:lineRule="exact"/>
              <w:rPr>
                <w:sz w:val="20"/>
                <w:szCs w:val="20"/>
                <w:color w:val="auto"/>
              </w:rPr>
            </w:pPr>
            <w:r>
              <w:rPr>
                <w:rFonts w:ascii="Arial" w:cs="Arial" w:eastAsia="Arial" w:hAnsi="Arial"/>
                <w:sz w:val="17"/>
                <w:szCs w:val="17"/>
                <w:color w:val="auto"/>
              </w:rPr>
              <w:t>0</w:t>
            </w:r>
          </w:p>
        </w:tc>
        <w:tc>
          <w:tcPr>
            <w:tcW w:w="240" w:type="dxa"/>
            <w:vAlign w:val="bottom"/>
            <w:shd w:val="clear" w:color="auto" w:fill="D9D9D9"/>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2300" w:type="dxa"/>
            <w:vAlign w:val="bottom"/>
            <w:shd w:val="clear" w:color="auto" w:fill="D9D9D9"/>
          </w:tcPr>
          <w:p>
            <w:pPr>
              <w:spacing w:after="0"/>
              <w:rPr>
                <w:sz w:val="17"/>
                <w:szCs w:val="17"/>
                <w:color w:val="auto"/>
              </w:rPr>
            </w:pPr>
          </w:p>
        </w:tc>
        <w:tc>
          <w:tcPr>
            <w:tcW w:w="2980" w:type="dxa"/>
            <w:vAlign w:val="bottom"/>
            <w:shd w:val="clear" w:color="auto" w:fill="D9D9D9"/>
          </w:tcPr>
          <w:p>
            <w:pPr>
              <w:ind w:left="80"/>
              <w:spacing w:after="0"/>
              <w:rPr>
                <w:sz w:val="20"/>
                <w:szCs w:val="20"/>
                <w:color w:val="auto"/>
              </w:rPr>
            </w:pPr>
            <w:r>
              <w:rPr>
                <w:rFonts w:ascii="Arial" w:cs="Arial" w:eastAsia="Arial" w:hAnsi="Arial"/>
                <w:sz w:val="17"/>
                <w:szCs w:val="17"/>
                <w:color w:val="auto"/>
              </w:rPr>
              <w:t>AbbVie Supplemental Pension Plan</w:t>
            </w:r>
          </w:p>
        </w:tc>
        <w:tc>
          <w:tcPr>
            <w:tcW w:w="1080" w:type="dxa"/>
            <w:vAlign w:val="bottom"/>
            <w:shd w:val="clear" w:color="auto" w:fill="D9D9D9"/>
          </w:tcPr>
          <w:p>
            <w:pPr>
              <w:jc w:val="right"/>
              <w:ind w:right="41"/>
              <w:spacing w:after="0"/>
              <w:rPr>
                <w:sz w:val="20"/>
                <w:szCs w:val="20"/>
                <w:color w:val="auto"/>
              </w:rPr>
            </w:pPr>
            <w:r>
              <w:rPr>
                <w:rFonts w:ascii="Arial" w:cs="Arial" w:eastAsia="Arial" w:hAnsi="Arial"/>
                <w:sz w:val="17"/>
                <w:szCs w:val="17"/>
                <w:color w:val="auto"/>
              </w:rPr>
              <w:t>31</w:t>
            </w:r>
          </w:p>
        </w:tc>
        <w:tc>
          <w:tcPr>
            <w:tcW w:w="340" w:type="dxa"/>
            <w:vAlign w:val="bottom"/>
            <w:shd w:val="clear" w:color="auto" w:fill="D9D9D9"/>
          </w:tcPr>
          <w:p>
            <w:pPr>
              <w:spacing w:after="0"/>
              <w:rPr>
                <w:sz w:val="17"/>
                <w:szCs w:val="17"/>
                <w:color w:val="auto"/>
              </w:rPr>
            </w:pPr>
          </w:p>
        </w:tc>
        <w:tc>
          <w:tcPr>
            <w:tcW w:w="1120" w:type="dxa"/>
            <w:vAlign w:val="bottom"/>
            <w:shd w:val="clear" w:color="auto" w:fill="D9D9D9"/>
          </w:tcPr>
          <w:p>
            <w:pPr>
              <w:jc w:val="right"/>
              <w:ind w:right="82"/>
              <w:spacing w:after="0"/>
              <w:rPr>
                <w:sz w:val="20"/>
                <w:szCs w:val="20"/>
                <w:color w:val="auto"/>
              </w:rPr>
            </w:pPr>
            <w:r>
              <w:rPr>
                <w:rFonts w:ascii="Arial" w:cs="Arial" w:eastAsia="Arial" w:hAnsi="Arial"/>
                <w:sz w:val="17"/>
                <w:szCs w:val="17"/>
                <w:color w:val="auto"/>
              </w:rPr>
              <w:t>13,257,730</w:t>
            </w:r>
          </w:p>
        </w:tc>
        <w:tc>
          <w:tcPr>
            <w:tcW w:w="320" w:type="dxa"/>
            <w:vAlign w:val="bottom"/>
            <w:shd w:val="clear" w:color="auto" w:fill="D9D9D9"/>
          </w:tcPr>
          <w:p>
            <w:pPr>
              <w:spacing w:after="0"/>
              <w:rPr>
                <w:sz w:val="17"/>
                <w:szCs w:val="17"/>
                <w:color w:val="auto"/>
              </w:rPr>
            </w:pPr>
          </w:p>
        </w:tc>
        <w:tc>
          <w:tcPr>
            <w:tcW w:w="880" w:type="dxa"/>
            <w:vAlign w:val="bottom"/>
            <w:shd w:val="clear" w:color="auto" w:fill="D9D9D9"/>
          </w:tcPr>
          <w:p>
            <w:pPr>
              <w:jc w:val="right"/>
              <w:spacing w:after="0"/>
              <w:rPr>
                <w:sz w:val="20"/>
                <w:szCs w:val="20"/>
                <w:color w:val="auto"/>
              </w:rPr>
            </w:pPr>
            <w:r>
              <w:rPr>
                <w:rFonts w:ascii="Arial" w:cs="Arial" w:eastAsia="Arial" w:hAnsi="Arial"/>
                <w:sz w:val="17"/>
                <w:szCs w:val="17"/>
                <w:color w:val="auto"/>
              </w:rPr>
              <w:t>879,697</w:t>
            </w:r>
          </w:p>
        </w:tc>
        <w:tc>
          <w:tcPr>
            <w:tcW w:w="240" w:type="dxa"/>
            <w:vAlign w:val="bottom"/>
            <w:shd w:val="clear" w:color="auto" w:fill="D9D9D9"/>
          </w:tcPr>
          <w:p>
            <w:pPr>
              <w:jc w:val="right"/>
              <w:ind w:right="4"/>
              <w:spacing w:after="0"/>
              <w:rPr>
                <w:sz w:val="20"/>
                <w:szCs w:val="20"/>
                <w:color w:val="auto"/>
              </w:rPr>
            </w:pPr>
            <w:r>
              <w:rPr>
                <w:rFonts w:ascii="Arial" w:cs="Arial" w:eastAsia="Arial" w:hAnsi="Arial"/>
                <w:sz w:val="11"/>
                <w:szCs w:val="11"/>
                <w:color w:val="auto"/>
              </w:rPr>
              <w:t>(2)</w:t>
            </w:r>
          </w:p>
        </w:tc>
      </w:tr>
      <w:tr>
        <w:trPr>
          <w:trHeight w:val="100"/>
        </w:trPr>
        <w:tc>
          <w:tcPr>
            <w:tcW w:w="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71" w:lineRule="exact"/>
        <w:rPr>
          <w:sz w:val="20"/>
          <w:szCs w:val="20"/>
          <w:color w:val="auto"/>
        </w:rPr>
      </w:pPr>
    </w:p>
    <w:p>
      <w:pPr>
        <w:ind w:left="320" w:right="300" w:hanging="308"/>
        <w:spacing w:after="0" w:line="234" w:lineRule="auto"/>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AbbVie calculated these present values using: (i) a discount rate of 5.14% for the Pension Plan and a discount rate of 5.12% for the Supplemental Pension Plan, the same discount rates it uses for Financial Accounting Standards Board (FASB) Accounting Standards Codification (ASC) Topic 715 calculations for financial reporting purposes; and (ii) each plan’s unreduced retirement age, which is age 62 under the AbbVie Pension Plan and age 60 under the AbbVie Supplemental Pension Plan for those participants who are eligible for early retirement benefits and age 65 under both plans for other participants. The present values shown in the table reflect postretirement mortality, based on the FASB ASC Topic 715 assumption (the Pri-2012 Healthy Annuitant table with white collar adjustment projected fully generationally with MP2021 mortality improvement scale), but do not include a factor for preretirement termination, mortality, or disability.</w:t>
      </w:r>
    </w:p>
    <w:p>
      <w:pPr>
        <w:spacing w:after="0" w:line="173" w:lineRule="exact"/>
        <w:rPr>
          <w:rFonts w:ascii="Arial" w:cs="Arial" w:eastAsia="Arial" w:hAnsi="Arial"/>
          <w:sz w:val="17"/>
          <w:szCs w:val="17"/>
          <w:color w:val="auto"/>
        </w:rPr>
      </w:pPr>
    </w:p>
    <w:p>
      <w:pPr>
        <w:ind w:left="320" w:right="80" w:hanging="308"/>
        <w:spacing w:after="0" w:line="237" w:lineRule="auto"/>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During 2023, the amounts shown, less applicable tax withholdings, were distributed and deposited into the individual grantor trusts established by the eligible NEOs and included in the NEOs’ income, as applicable. Consistent with the distribution requirements of Internal Revenue Code Section 409A and its regulations, vested Supplemental Pension Plan benefits, to the extent not previously funded, are distributed to the eligible participants’ individual grantor trusts and included in their income. Amounts held in an eligible NEO’s individual trust are expected to offset AbbVie’s obligations to the NEO under the plan. Grantor trusts are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6" w:name="page67"/>
    <w:bookmarkEnd w:id="6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308" w:right="300"/>
        <w:spacing w:after="0" w:line="261" w:lineRule="auto"/>
        <w:rPr>
          <w:sz w:val="20"/>
          <w:szCs w:val="20"/>
          <w:color w:val="auto"/>
        </w:rPr>
      </w:pPr>
      <w:r>
        <w:rPr>
          <w:rFonts w:ascii="Arial" w:cs="Arial" w:eastAsia="Arial" w:hAnsi="Arial"/>
          <w:sz w:val="17"/>
          <w:szCs w:val="17"/>
          <w:color w:val="auto"/>
        </w:rPr>
        <w:t>described in greater detail in the section of this proxy statement captioned “Compensation Plan Elements—Benefits— Retirement Benefits.”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Non-Qualified Deferred Compensation</w:t>
      </w:r>
    </w:p>
    <w:p>
      <w:pPr>
        <w:spacing w:after="0" w:line="155" w:lineRule="exact"/>
        <w:rPr>
          <w:sz w:val="20"/>
          <w:szCs w:val="20"/>
          <w:color w:val="auto"/>
        </w:rPr>
      </w:pPr>
    </w:p>
    <w:p>
      <w:pPr>
        <w:ind w:left="8" w:right="60"/>
        <w:spacing w:after="0"/>
        <w:rPr>
          <w:sz w:val="20"/>
          <w:szCs w:val="20"/>
          <w:color w:val="auto"/>
        </w:rPr>
      </w:pPr>
      <w:r>
        <w:rPr>
          <w:rFonts w:ascii="Arial" w:cs="Arial" w:eastAsia="Arial" w:hAnsi="Arial"/>
          <w:sz w:val="17"/>
          <w:szCs w:val="17"/>
          <w:color w:val="auto"/>
        </w:rPr>
        <w:t>The following table summarizes Mr. Stewart’s and Dr. Saleki-Gerhardt’s non-qualified deferred compensation under the AbbVie Deferred Compensation Plan. No additional contributions have been made to their account under the plan since such time as they became an officer and ceased to be eligible to contribute to the plan. None of the other NEOs has any non-qualified deferred compensation under the plan.</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80" w:type="dxa"/>
            <w:vAlign w:val="bottom"/>
          </w:tcPr>
          <w:p>
            <w:pPr>
              <w:jc w:val="right"/>
              <w:ind w:right="108"/>
              <w:spacing w:after="0"/>
              <w:rPr>
                <w:sz w:val="20"/>
                <w:szCs w:val="20"/>
                <w:color w:val="auto"/>
              </w:rPr>
            </w:pPr>
            <w:r>
              <w:rPr>
                <w:rFonts w:ascii="Arial" w:cs="Arial" w:eastAsia="Arial" w:hAnsi="Arial"/>
                <w:sz w:val="13"/>
                <w:szCs w:val="13"/>
                <w:b w:val="1"/>
                <w:bCs w:val="1"/>
                <w:color w:val="454968"/>
              </w:rPr>
              <w:t>Executive</w:t>
            </w:r>
          </w:p>
        </w:tc>
        <w:tc>
          <w:tcPr>
            <w:tcW w:w="1180" w:type="dxa"/>
            <w:vAlign w:val="bottom"/>
          </w:tcPr>
          <w:p>
            <w:pPr>
              <w:jc w:val="right"/>
              <w:ind w:right="88"/>
              <w:spacing w:after="0"/>
              <w:rPr>
                <w:sz w:val="20"/>
                <w:szCs w:val="20"/>
                <w:color w:val="auto"/>
              </w:rPr>
            </w:pPr>
            <w:r>
              <w:rPr>
                <w:rFonts w:ascii="Arial" w:cs="Arial" w:eastAsia="Arial" w:hAnsi="Arial"/>
                <w:sz w:val="13"/>
                <w:szCs w:val="13"/>
                <w:b w:val="1"/>
                <w:bCs w:val="1"/>
                <w:color w:val="454968"/>
              </w:rPr>
              <w:t>Registrant</w:t>
            </w:r>
          </w:p>
        </w:tc>
        <w:tc>
          <w:tcPr>
            <w:tcW w:w="980" w:type="dxa"/>
            <w:vAlign w:val="bottom"/>
          </w:tcPr>
          <w:p>
            <w:pPr>
              <w:jc w:val="right"/>
              <w:ind w:right="108"/>
              <w:spacing w:after="0"/>
              <w:rPr>
                <w:sz w:val="20"/>
                <w:szCs w:val="20"/>
                <w:color w:val="auto"/>
              </w:rPr>
            </w:pPr>
            <w:r>
              <w:rPr>
                <w:rFonts w:ascii="Arial" w:cs="Arial" w:eastAsia="Arial" w:hAnsi="Arial"/>
                <w:sz w:val="13"/>
                <w:szCs w:val="13"/>
                <w:b w:val="1"/>
                <w:bCs w:val="1"/>
                <w:color w:val="454968"/>
              </w:rPr>
              <w:t>Aggregate</w:t>
            </w:r>
          </w:p>
        </w:tc>
        <w:tc>
          <w:tcPr>
            <w:tcW w:w="1140" w:type="dxa"/>
            <w:vAlign w:val="bottom"/>
          </w:tcPr>
          <w:p>
            <w:pPr>
              <w:jc w:val="right"/>
              <w:ind w:right="68"/>
              <w:spacing w:after="0"/>
              <w:rPr>
                <w:sz w:val="20"/>
                <w:szCs w:val="20"/>
                <w:color w:val="auto"/>
              </w:rPr>
            </w:pPr>
            <w:r>
              <w:rPr>
                <w:rFonts w:ascii="Arial" w:cs="Arial" w:eastAsia="Arial" w:hAnsi="Arial"/>
                <w:sz w:val="13"/>
                <w:szCs w:val="13"/>
                <w:b w:val="1"/>
                <w:bCs w:val="1"/>
                <w:color w:val="454968"/>
              </w:rPr>
              <w:t>Aggregate</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454968"/>
              </w:rPr>
              <w:t>Aggregate</w:t>
            </w:r>
          </w:p>
        </w:tc>
      </w:tr>
      <w:tr>
        <w:trPr>
          <w:trHeight w:val="150"/>
        </w:trPr>
        <w:tc>
          <w:tcPr>
            <w:tcW w:w="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80" w:type="dxa"/>
            <w:vAlign w:val="bottom"/>
          </w:tcPr>
          <w:p>
            <w:pPr>
              <w:jc w:val="right"/>
              <w:ind w:right="108"/>
              <w:spacing w:after="0"/>
              <w:rPr>
                <w:sz w:val="20"/>
                <w:szCs w:val="20"/>
                <w:color w:val="auto"/>
              </w:rPr>
            </w:pPr>
            <w:r>
              <w:rPr>
                <w:rFonts w:ascii="Arial" w:cs="Arial" w:eastAsia="Arial" w:hAnsi="Arial"/>
                <w:sz w:val="13"/>
                <w:szCs w:val="13"/>
                <w:b w:val="1"/>
                <w:bCs w:val="1"/>
                <w:color w:val="454968"/>
              </w:rPr>
              <w:t>contributions</w:t>
            </w:r>
          </w:p>
        </w:tc>
        <w:tc>
          <w:tcPr>
            <w:tcW w:w="1180" w:type="dxa"/>
            <w:vAlign w:val="bottom"/>
          </w:tcPr>
          <w:p>
            <w:pPr>
              <w:jc w:val="right"/>
              <w:ind w:right="88"/>
              <w:spacing w:after="0"/>
              <w:rPr>
                <w:sz w:val="20"/>
                <w:szCs w:val="20"/>
                <w:color w:val="auto"/>
              </w:rPr>
            </w:pPr>
            <w:r>
              <w:rPr>
                <w:rFonts w:ascii="Arial" w:cs="Arial" w:eastAsia="Arial" w:hAnsi="Arial"/>
                <w:sz w:val="13"/>
                <w:szCs w:val="13"/>
                <w:b w:val="1"/>
                <w:bCs w:val="1"/>
                <w:color w:val="454968"/>
              </w:rPr>
              <w:t>contributions</w:t>
            </w:r>
          </w:p>
        </w:tc>
        <w:tc>
          <w:tcPr>
            <w:tcW w:w="980" w:type="dxa"/>
            <w:vAlign w:val="bottom"/>
          </w:tcPr>
          <w:p>
            <w:pPr>
              <w:jc w:val="right"/>
              <w:ind w:right="108"/>
              <w:spacing w:after="0"/>
              <w:rPr>
                <w:sz w:val="20"/>
                <w:szCs w:val="20"/>
                <w:color w:val="auto"/>
              </w:rPr>
            </w:pPr>
            <w:r>
              <w:rPr>
                <w:rFonts w:ascii="Arial" w:cs="Arial" w:eastAsia="Arial" w:hAnsi="Arial"/>
                <w:sz w:val="13"/>
                <w:szCs w:val="13"/>
                <w:b w:val="1"/>
                <w:bCs w:val="1"/>
                <w:color w:val="454968"/>
              </w:rPr>
              <w:t>earnings</w:t>
            </w:r>
          </w:p>
        </w:tc>
        <w:tc>
          <w:tcPr>
            <w:tcW w:w="1140" w:type="dxa"/>
            <w:vAlign w:val="bottom"/>
          </w:tcPr>
          <w:p>
            <w:pPr>
              <w:jc w:val="right"/>
              <w:ind w:right="68"/>
              <w:spacing w:after="0"/>
              <w:rPr>
                <w:sz w:val="20"/>
                <w:szCs w:val="20"/>
                <w:color w:val="auto"/>
              </w:rPr>
            </w:pPr>
            <w:r>
              <w:rPr>
                <w:rFonts w:ascii="Arial" w:cs="Arial" w:eastAsia="Arial" w:hAnsi="Arial"/>
                <w:sz w:val="13"/>
                <w:szCs w:val="13"/>
                <w:b w:val="1"/>
                <w:bCs w:val="1"/>
                <w:color w:val="454968"/>
              </w:rPr>
              <w:t>withdrawals/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454968"/>
              </w:rPr>
              <w:t>balance at</w:t>
            </w:r>
          </w:p>
        </w:tc>
      </w:tr>
      <w:tr>
        <w:trPr>
          <w:trHeight w:val="150"/>
        </w:trPr>
        <w:tc>
          <w:tcPr>
            <w:tcW w:w="9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480" w:type="dxa"/>
            <w:vAlign w:val="bottom"/>
          </w:tcPr>
          <w:p>
            <w:pPr>
              <w:jc w:val="right"/>
              <w:ind w:right="108"/>
              <w:spacing w:after="0"/>
              <w:rPr>
                <w:sz w:val="20"/>
                <w:szCs w:val="20"/>
                <w:color w:val="auto"/>
              </w:rPr>
            </w:pPr>
            <w:r>
              <w:rPr>
                <w:rFonts w:ascii="Arial" w:cs="Arial" w:eastAsia="Arial" w:hAnsi="Arial"/>
                <w:sz w:val="13"/>
                <w:szCs w:val="13"/>
                <w:b w:val="1"/>
                <w:bCs w:val="1"/>
                <w:color w:val="454968"/>
              </w:rPr>
              <w:t>in last FY</w:t>
            </w:r>
          </w:p>
        </w:tc>
        <w:tc>
          <w:tcPr>
            <w:tcW w:w="1180" w:type="dxa"/>
            <w:vAlign w:val="bottom"/>
          </w:tcPr>
          <w:p>
            <w:pPr>
              <w:jc w:val="right"/>
              <w:ind w:right="88"/>
              <w:spacing w:after="0"/>
              <w:rPr>
                <w:sz w:val="20"/>
                <w:szCs w:val="20"/>
                <w:color w:val="auto"/>
              </w:rPr>
            </w:pPr>
            <w:r>
              <w:rPr>
                <w:rFonts w:ascii="Arial" w:cs="Arial" w:eastAsia="Arial" w:hAnsi="Arial"/>
                <w:sz w:val="13"/>
                <w:szCs w:val="13"/>
                <w:b w:val="1"/>
                <w:bCs w:val="1"/>
                <w:color w:val="454968"/>
              </w:rPr>
              <w:t>in last FY</w:t>
            </w:r>
          </w:p>
        </w:tc>
        <w:tc>
          <w:tcPr>
            <w:tcW w:w="980" w:type="dxa"/>
            <w:vAlign w:val="bottom"/>
          </w:tcPr>
          <w:p>
            <w:pPr>
              <w:jc w:val="right"/>
              <w:ind w:right="108"/>
              <w:spacing w:after="0"/>
              <w:rPr>
                <w:sz w:val="20"/>
                <w:szCs w:val="20"/>
                <w:color w:val="auto"/>
              </w:rPr>
            </w:pPr>
            <w:r>
              <w:rPr>
                <w:rFonts w:ascii="Arial" w:cs="Arial" w:eastAsia="Arial" w:hAnsi="Arial"/>
                <w:sz w:val="13"/>
                <w:szCs w:val="13"/>
                <w:b w:val="1"/>
                <w:bCs w:val="1"/>
                <w:color w:val="454968"/>
              </w:rPr>
              <w:t>in last FY</w:t>
            </w:r>
          </w:p>
        </w:tc>
        <w:tc>
          <w:tcPr>
            <w:tcW w:w="1140" w:type="dxa"/>
            <w:vAlign w:val="bottom"/>
          </w:tcPr>
          <w:p>
            <w:pPr>
              <w:jc w:val="right"/>
              <w:ind w:right="68"/>
              <w:spacing w:after="0"/>
              <w:rPr>
                <w:sz w:val="20"/>
                <w:szCs w:val="20"/>
                <w:color w:val="auto"/>
              </w:rPr>
            </w:pPr>
            <w:r>
              <w:rPr>
                <w:rFonts w:ascii="Arial" w:cs="Arial" w:eastAsia="Arial" w:hAnsi="Arial"/>
                <w:sz w:val="13"/>
                <w:szCs w:val="13"/>
                <w:b w:val="1"/>
                <w:bCs w:val="1"/>
                <w:color w:val="454968"/>
              </w:rPr>
              <w:t>distributions</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454968"/>
              </w:rPr>
              <w:t>last FYE</w:t>
            </w:r>
          </w:p>
        </w:tc>
      </w:tr>
      <w:tr>
        <w:trPr>
          <w:trHeight w:val="160"/>
        </w:trPr>
        <w:tc>
          <w:tcPr>
            <w:tcW w:w="940" w:type="dxa"/>
            <w:vAlign w:val="bottom"/>
            <w:tcBorders>
              <w:bottom w:val="single" w:sz="8" w:color="071D49"/>
            </w:tcBorders>
          </w:tcPr>
          <w:p>
            <w:pPr>
              <w:spacing w:after="0"/>
              <w:rPr>
                <w:sz w:val="20"/>
                <w:szCs w:val="20"/>
                <w:color w:val="auto"/>
              </w:rPr>
            </w:pPr>
            <w:r>
              <w:rPr>
                <w:rFonts w:ascii="Arial" w:cs="Arial" w:eastAsia="Arial" w:hAnsi="Arial"/>
                <w:sz w:val="13"/>
                <w:szCs w:val="13"/>
                <w:b w:val="1"/>
                <w:bCs w:val="1"/>
                <w:color w:val="454968"/>
              </w:rPr>
              <w:t>Name</w:t>
            </w:r>
          </w:p>
        </w:tc>
        <w:tc>
          <w:tcPr>
            <w:tcW w:w="2720" w:type="dxa"/>
            <w:vAlign w:val="bottom"/>
            <w:tcBorders>
              <w:bottom w:val="single" w:sz="8" w:color="071D49"/>
            </w:tcBorders>
          </w:tcPr>
          <w:p>
            <w:pPr>
              <w:ind w:left="140"/>
              <w:spacing w:after="0"/>
              <w:rPr>
                <w:sz w:val="20"/>
                <w:szCs w:val="20"/>
                <w:color w:val="auto"/>
              </w:rPr>
            </w:pPr>
            <w:r>
              <w:rPr>
                <w:rFonts w:ascii="Arial" w:cs="Arial" w:eastAsia="Arial" w:hAnsi="Arial"/>
                <w:sz w:val="13"/>
                <w:szCs w:val="13"/>
                <w:b w:val="1"/>
                <w:bCs w:val="1"/>
                <w:color w:val="454968"/>
              </w:rPr>
              <w:t>Plan Name(1)(2)</w:t>
            </w:r>
          </w:p>
        </w:tc>
        <w:tc>
          <w:tcPr>
            <w:tcW w:w="1480" w:type="dxa"/>
            <w:vAlign w:val="bottom"/>
            <w:tcBorders>
              <w:bottom w:val="single" w:sz="8" w:color="071D49"/>
            </w:tcBorders>
          </w:tcPr>
          <w:p>
            <w:pPr>
              <w:jc w:val="right"/>
              <w:ind w:right="108"/>
              <w:spacing w:after="0"/>
              <w:rPr>
                <w:sz w:val="20"/>
                <w:szCs w:val="20"/>
                <w:color w:val="auto"/>
              </w:rPr>
            </w:pPr>
            <w:r>
              <w:rPr>
                <w:rFonts w:ascii="Arial" w:cs="Arial" w:eastAsia="Arial" w:hAnsi="Arial"/>
                <w:sz w:val="13"/>
                <w:szCs w:val="13"/>
                <w:b w:val="1"/>
                <w:bCs w:val="1"/>
                <w:color w:val="454968"/>
              </w:rPr>
              <w:t>($)</w:t>
            </w:r>
          </w:p>
        </w:tc>
        <w:tc>
          <w:tcPr>
            <w:tcW w:w="1180" w:type="dxa"/>
            <w:vAlign w:val="bottom"/>
            <w:tcBorders>
              <w:bottom w:val="single" w:sz="8" w:color="071D49"/>
            </w:tcBorders>
          </w:tcPr>
          <w:p>
            <w:pPr>
              <w:jc w:val="right"/>
              <w:ind w:right="88"/>
              <w:spacing w:after="0"/>
              <w:rPr>
                <w:sz w:val="20"/>
                <w:szCs w:val="20"/>
                <w:color w:val="auto"/>
              </w:rPr>
            </w:pPr>
            <w:r>
              <w:rPr>
                <w:rFonts w:ascii="Arial" w:cs="Arial" w:eastAsia="Arial" w:hAnsi="Arial"/>
                <w:sz w:val="13"/>
                <w:szCs w:val="13"/>
                <w:b w:val="1"/>
                <w:bCs w:val="1"/>
                <w:color w:val="454968"/>
              </w:rPr>
              <w:t>($)</w:t>
            </w:r>
          </w:p>
        </w:tc>
        <w:tc>
          <w:tcPr>
            <w:tcW w:w="980" w:type="dxa"/>
            <w:vAlign w:val="bottom"/>
            <w:tcBorders>
              <w:bottom w:val="single" w:sz="8" w:color="071D49"/>
            </w:tcBorders>
          </w:tcPr>
          <w:p>
            <w:pPr>
              <w:jc w:val="right"/>
              <w:ind w:right="108"/>
              <w:spacing w:after="0"/>
              <w:rPr>
                <w:sz w:val="20"/>
                <w:szCs w:val="20"/>
                <w:color w:val="auto"/>
              </w:rPr>
            </w:pPr>
            <w:r>
              <w:rPr>
                <w:rFonts w:ascii="Arial" w:cs="Arial" w:eastAsia="Arial" w:hAnsi="Arial"/>
                <w:sz w:val="13"/>
                <w:szCs w:val="13"/>
                <w:b w:val="1"/>
                <w:bCs w:val="1"/>
                <w:color w:val="454968"/>
              </w:rPr>
              <w:t>($)(3)</w:t>
            </w:r>
          </w:p>
        </w:tc>
        <w:tc>
          <w:tcPr>
            <w:tcW w:w="1140" w:type="dxa"/>
            <w:vAlign w:val="bottom"/>
            <w:tcBorders>
              <w:bottom w:val="single" w:sz="8" w:color="071D49"/>
            </w:tcBorders>
          </w:tcPr>
          <w:p>
            <w:pPr>
              <w:jc w:val="right"/>
              <w:ind w:right="68"/>
              <w:spacing w:after="0"/>
              <w:rPr>
                <w:sz w:val="20"/>
                <w:szCs w:val="20"/>
                <w:color w:val="auto"/>
              </w:rPr>
            </w:pPr>
            <w:r>
              <w:rPr>
                <w:rFonts w:ascii="Arial" w:cs="Arial" w:eastAsia="Arial" w:hAnsi="Arial"/>
                <w:sz w:val="13"/>
                <w:szCs w:val="13"/>
                <w:b w:val="1"/>
                <w:bCs w:val="1"/>
                <w:color w:val="454968"/>
              </w:rPr>
              <w:t>($)</w:t>
            </w:r>
          </w:p>
        </w:tc>
        <w:tc>
          <w:tcPr>
            <w:tcW w:w="8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($)(4)</w:t>
            </w:r>
          </w:p>
        </w:tc>
      </w:tr>
      <w:tr>
        <w:trPr>
          <w:trHeight w:val="180"/>
        </w:trPr>
        <w:tc>
          <w:tcPr>
            <w:tcW w:w="940" w:type="dxa"/>
            <w:vAlign w:val="bottom"/>
            <w:tcBorders>
              <w:bottom w:val="single" w:sz="8" w:color="071D49"/>
            </w:tcBorders>
            <w:shd w:val="clear" w:color="auto" w:fill="D9D9D9"/>
          </w:tcPr>
          <w:p>
            <w:pPr>
              <w:spacing w:after="0" w:line="180" w:lineRule="exact"/>
              <w:rPr>
                <w:sz w:val="20"/>
                <w:szCs w:val="20"/>
                <w:color w:val="auto"/>
              </w:rPr>
            </w:pPr>
            <w:r>
              <w:rPr>
                <w:rFonts w:ascii="Arial" w:cs="Arial" w:eastAsia="Arial" w:hAnsi="Arial"/>
                <w:sz w:val="17"/>
                <w:szCs w:val="17"/>
                <w:color w:val="auto"/>
              </w:rPr>
              <w:t>J. Stewart</w:t>
            </w:r>
          </w:p>
        </w:tc>
        <w:tc>
          <w:tcPr>
            <w:tcW w:w="2720" w:type="dxa"/>
            <w:vAlign w:val="bottom"/>
            <w:tcBorders>
              <w:bottom w:val="single" w:sz="8" w:color="071D49"/>
            </w:tcBorders>
            <w:shd w:val="clear" w:color="auto" w:fill="D9D9D9"/>
          </w:tcPr>
          <w:p>
            <w:pPr>
              <w:ind w:left="140"/>
              <w:spacing w:after="0" w:line="180" w:lineRule="exact"/>
              <w:rPr>
                <w:sz w:val="20"/>
                <w:szCs w:val="20"/>
                <w:color w:val="auto"/>
              </w:rPr>
            </w:pPr>
            <w:r>
              <w:rPr>
                <w:rFonts w:ascii="Arial" w:cs="Arial" w:eastAsia="Arial" w:hAnsi="Arial"/>
                <w:sz w:val="17"/>
                <w:szCs w:val="17"/>
                <w:color w:val="auto"/>
              </w:rPr>
              <w:t>Deferred Compensation Plan</w:t>
            </w:r>
          </w:p>
        </w:tc>
        <w:tc>
          <w:tcPr>
            <w:tcW w:w="1480" w:type="dxa"/>
            <w:vAlign w:val="bottom"/>
            <w:tcBorders>
              <w:bottom w:val="single" w:sz="8" w:color="071D49"/>
            </w:tcBorders>
            <w:shd w:val="clear" w:color="auto" w:fill="D9D9D9"/>
          </w:tcPr>
          <w:p>
            <w:pPr>
              <w:jc w:val="right"/>
              <w:ind w:right="148"/>
              <w:spacing w:after="0" w:line="180" w:lineRule="exact"/>
              <w:rPr>
                <w:sz w:val="20"/>
                <w:szCs w:val="20"/>
                <w:color w:val="auto"/>
              </w:rPr>
            </w:pPr>
            <w:r>
              <w:rPr>
                <w:rFonts w:ascii="Arial" w:cs="Arial" w:eastAsia="Arial" w:hAnsi="Arial"/>
                <w:sz w:val="17"/>
                <w:szCs w:val="17"/>
                <w:color w:val="auto"/>
              </w:rPr>
              <w:t>0</w:t>
            </w:r>
          </w:p>
        </w:tc>
        <w:tc>
          <w:tcPr>
            <w:tcW w:w="1180" w:type="dxa"/>
            <w:vAlign w:val="bottom"/>
            <w:tcBorders>
              <w:bottom w:val="single" w:sz="8" w:color="071D49"/>
            </w:tcBorders>
            <w:shd w:val="clear" w:color="auto" w:fill="D9D9D9"/>
          </w:tcPr>
          <w:p>
            <w:pPr>
              <w:jc w:val="right"/>
              <w:ind w:right="128"/>
              <w:spacing w:after="0" w:line="180" w:lineRule="exact"/>
              <w:rPr>
                <w:sz w:val="20"/>
                <w:szCs w:val="20"/>
                <w:color w:val="auto"/>
              </w:rPr>
            </w:pPr>
            <w:r>
              <w:rPr>
                <w:rFonts w:ascii="Arial" w:cs="Arial" w:eastAsia="Arial" w:hAnsi="Arial"/>
                <w:sz w:val="17"/>
                <w:szCs w:val="17"/>
                <w:color w:val="auto"/>
              </w:rPr>
              <w:t>0</w:t>
            </w:r>
          </w:p>
        </w:tc>
        <w:tc>
          <w:tcPr>
            <w:tcW w:w="980" w:type="dxa"/>
            <w:vAlign w:val="bottom"/>
            <w:tcBorders>
              <w:bottom w:val="single" w:sz="8" w:color="071D49"/>
            </w:tcBorders>
            <w:shd w:val="clear" w:color="auto" w:fill="D9D9D9"/>
          </w:tcPr>
          <w:p>
            <w:pPr>
              <w:jc w:val="right"/>
              <w:ind w:right="148"/>
              <w:spacing w:after="0" w:line="180" w:lineRule="exact"/>
              <w:rPr>
                <w:sz w:val="20"/>
                <w:szCs w:val="20"/>
                <w:color w:val="auto"/>
              </w:rPr>
            </w:pPr>
            <w:r>
              <w:rPr>
                <w:rFonts w:ascii="Arial" w:cs="Arial" w:eastAsia="Arial" w:hAnsi="Arial"/>
                <w:sz w:val="17"/>
                <w:szCs w:val="17"/>
                <w:color w:val="auto"/>
              </w:rPr>
              <w:t>11,637</w:t>
            </w:r>
          </w:p>
        </w:tc>
        <w:tc>
          <w:tcPr>
            <w:tcW w:w="1140" w:type="dxa"/>
            <w:vAlign w:val="bottom"/>
            <w:tcBorders>
              <w:bottom w:val="single" w:sz="8" w:color="071D49"/>
            </w:tcBorders>
            <w:shd w:val="clear" w:color="auto" w:fill="D9D9D9"/>
          </w:tcPr>
          <w:p>
            <w:pPr>
              <w:jc w:val="right"/>
              <w:ind w:right="128"/>
              <w:spacing w:after="0" w:line="180" w:lineRule="exact"/>
              <w:rPr>
                <w:sz w:val="20"/>
                <w:szCs w:val="20"/>
                <w:color w:val="auto"/>
              </w:rPr>
            </w:pPr>
            <w:r>
              <w:rPr>
                <w:rFonts w:ascii="Arial" w:cs="Arial" w:eastAsia="Arial" w:hAnsi="Arial"/>
                <w:sz w:val="17"/>
                <w:szCs w:val="17"/>
                <w:color w:val="auto"/>
              </w:rPr>
              <w:t>0</w:t>
            </w:r>
          </w:p>
        </w:tc>
        <w:tc>
          <w:tcPr>
            <w:tcW w:w="820" w:type="dxa"/>
            <w:vAlign w:val="bottom"/>
            <w:tcBorders>
              <w:bottom w:val="single" w:sz="8" w:color="071D49"/>
            </w:tcBorders>
            <w:shd w:val="clear" w:color="auto" w:fill="D9D9D9"/>
          </w:tcPr>
          <w:p>
            <w:pPr>
              <w:jc w:val="right"/>
              <w:spacing w:after="0" w:line="180" w:lineRule="exact"/>
              <w:rPr>
                <w:sz w:val="20"/>
                <w:szCs w:val="20"/>
                <w:color w:val="auto"/>
              </w:rPr>
            </w:pPr>
            <w:r>
              <w:rPr>
                <w:rFonts w:ascii="Arial" w:cs="Arial" w:eastAsia="Arial" w:hAnsi="Arial"/>
                <w:sz w:val="17"/>
                <w:szCs w:val="17"/>
                <w:color w:val="auto"/>
              </w:rPr>
              <w:t>146,630</w:t>
            </w:r>
          </w:p>
        </w:tc>
      </w:tr>
      <w:tr>
        <w:trPr>
          <w:trHeight w:val="163"/>
        </w:trPr>
        <w:tc>
          <w:tcPr>
            <w:tcW w:w="940" w:type="dxa"/>
            <w:vAlign w:val="bottom"/>
          </w:tcPr>
          <w:p>
            <w:pPr>
              <w:spacing w:after="0" w:line="163" w:lineRule="exact"/>
              <w:rPr>
                <w:sz w:val="20"/>
                <w:szCs w:val="20"/>
                <w:color w:val="auto"/>
              </w:rPr>
            </w:pPr>
            <w:r>
              <w:rPr>
                <w:rFonts w:ascii="Arial" w:cs="Arial" w:eastAsia="Arial" w:hAnsi="Arial"/>
                <w:sz w:val="17"/>
                <w:szCs w:val="17"/>
                <w:color w:val="auto"/>
              </w:rPr>
              <w:t>A. Saleki-</w:t>
            </w:r>
          </w:p>
        </w:tc>
        <w:tc>
          <w:tcPr>
            <w:tcW w:w="27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1"/>
        </w:trPr>
        <w:tc>
          <w:tcPr>
            <w:tcW w:w="940" w:type="dxa"/>
            <w:vAlign w:val="bottom"/>
          </w:tcPr>
          <w:p>
            <w:pPr>
              <w:ind w:left="160"/>
              <w:spacing w:after="0"/>
              <w:rPr>
                <w:sz w:val="20"/>
                <w:szCs w:val="20"/>
                <w:color w:val="auto"/>
              </w:rPr>
            </w:pPr>
            <w:r>
              <w:rPr>
                <w:rFonts w:ascii="Arial" w:cs="Arial" w:eastAsia="Arial" w:hAnsi="Arial"/>
                <w:sz w:val="17"/>
                <w:szCs w:val="17"/>
                <w:color w:val="auto"/>
              </w:rPr>
              <w:t>Gerhardt</w:t>
            </w:r>
          </w:p>
        </w:tc>
        <w:tc>
          <w:tcPr>
            <w:tcW w:w="2720" w:type="dxa"/>
            <w:vAlign w:val="bottom"/>
          </w:tcPr>
          <w:p>
            <w:pPr>
              <w:ind w:left="140"/>
              <w:spacing w:after="0"/>
              <w:rPr>
                <w:sz w:val="20"/>
                <w:szCs w:val="20"/>
                <w:color w:val="auto"/>
              </w:rPr>
            </w:pPr>
            <w:r>
              <w:rPr>
                <w:rFonts w:ascii="Arial" w:cs="Arial" w:eastAsia="Arial" w:hAnsi="Arial"/>
                <w:sz w:val="17"/>
                <w:szCs w:val="17"/>
                <w:color w:val="auto"/>
              </w:rPr>
              <w:t>Deferred Compensation Plan</w:t>
            </w:r>
          </w:p>
        </w:tc>
        <w:tc>
          <w:tcPr>
            <w:tcW w:w="1480" w:type="dxa"/>
            <w:vAlign w:val="bottom"/>
          </w:tcPr>
          <w:p>
            <w:pPr>
              <w:jc w:val="right"/>
              <w:ind w:right="148"/>
              <w:spacing w:after="0"/>
              <w:rPr>
                <w:sz w:val="20"/>
                <w:szCs w:val="20"/>
                <w:color w:val="auto"/>
              </w:rPr>
            </w:pPr>
            <w:r>
              <w:rPr>
                <w:rFonts w:ascii="Arial" w:cs="Arial" w:eastAsia="Arial" w:hAnsi="Arial"/>
                <w:sz w:val="17"/>
                <w:szCs w:val="17"/>
                <w:color w:val="auto"/>
              </w:rPr>
              <w:t>0</w:t>
            </w:r>
          </w:p>
        </w:tc>
        <w:tc>
          <w:tcPr>
            <w:tcW w:w="1180" w:type="dxa"/>
            <w:vAlign w:val="bottom"/>
          </w:tcPr>
          <w:p>
            <w:pPr>
              <w:jc w:val="right"/>
              <w:ind w:right="128"/>
              <w:spacing w:after="0"/>
              <w:rPr>
                <w:sz w:val="20"/>
                <w:szCs w:val="20"/>
                <w:color w:val="auto"/>
              </w:rPr>
            </w:pPr>
            <w:r>
              <w:rPr>
                <w:rFonts w:ascii="Arial" w:cs="Arial" w:eastAsia="Arial" w:hAnsi="Arial"/>
                <w:sz w:val="17"/>
                <w:szCs w:val="17"/>
                <w:color w:val="auto"/>
              </w:rPr>
              <w:t>0</w:t>
            </w:r>
          </w:p>
        </w:tc>
        <w:tc>
          <w:tcPr>
            <w:tcW w:w="980" w:type="dxa"/>
            <w:vAlign w:val="bottom"/>
          </w:tcPr>
          <w:p>
            <w:pPr>
              <w:jc w:val="right"/>
              <w:ind w:right="148"/>
              <w:spacing w:after="0"/>
              <w:rPr>
                <w:sz w:val="20"/>
                <w:szCs w:val="20"/>
                <w:color w:val="auto"/>
              </w:rPr>
            </w:pPr>
            <w:r>
              <w:rPr>
                <w:rFonts w:ascii="Arial" w:cs="Arial" w:eastAsia="Arial" w:hAnsi="Arial"/>
                <w:sz w:val="17"/>
                <w:szCs w:val="17"/>
                <w:color w:val="auto"/>
              </w:rPr>
              <w:t>102,037</w:t>
            </w:r>
          </w:p>
        </w:tc>
        <w:tc>
          <w:tcPr>
            <w:tcW w:w="1140" w:type="dxa"/>
            <w:vAlign w:val="bottom"/>
          </w:tcPr>
          <w:p>
            <w:pPr>
              <w:jc w:val="right"/>
              <w:ind w:right="128"/>
              <w:spacing w:after="0"/>
              <w:rPr>
                <w:sz w:val="20"/>
                <w:szCs w:val="20"/>
                <w:color w:val="auto"/>
              </w:rPr>
            </w:pPr>
            <w:r>
              <w:rPr>
                <w:rFonts w:ascii="Arial" w:cs="Arial" w:eastAsia="Arial" w:hAnsi="Arial"/>
                <w:sz w:val="17"/>
                <w:szCs w:val="17"/>
                <w:color w:val="auto"/>
              </w:rPr>
              <w:t>0</w:t>
            </w:r>
          </w:p>
        </w:tc>
        <w:tc>
          <w:tcPr>
            <w:tcW w:w="820" w:type="dxa"/>
            <w:vAlign w:val="bottom"/>
          </w:tcPr>
          <w:p>
            <w:pPr>
              <w:jc w:val="right"/>
              <w:spacing w:after="0"/>
              <w:rPr>
                <w:sz w:val="20"/>
                <w:szCs w:val="20"/>
                <w:color w:val="auto"/>
              </w:rPr>
            </w:pPr>
            <w:r>
              <w:rPr>
                <w:rFonts w:ascii="Arial" w:cs="Arial" w:eastAsia="Arial" w:hAnsi="Arial"/>
                <w:sz w:val="17"/>
                <w:szCs w:val="17"/>
                <w:color w:val="auto"/>
              </w:rPr>
              <w:t>594,175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14700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147" w:lineRule="exact"/>
        <w:rPr>
          <w:sz w:val="20"/>
          <w:szCs w:val="20"/>
          <w:color w:val="auto"/>
        </w:rPr>
      </w:pPr>
    </w:p>
    <w:p>
      <w:pPr>
        <w:ind w:left="348" w:right="660" w:hanging="348"/>
        <w:spacing w:after="0" w:line="261" w:lineRule="auto"/>
        <w:tabs>
          <w:tab w:leader="none" w:pos="3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Dr. Saleki-Gerhardt and Mr. Stewart ceased contributions to the Deferred Compensation Plan in 2008 and 2009, respectively.</w:t>
      </w:r>
    </w:p>
    <w:p>
      <w:pPr>
        <w:spacing w:after="0" w:line="150" w:lineRule="exact"/>
        <w:rPr>
          <w:rFonts w:ascii="Arial" w:cs="Arial" w:eastAsia="Arial" w:hAnsi="Arial"/>
          <w:sz w:val="17"/>
          <w:szCs w:val="17"/>
          <w:color w:val="auto"/>
        </w:rPr>
      </w:pPr>
    </w:p>
    <w:p>
      <w:pPr>
        <w:ind w:left="348" w:right="40" w:hanging="348"/>
        <w:spacing w:after="0" w:line="237" w:lineRule="auto"/>
        <w:tabs>
          <w:tab w:leader="none" w:pos="3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2023, the weighted average rate of return credited to the account was 8.6% for Mr. Stewart and 20.7% for Dr. Saleki-Gerhardt.</w:t>
      </w:r>
    </w:p>
    <w:p>
      <w:pPr>
        <w:spacing w:after="0" w:line="168" w:lineRule="exact"/>
        <w:rPr>
          <w:rFonts w:ascii="Arial" w:cs="Arial" w:eastAsia="Arial" w:hAnsi="Arial"/>
          <w:sz w:val="17"/>
          <w:szCs w:val="17"/>
          <w:color w:val="auto"/>
        </w:rPr>
      </w:pPr>
    </w:p>
    <w:p>
      <w:pPr>
        <w:ind w:left="368" w:right="20"/>
        <w:spacing w:after="0" w:line="238" w:lineRule="auto"/>
        <w:rPr>
          <w:rFonts w:ascii="Arial" w:cs="Arial" w:eastAsia="Arial" w:hAnsi="Arial"/>
          <w:sz w:val="17"/>
          <w:szCs w:val="17"/>
          <w:color w:val="auto"/>
        </w:rPr>
      </w:pPr>
      <w:r>
        <w:rPr>
          <w:rFonts w:ascii="Arial" w:cs="Arial" w:eastAsia="Arial" w:hAnsi="Arial"/>
          <w:sz w:val="17"/>
          <w:szCs w:val="17"/>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 Section 409A. Participants may request withdrawals due to financial hardship; if a hardship withdrawal is approved, it is limited to the amount needed to address the hardship.</w:t>
      </w:r>
    </w:p>
    <w:p>
      <w:pPr>
        <w:spacing w:after="0" w:line="169" w:lineRule="exact"/>
        <w:rPr>
          <w:rFonts w:ascii="Arial" w:cs="Arial" w:eastAsia="Arial" w:hAnsi="Arial"/>
          <w:sz w:val="17"/>
          <w:szCs w:val="17"/>
          <w:color w:val="auto"/>
        </w:rPr>
      </w:pPr>
    </w:p>
    <w:p>
      <w:pPr>
        <w:ind w:left="348" w:hanging="348"/>
        <w:spacing w:after="0"/>
        <w:tabs>
          <w:tab w:leader="none" w:pos="3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proxy statement.</w:t>
      </w:r>
    </w:p>
    <w:p>
      <w:pPr>
        <w:spacing w:after="0" w:line="192" w:lineRule="exact"/>
        <w:rPr>
          <w:rFonts w:ascii="Arial" w:cs="Arial" w:eastAsia="Arial" w:hAnsi="Arial"/>
          <w:sz w:val="17"/>
          <w:szCs w:val="17"/>
          <w:color w:val="auto"/>
        </w:rPr>
      </w:pPr>
    </w:p>
    <w:p>
      <w:pPr>
        <w:ind w:left="348" w:right="500" w:hanging="348"/>
        <w:spacing w:after="0" w:line="293" w:lineRule="auto"/>
        <w:tabs>
          <w:tab w:leader="none" w:pos="348"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amounts reported in this column have not been previously reported as compensation in AbbVie’s Summary Compensation Tables because they relate to contributions made before the applicable individual became an NEO.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64</w:t>
      </w:r>
      <w:r>
        <w:rPr>
          <w:sz w:val="20"/>
          <w:szCs w:val="20"/>
          <w:color w:val="auto"/>
        </w:rPr>
        <w:tab/>
      </w:r>
      <w:r>
        <w:rPr>
          <w:sz w:val="1"/>
          <w:szCs w:val="1"/>
          <w:color w:val="auto"/>
        </w:rPr>
        <w:drawing>
          <wp:inline distT="0" distB="0" distL="0" distR="0">
            <wp:extent cx="810260" cy="1511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241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68"/>
          </w:cols>
          <w:pgMar w:left="1312" w:top="486" w:right="1319" w:bottom="1440" w:gutter="0" w:footer="0" w:header="0"/>
        </w:sectPr>
      </w:pPr>
    </w:p>
    <w:bookmarkStart w:id="67" w:name="page68"/>
    <w:bookmarkEnd w:id="6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REQUIRED PAY RATIO DISCLOSURE</w:t>
      </w:r>
    </w:p>
    <w:p>
      <w:pPr>
        <w:spacing w:after="0" w:line="155" w:lineRule="exact"/>
        <w:rPr>
          <w:sz w:val="20"/>
          <w:szCs w:val="20"/>
          <w:color w:val="auto"/>
        </w:rPr>
      </w:pPr>
    </w:p>
    <w:p>
      <w:pPr>
        <w:ind w:left="20"/>
        <w:spacing w:after="0" w:line="249"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 Richard Gonzalez. The pay ratio included in this information is a reasonable estimate calculated in a manner consistent with Item 402(u) of Regulation S-K. The ratio of Mr. Gonzalez’s annual total compensation for 2023, as reported in the Summary Compensation Table in this proxy statement, to the median employee annual total compensation determined on the same basis was 169:1. For 2023, the annual total compensation of our median employee (other than Mr. Gonzalez) was $151,991. To identify the median employee, we prepared a list of active AbbVie employees, throughout the world as of December 31, 2023. The consistently applied compensation measure used to identify the median employee was annual base pay and target bonus, using hours worked during 2023 for hourly employees and base salary for the remaining employees. This process resulted in a median group consisting of several employees and a representative employee was selected, taking into account demographic characteristics that we believe best represent a typical AbbVie employee, including tenure, location, employment status and applicable compensation and benefit programs.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REQUIRED PAY VERSUS PERFORMANCE DISCLOSURE</w:t>
      </w:r>
    </w:p>
    <w:p>
      <w:pPr>
        <w:spacing w:after="0" w:line="155"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As required by Section 953(a) of the Dodd-Frank Wall Street Reform and Consumer Protection Act and Item 402(v) of Regulation S-K, the table below includes information to demonstrate the relationship between NEO compensation and certain financial performance measures for fiscal years 2020, 2021, 2022, and 2023. For additional information about our performance-based pay philosophy and how we align executive compensation with AbbVie’s performance, refer to the Compensation Discussion and Analysis beginning on page 33.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20" w:type="dxa"/>
            <w:vAlign w:val="bottom"/>
            <w:tcBorders>
              <w:top w:val="single" w:sz="8" w:color="auto"/>
              <w:right w:val="single" w:sz="8" w:color="auto"/>
            </w:tcBorders>
            <w:gridSpan w:val="4"/>
          </w:tcPr>
          <w:p>
            <w:pPr>
              <w:jc w:val="right"/>
              <w:ind w:right="153"/>
              <w:spacing w:after="0"/>
              <w:rPr>
                <w:sz w:val="20"/>
                <w:szCs w:val="20"/>
                <w:color w:val="auto"/>
              </w:rPr>
            </w:pPr>
            <w:r>
              <w:rPr>
                <w:rFonts w:ascii="Arial" w:cs="Arial" w:eastAsia="Arial" w:hAnsi="Arial"/>
                <w:sz w:val="13"/>
                <w:szCs w:val="13"/>
                <w:b w:val="1"/>
                <w:bCs w:val="1"/>
                <w:color w:val="454968"/>
              </w:rPr>
              <w:t>Value of Initial Fixed $100</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12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454968"/>
              </w:rPr>
              <w:t>Summary</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454968"/>
              </w:rPr>
              <w:t>Average Summary</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454968"/>
              </w:rPr>
              <w:t>Average</w:t>
            </w:r>
          </w:p>
        </w:tc>
        <w:tc>
          <w:tcPr>
            <w:tcW w:w="26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454968"/>
              </w:rPr>
              <w:t>Investment Based on</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Borders>
              <w:right w:val="single" w:sz="8" w:color="auto"/>
            </w:tcBorders>
            <w:gridSpan w:val="2"/>
          </w:tcPr>
          <w:p>
            <w:pPr>
              <w:jc w:val="right"/>
              <w:ind w:right="13"/>
              <w:spacing w:after="0" w:line="133" w:lineRule="exact"/>
              <w:rPr>
                <w:sz w:val="20"/>
                <w:szCs w:val="20"/>
                <w:color w:val="auto"/>
              </w:rPr>
            </w:pPr>
            <w:r>
              <w:rPr>
                <w:rFonts w:ascii="Arial" w:cs="Arial" w:eastAsia="Arial" w:hAnsi="Arial"/>
                <w:sz w:val="13"/>
                <w:szCs w:val="13"/>
                <w:b w:val="1"/>
                <w:bCs w:val="1"/>
                <w:color w:val="454968"/>
              </w:rPr>
              <w:t>Peer Group</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1280" w:type="dxa"/>
            <w:vAlign w:val="bottom"/>
          </w:tcPr>
          <w:p>
            <w:pPr>
              <w:jc w:val="right"/>
              <w:ind w:right="33"/>
              <w:spacing w:after="0"/>
              <w:rPr>
                <w:sz w:val="20"/>
                <w:szCs w:val="20"/>
                <w:color w:val="auto"/>
              </w:rPr>
            </w:pPr>
            <w:r>
              <w:rPr>
                <w:rFonts w:ascii="Arial" w:cs="Arial" w:eastAsia="Arial" w:hAnsi="Arial"/>
                <w:sz w:val="13"/>
                <w:szCs w:val="13"/>
                <w:b w:val="1"/>
                <w:bCs w:val="1"/>
                <w:color w:val="454968"/>
              </w:rPr>
              <w:t>Compensation</w:t>
            </w:r>
          </w:p>
        </w:tc>
        <w:tc>
          <w:tcPr>
            <w:tcW w:w="11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454968"/>
              </w:rPr>
              <w:t>Compensation</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454968"/>
              </w:rPr>
              <w:t>Compensation</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454968"/>
              </w:rPr>
              <w:t>Compensation</w:t>
            </w:r>
          </w:p>
        </w:tc>
        <w:tc>
          <w:tcPr>
            <w:tcW w:w="2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454968"/>
              </w:rPr>
              <w:t>Total</w:t>
            </w:r>
          </w:p>
        </w:tc>
        <w:tc>
          <w:tcPr>
            <w:tcW w:w="320" w:type="dxa"/>
            <w:vAlign w:val="bottom"/>
          </w:tcPr>
          <w:p>
            <w:pPr>
              <w:spacing w:after="0"/>
              <w:rPr>
                <w:sz w:val="13"/>
                <w:szCs w:val="13"/>
                <w:color w:val="auto"/>
              </w:rPr>
            </w:pP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454968"/>
              </w:rPr>
              <w:t>Total</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454968"/>
              </w:rPr>
              <w:t>Adjusted</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1280" w:type="dxa"/>
            <w:vAlign w:val="bottom"/>
          </w:tcPr>
          <w:p>
            <w:pPr>
              <w:jc w:val="right"/>
              <w:ind w:right="33"/>
              <w:spacing w:after="0"/>
              <w:rPr>
                <w:sz w:val="20"/>
                <w:szCs w:val="20"/>
                <w:color w:val="auto"/>
              </w:rPr>
            </w:pPr>
            <w:r>
              <w:rPr>
                <w:rFonts w:ascii="Arial" w:cs="Arial" w:eastAsia="Arial" w:hAnsi="Arial"/>
                <w:sz w:val="13"/>
                <w:szCs w:val="13"/>
                <w:b w:val="1"/>
                <w:bCs w:val="1"/>
                <w:color w:val="454968"/>
              </w:rPr>
              <w:t>Table Total</w:t>
            </w:r>
          </w:p>
        </w:tc>
        <w:tc>
          <w:tcPr>
            <w:tcW w:w="20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b w:val="1"/>
                <w:bCs w:val="1"/>
                <w:color w:val="454968"/>
              </w:rPr>
              <w:t>Actually Paid</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454968"/>
              </w:rPr>
              <w:t>Table Total for</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454968"/>
              </w:rPr>
              <w:t>Actually Paid to</w:t>
            </w:r>
          </w:p>
        </w:tc>
        <w:tc>
          <w:tcPr>
            <w:tcW w:w="1060" w:type="dxa"/>
            <w:vAlign w:val="bottom"/>
            <w:gridSpan w:val="2"/>
          </w:tcPr>
          <w:p>
            <w:pPr>
              <w:jc w:val="right"/>
              <w:ind w:right="13"/>
              <w:spacing w:after="0"/>
              <w:rPr>
                <w:sz w:val="20"/>
                <w:szCs w:val="20"/>
                <w:color w:val="auto"/>
              </w:rPr>
            </w:pPr>
            <w:r>
              <w:rPr>
                <w:rFonts w:ascii="Arial" w:cs="Arial" w:eastAsia="Arial" w:hAnsi="Arial"/>
                <w:sz w:val="13"/>
                <w:szCs w:val="13"/>
                <w:b w:val="1"/>
                <w:bCs w:val="1"/>
                <w:color w:val="454968"/>
              </w:rPr>
              <w:t>Shareholder</w:t>
            </w:r>
          </w:p>
        </w:tc>
        <w:tc>
          <w:tcPr>
            <w:tcW w:w="960" w:type="dxa"/>
            <w:vAlign w:val="bottom"/>
            <w:tcBorders>
              <w:right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454968"/>
              </w:rPr>
              <w:t>Shareholder</w:t>
            </w:r>
          </w:p>
        </w:tc>
        <w:tc>
          <w:tcPr>
            <w:tcW w:w="9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454968"/>
              </w:rPr>
              <w:t>Net Income</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454968"/>
              </w:rPr>
              <w:t>Diluted</w:t>
            </w:r>
          </w:p>
        </w:tc>
        <w:tc>
          <w:tcPr>
            <w:tcW w:w="0" w:type="dxa"/>
            <w:vAlign w:val="bottom"/>
          </w:tcPr>
          <w:p>
            <w:pPr>
              <w:spacing w:after="0"/>
              <w:rPr>
                <w:sz w:val="1"/>
                <w:szCs w:val="1"/>
                <w:color w:val="auto"/>
              </w:rPr>
            </w:pPr>
          </w:p>
        </w:tc>
      </w:tr>
      <w:tr>
        <w:trPr>
          <w:trHeight w:val="150"/>
        </w:trPr>
        <w:tc>
          <w:tcPr>
            <w:tcW w:w="540" w:type="dxa"/>
            <w:vAlign w:val="bottom"/>
          </w:tcPr>
          <w:p>
            <w:pPr>
              <w:ind w:left="20"/>
              <w:spacing w:after="0"/>
              <w:rPr>
                <w:sz w:val="20"/>
                <w:szCs w:val="20"/>
                <w:color w:val="auto"/>
              </w:rPr>
            </w:pPr>
            <w:r>
              <w:rPr>
                <w:rFonts w:ascii="Arial" w:cs="Arial" w:eastAsia="Arial" w:hAnsi="Arial"/>
                <w:sz w:val="13"/>
                <w:szCs w:val="13"/>
                <w:b w:val="1"/>
                <w:bCs w:val="1"/>
                <w:color w:val="454968"/>
              </w:rPr>
              <w:t>Year</w:t>
            </w:r>
          </w:p>
        </w:tc>
        <w:tc>
          <w:tcPr>
            <w:tcW w:w="1280" w:type="dxa"/>
            <w:vAlign w:val="bottom"/>
          </w:tcPr>
          <w:p>
            <w:pPr>
              <w:jc w:val="right"/>
              <w:ind w:right="33"/>
              <w:spacing w:after="0"/>
              <w:rPr>
                <w:sz w:val="20"/>
                <w:szCs w:val="20"/>
                <w:color w:val="auto"/>
              </w:rPr>
            </w:pPr>
            <w:r>
              <w:rPr>
                <w:rFonts w:ascii="Arial" w:cs="Arial" w:eastAsia="Arial" w:hAnsi="Arial"/>
                <w:sz w:val="13"/>
                <w:szCs w:val="13"/>
                <w:b w:val="1"/>
                <w:bCs w:val="1"/>
                <w:color w:val="454968"/>
              </w:rPr>
              <w:t>for PEO</w:t>
            </w:r>
          </w:p>
        </w:tc>
        <w:tc>
          <w:tcPr>
            <w:tcW w:w="20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b w:val="1"/>
                <w:bCs w:val="1"/>
                <w:color w:val="454968"/>
              </w:rPr>
              <w:t>to PEO</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454968"/>
              </w:rPr>
              <w:t>Non-PEO NEOs</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454968"/>
              </w:rPr>
              <w:t>Non-PEO NEOs</w:t>
            </w:r>
          </w:p>
        </w:tc>
        <w:tc>
          <w:tcPr>
            <w:tcW w:w="2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454968"/>
              </w:rPr>
              <w:t>Return</w:t>
            </w:r>
          </w:p>
        </w:tc>
        <w:tc>
          <w:tcPr>
            <w:tcW w:w="320" w:type="dxa"/>
            <w:vAlign w:val="bottom"/>
          </w:tcPr>
          <w:p>
            <w:pPr>
              <w:spacing w:after="0"/>
              <w:rPr>
                <w:sz w:val="13"/>
                <w:szCs w:val="13"/>
                <w:color w:val="auto"/>
              </w:rPr>
            </w:pP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454968"/>
              </w:rPr>
              <w:t>Return</w:t>
            </w:r>
          </w:p>
        </w:tc>
        <w:tc>
          <w:tcPr>
            <w:tcW w:w="3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b w:val="1"/>
                <w:bCs w:val="1"/>
                <w:color w:val="454968"/>
              </w:rPr>
              <w:t>$MM</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454968"/>
              </w:rPr>
              <w:t>EPS</w:t>
            </w:r>
          </w:p>
        </w:tc>
        <w:tc>
          <w:tcPr>
            <w:tcW w:w="0" w:type="dxa"/>
            <w:vAlign w:val="bottom"/>
          </w:tcPr>
          <w:p>
            <w:pPr>
              <w:spacing w:after="0"/>
              <w:rPr>
                <w:sz w:val="1"/>
                <w:szCs w:val="1"/>
                <w:color w:val="auto"/>
              </w:rPr>
            </w:pPr>
          </w:p>
        </w:tc>
      </w:tr>
      <w:tr>
        <w:trPr>
          <w:trHeight w:val="160"/>
        </w:trPr>
        <w:tc>
          <w:tcPr>
            <w:tcW w:w="540" w:type="dxa"/>
            <w:vAlign w:val="bottom"/>
            <w:tcBorders>
              <w:bottom w:val="single" w:sz="8" w:color="071D49"/>
            </w:tcBorders>
          </w:tcPr>
          <w:p>
            <w:pPr>
              <w:spacing w:after="0"/>
              <w:rPr>
                <w:sz w:val="13"/>
                <w:szCs w:val="13"/>
                <w:color w:val="auto"/>
              </w:rPr>
            </w:pPr>
          </w:p>
        </w:tc>
        <w:tc>
          <w:tcPr>
            <w:tcW w:w="1280" w:type="dxa"/>
            <w:vAlign w:val="bottom"/>
            <w:tcBorders>
              <w:bottom w:val="single" w:sz="8" w:color="071D49"/>
            </w:tcBorders>
          </w:tcPr>
          <w:p>
            <w:pPr>
              <w:jc w:val="right"/>
              <w:ind w:right="33"/>
              <w:spacing w:after="0"/>
              <w:rPr>
                <w:sz w:val="20"/>
                <w:szCs w:val="20"/>
                <w:color w:val="auto"/>
              </w:rPr>
            </w:pPr>
            <w:r>
              <w:rPr>
                <w:rFonts w:ascii="Arial" w:cs="Arial" w:eastAsia="Arial" w:hAnsi="Arial"/>
                <w:sz w:val="13"/>
                <w:szCs w:val="13"/>
                <w:b w:val="1"/>
                <w:bCs w:val="1"/>
                <w:color w:val="454968"/>
              </w:rPr>
              <w:t>($)(a)</w:t>
            </w:r>
          </w:p>
        </w:tc>
        <w:tc>
          <w:tcPr>
            <w:tcW w:w="200" w:type="dxa"/>
            <w:vAlign w:val="bottom"/>
            <w:tcBorders>
              <w:bottom w:val="single" w:sz="8" w:color="071D49"/>
            </w:tcBorders>
          </w:tcPr>
          <w:p>
            <w:pPr>
              <w:spacing w:after="0"/>
              <w:rPr>
                <w:sz w:val="13"/>
                <w:szCs w:val="13"/>
                <w:color w:val="auto"/>
              </w:rPr>
            </w:pPr>
          </w:p>
        </w:tc>
        <w:tc>
          <w:tcPr>
            <w:tcW w:w="960" w:type="dxa"/>
            <w:vAlign w:val="bottom"/>
            <w:tcBorders>
              <w:bottom w:val="single" w:sz="8" w:color="071D49"/>
            </w:tcBorders>
          </w:tcPr>
          <w:p>
            <w:pPr>
              <w:jc w:val="right"/>
              <w:ind w:right="33"/>
              <w:spacing w:after="0"/>
              <w:rPr>
                <w:sz w:val="20"/>
                <w:szCs w:val="20"/>
                <w:color w:val="auto"/>
              </w:rPr>
            </w:pPr>
            <w:r>
              <w:rPr>
                <w:rFonts w:ascii="Arial" w:cs="Arial" w:eastAsia="Arial" w:hAnsi="Arial"/>
                <w:sz w:val="13"/>
                <w:szCs w:val="13"/>
                <w:b w:val="1"/>
                <w:bCs w:val="1"/>
                <w:color w:val="454968"/>
              </w:rPr>
              <w:t>($)(b)</w:t>
            </w:r>
          </w:p>
        </w:tc>
        <w:tc>
          <w:tcPr>
            <w:tcW w:w="240" w:type="dxa"/>
            <w:vAlign w:val="bottom"/>
            <w:tcBorders>
              <w:bottom w:val="single" w:sz="8" w:color="071D49"/>
            </w:tcBorders>
          </w:tcPr>
          <w:p>
            <w:pPr>
              <w:spacing w:after="0"/>
              <w:rPr>
                <w:sz w:val="13"/>
                <w:szCs w:val="13"/>
                <w:color w:val="auto"/>
              </w:rPr>
            </w:pPr>
          </w:p>
        </w:tc>
        <w:tc>
          <w:tcPr>
            <w:tcW w:w="1100" w:type="dxa"/>
            <w:vAlign w:val="bottom"/>
            <w:tcBorders>
              <w:bottom w:val="single" w:sz="8" w:color="071D49"/>
            </w:tcBorders>
          </w:tcPr>
          <w:p>
            <w:pPr>
              <w:jc w:val="right"/>
              <w:ind w:right="33"/>
              <w:spacing w:after="0"/>
              <w:rPr>
                <w:sz w:val="20"/>
                <w:szCs w:val="20"/>
                <w:color w:val="auto"/>
              </w:rPr>
            </w:pPr>
            <w:r>
              <w:rPr>
                <w:rFonts w:ascii="Arial" w:cs="Arial" w:eastAsia="Arial" w:hAnsi="Arial"/>
                <w:sz w:val="13"/>
                <w:szCs w:val="13"/>
                <w:b w:val="1"/>
                <w:bCs w:val="1"/>
                <w:color w:val="454968"/>
              </w:rPr>
              <w:t>($)(c)</w:t>
            </w:r>
          </w:p>
        </w:tc>
        <w:tc>
          <w:tcPr>
            <w:tcW w:w="1140" w:type="dxa"/>
            <w:vAlign w:val="bottom"/>
            <w:tcBorders>
              <w:bottom w:val="single" w:sz="8" w:color="071D49"/>
              <w:right w:val="single" w:sz="8" w:color="auto"/>
            </w:tcBorders>
          </w:tcPr>
          <w:p>
            <w:pPr>
              <w:jc w:val="right"/>
              <w:spacing w:after="0"/>
              <w:rPr>
                <w:sz w:val="20"/>
                <w:szCs w:val="20"/>
                <w:color w:val="auto"/>
              </w:rPr>
            </w:pPr>
            <w:r>
              <w:rPr>
                <w:rFonts w:ascii="Arial" w:cs="Arial" w:eastAsia="Arial" w:hAnsi="Arial"/>
                <w:sz w:val="13"/>
                <w:szCs w:val="13"/>
                <w:b w:val="1"/>
                <w:bCs w:val="1"/>
                <w:color w:val="454968"/>
              </w:rPr>
              <w:t>($)(d)</w:t>
            </w:r>
          </w:p>
        </w:tc>
        <w:tc>
          <w:tcPr>
            <w:tcW w:w="260" w:type="dxa"/>
            <w:vAlign w:val="bottom"/>
            <w:tcBorders>
              <w:bottom w:val="single" w:sz="8" w:color="071D49"/>
            </w:tcBorders>
          </w:tcPr>
          <w:p>
            <w:pPr>
              <w:spacing w:after="0"/>
              <w:rPr>
                <w:sz w:val="13"/>
                <w:szCs w:val="13"/>
                <w:color w:val="auto"/>
              </w:rPr>
            </w:pPr>
          </w:p>
        </w:tc>
        <w:tc>
          <w:tcPr>
            <w:tcW w:w="800" w:type="dxa"/>
            <w:vAlign w:val="bottom"/>
            <w:tcBorders>
              <w:bottom w:val="single" w:sz="8" w:color="071D49"/>
            </w:tcBorders>
          </w:tcPr>
          <w:p>
            <w:pPr>
              <w:jc w:val="right"/>
              <w:ind w:right="13"/>
              <w:spacing w:after="0"/>
              <w:rPr>
                <w:sz w:val="20"/>
                <w:szCs w:val="20"/>
                <w:color w:val="auto"/>
              </w:rPr>
            </w:pPr>
            <w:r>
              <w:rPr>
                <w:rFonts w:ascii="Arial" w:cs="Arial" w:eastAsia="Arial" w:hAnsi="Arial"/>
                <w:sz w:val="13"/>
                <w:szCs w:val="13"/>
                <w:b w:val="1"/>
                <w:bCs w:val="1"/>
                <w:color w:val="454968"/>
              </w:rPr>
              <w:t>($)(e)</w:t>
            </w:r>
          </w:p>
        </w:tc>
        <w:tc>
          <w:tcPr>
            <w:tcW w:w="320" w:type="dxa"/>
            <w:vAlign w:val="bottom"/>
            <w:tcBorders>
              <w:bottom w:val="single" w:sz="8" w:color="071D49"/>
            </w:tcBorders>
          </w:tcPr>
          <w:p>
            <w:pPr>
              <w:spacing w:after="0"/>
              <w:rPr>
                <w:sz w:val="13"/>
                <w:szCs w:val="13"/>
                <w:color w:val="auto"/>
              </w:rPr>
            </w:pPr>
          </w:p>
        </w:tc>
        <w:tc>
          <w:tcPr>
            <w:tcW w:w="640" w:type="dxa"/>
            <w:vAlign w:val="bottom"/>
            <w:tcBorders>
              <w:bottom w:val="single" w:sz="8" w:color="071D49"/>
              <w:right w:val="single" w:sz="8" w:color="auto"/>
            </w:tcBorders>
          </w:tcPr>
          <w:p>
            <w:pPr>
              <w:jc w:val="right"/>
              <w:ind w:right="13"/>
              <w:spacing w:after="0"/>
              <w:rPr>
                <w:sz w:val="20"/>
                <w:szCs w:val="20"/>
                <w:color w:val="auto"/>
              </w:rPr>
            </w:pPr>
            <w:r>
              <w:rPr>
                <w:rFonts w:ascii="Arial" w:cs="Arial" w:eastAsia="Arial" w:hAnsi="Arial"/>
                <w:sz w:val="13"/>
                <w:szCs w:val="13"/>
                <w:b w:val="1"/>
                <w:bCs w:val="1"/>
                <w:color w:val="454968"/>
              </w:rPr>
              <w:t>($)(f)</w:t>
            </w:r>
          </w:p>
        </w:tc>
        <w:tc>
          <w:tcPr>
            <w:tcW w:w="340" w:type="dxa"/>
            <w:vAlign w:val="bottom"/>
            <w:tcBorders>
              <w:bottom w:val="single" w:sz="8" w:color="071D49"/>
            </w:tcBorders>
          </w:tcPr>
          <w:p>
            <w:pPr>
              <w:spacing w:after="0"/>
              <w:rPr>
                <w:sz w:val="13"/>
                <w:szCs w:val="13"/>
                <w:color w:val="auto"/>
              </w:rPr>
            </w:pPr>
          </w:p>
        </w:tc>
        <w:tc>
          <w:tcPr>
            <w:tcW w:w="640" w:type="dxa"/>
            <w:vAlign w:val="bottom"/>
            <w:tcBorders>
              <w:bottom w:val="single" w:sz="8" w:color="071D49"/>
            </w:tcBorders>
          </w:tcPr>
          <w:p>
            <w:pPr>
              <w:jc w:val="right"/>
              <w:ind w:right="33"/>
              <w:spacing w:after="0"/>
              <w:rPr>
                <w:sz w:val="20"/>
                <w:szCs w:val="20"/>
                <w:color w:val="auto"/>
              </w:rPr>
            </w:pPr>
            <w:r>
              <w:rPr>
                <w:rFonts w:ascii="Arial" w:cs="Arial" w:eastAsia="Arial" w:hAnsi="Arial"/>
                <w:sz w:val="13"/>
                <w:szCs w:val="13"/>
                <w:b w:val="1"/>
                <w:bCs w:val="1"/>
                <w:color w:val="454968"/>
              </w:rPr>
              <w:t>($)</w:t>
            </w:r>
          </w:p>
        </w:tc>
        <w:tc>
          <w:tcPr>
            <w:tcW w:w="180" w:type="dxa"/>
            <w:vAlign w:val="bottom"/>
            <w:tcBorders>
              <w:bottom w:val="single" w:sz="8" w:color="071D49"/>
            </w:tcBorders>
          </w:tcPr>
          <w:p>
            <w:pPr>
              <w:spacing w:after="0"/>
              <w:rPr>
                <w:sz w:val="13"/>
                <w:szCs w:val="13"/>
                <w:color w:val="auto"/>
              </w:rPr>
            </w:pPr>
          </w:p>
        </w:tc>
        <w:tc>
          <w:tcPr>
            <w:tcW w:w="62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454968"/>
              </w:rPr>
              <w:t>($)(g)</w:t>
            </w:r>
          </w:p>
        </w:tc>
        <w:tc>
          <w:tcPr>
            <w:tcW w:w="0" w:type="dxa"/>
            <w:vAlign w:val="bottom"/>
          </w:tcPr>
          <w:p>
            <w:pPr>
              <w:spacing w:after="0"/>
              <w:rPr>
                <w:sz w:val="1"/>
                <w:szCs w:val="1"/>
                <w:color w:val="auto"/>
              </w:rPr>
            </w:pPr>
          </w:p>
        </w:tc>
      </w:tr>
      <w:tr>
        <w:trPr>
          <w:trHeight w:val="143"/>
        </w:trPr>
        <w:tc>
          <w:tcPr>
            <w:tcW w:w="540" w:type="dxa"/>
            <w:vAlign w:val="bottom"/>
            <w:shd w:val="clear" w:color="auto" w:fill="D9D9D9"/>
          </w:tcPr>
          <w:p>
            <w:pPr>
              <w:ind w:left="20"/>
              <w:spacing w:after="0" w:line="143" w:lineRule="exact"/>
              <w:rPr>
                <w:sz w:val="20"/>
                <w:szCs w:val="20"/>
                <w:color w:val="auto"/>
              </w:rPr>
            </w:pPr>
            <w:r>
              <w:rPr>
                <w:rFonts w:ascii="Arial" w:cs="Arial" w:eastAsia="Arial" w:hAnsi="Arial"/>
                <w:sz w:val="13"/>
                <w:szCs w:val="13"/>
                <w:color w:val="auto"/>
              </w:rPr>
              <w:t>2023</w:t>
            </w:r>
          </w:p>
        </w:tc>
        <w:tc>
          <w:tcPr>
            <w:tcW w:w="1280" w:type="dxa"/>
            <w:vAlign w:val="bottom"/>
            <w:shd w:val="clear" w:color="auto" w:fill="D9D9D9"/>
          </w:tcPr>
          <w:p>
            <w:pPr>
              <w:jc w:val="right"/>
              <w:ind w:right="33"/>
              <w:spacing w:after="0" w:line="143" w:lineRule="exact"/>
              <w:rPr>
                <w:sz w:val="20"/>
                <w:szCs w:val="20"/>
                <w:color w:val="auto"/>
              </w:rPr>
            </w:pPr>
            <w:r>
              <w:rPr>
                <w:rFonts w:ascii="Arial" w:cs="Arial" w:eastAsia="Arial" w:hAnsi="Arial"/>
                <w:sz w:val="13"/>
                <w:szCs w:val="13"/>
                <w:color w:val="auto"/>
              </w:rPr>
              <w:t>$   25,661,972</w:t>
            </w:r>
          </w:p>
        </w:tc>
        <w:tc>
          <w:tcPr>
            <w:tcW w:w="2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960" w:type="dxa"/>
            <w:vAlign w:val="bottom"/>
            <w:shd w:val="clear" w:color="auto" w:fill="D9D9D9"/>
          </w:tcPr>
          <w:p>
            <w:pPr>
              <w:jc w:val="right"/>
              <w:ind w:right="33"/>
              <w:spacing w:after="0" w:line="143" w:lineRule="exact"/>
              <w:rPr>
                <w:sz w:val="20"/>
                <w:szCs w:val="20"/>
                <w:color w:val="auto"/>
              </w:rPr>
            </w:pPr>
            <w:r>
              <w:rPr>
                <w:rFonts w:ascii="Arial" w:cs="Arial" w:eastAsia="Arial" w:hAnsi="Arial"/>
                <w:sz w:val="13"/>
                <w:szCs w:val="13"/>
                <w:color w:val="auto"/>
              </w:rPr>
              <w:t>34,672,518</w:t>
            </w:r>
          </w:p>
        </w:tc>
        <w:tc>
          <w:tcPr>
            <w:tcW w:w="2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00" w:type="dxa"/>
            <w:vAlign w:val="bottom"/>
            <w:shd w:val="clear" w:color="auto" w:fill="D9D9D9"/>
          </w:tcPr>
          <w:p>
            <w:pPr>
              <w:jc w:val="right"/>
              <w:ind w:right="33"/>
              <w:spacing w:after="0" w:line="143" w:lineRule="exact"/>
              <w:rPr>
                <w:sz w:val="20"/>
                <w:szCs w:val="20"/>
                <w:color w:val="auto"/>
              </w:rPr>
            </w:pPr>
            <w:r>
              <w:rPr>
                <w:rFonts w:ascii="Arial" w:cs="Arial" w:eastAsia="Arial" w:hAnsi="Arial"/>
                <w:sz w:val="13"/>
                <w:szCs w:val="13"/>
                <w:color w:val="auto"/>
              </w:rPr>
              <w:t>12,319,311</w:t>
            </w:r>
          </w:p>
        </w:tc>
        <w:tc>
          <w:tcPr>
            <w:tcW w:w="1140" w:type="dxa"/>
            <w:vAlign w:val="bottom"/>
            <w:tcBorders>
              <w:right w:val="single" w:sz="8" w:color="auto"/>
            </w:tcBorders>
            <w:shd w:val="clear" w:color="auto" w:fill="D9D9D9"/>
          </w:tcPr>
          <w:p>
            <w:pPr>
              <w:jc w:val="right"/>
              <w:spacing w:after="0" w:line="143" w:lineRule="exact"/>
              <w:rPr>
                <w:sz w:val="20"/>
                <w:szCs w:val="20"/>
                <w:color w:val="auto"/>
              </w:rPr>
            </w:pPr>
            <w:r>
              <w:rPr>
                <w:rFonts w:ascii="Arial" w:cs="Arial" w:eastAsia="Arial" w:hAnsi="Arial"/>
                <w:sz w:val="13"/>
                <w:szCs w:val="13"/>
                <w:color w:val="auto"/>
              </w:rPr>
              <w:t>$   12,199,327</w:t>
            </w:r>
          </w:p>
        </w:tc>
        <w:tc>
          <w:tcPr>
            <w:tcW w:w="2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800" w:type="dxa"/>
            <w:vAlign w:val="bottom"/>
            <w:shd w:val="clear" w:color="auto" w:fill="D9D9D9"/>
          </w:tcPr>
          <w:p>
            <w:pPr>
              <w:jc w:val="right"/>
              <w:ind w:right="13"/>
              <w:spacing w:after="0" w:line="143" w:lineRule="exact"/>
              <w:rPr>
                <w:sz w:val="20"/>
                <w:szCs w:val="20"/>
                <w:color w:val="auto"/>
              </w:rPr>
            </w:pPr>
            <w:r>
              <w:rPr>
                <w:rFonts w:ascii="Arial" w:cs="Arial" w:eastAsia="Arial" w:hAnsi="Arial"/>
                <w:sz w:val="13"/>
                <w:szCs w:val="13"/>
                <w:color w:val="auto"/>
              </w:rPr>
              <w:t>209.10</w:t>
            </w:r>
          </w:p>
        </w:tc>
        <w:tc>
          <w:tcPr>
            <w:tcW w:w="320" w:type="dxa"/>
            <w:vAlign w:val="bottom"/>
            <w:shd w:val="clear" w:color="auto" w:fill="D9D9D9"/>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shd w:val="clear" w:color="auto" w:fill="D9D9D9"/>
          </w:tcPr>
          <w:p>
            <w:pPr>
              <w:jc w:val="right"/>
              <w:ind w:right="13"/>
              <w:spacing w:after="0" w:line="143" w:lineRule="exact"/>
              <w:rPr>
                <w:sz w:val="20"/>
                <w:szCs w:val="20"/>
                <w:color w:val="auto"/>
              </w:rPr>
            </w:pPr>
            <w:r>
              <w:rPr>
                <w:rFonts w:ascii="Arial" w:cs="Arial" w:eastAsia="Arial" w:hAnsi="Arial"/>
                <w:sz w:val="13"/>
                <w:szCs w:val="13"/>
                <w:color w:val="auto"/>
              </w:rPr>
              <w:t>155.66</w:t>
            </w:r>
          </w:p>
        </w:tc>
        <w:tc>
          <w:tcPr>
            <w:tcW w:w="340" w:type="dxa"/>
            <w:vAlign w:val="bottom"/>
            <w:shd w:val="clear" w:color="auto" w:fill="D9D9D9"/>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D9D9D9"/>
          </w:tcPr>
          <w:p>
            <w:pPr>
              <w:jc w:val="right"/>
              <w:ind w:right="33"/>
              <w:spacing w:after="0" w:line="143" w:lineRule="exact"/>
              <w:rPr>
                <w:sz w:val="20"/>
                <w:szCs w:val="20"/>
                <w:color w:val="auto"/>
              </w:rPr>
            </w:pPr>
            <w:r>
              <w:rPr>
                <w:rFonts w:ascii="Arial" w:cs="Arial" w:eastAsia="Arial" w:hAnsi="Arial"/>
                <w:sz w:val="13"/>
                <w:szCs w:val="13"/>
                <w:color w:val="auto"/>
              </w:rPr>
              <w:t>4,863</w:t>
            </w:r>
          </w:p>
        </w:tc>
        <w:tc>
          <w:tcPr>
            <w:tcW w:w="1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6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11.11</w:t>
            </w:r>
          </w:p>
        </w:tc>
        <w:tc>
          <w:tcPr>
            <w:tcW w:w="0" w:type="dxa"/>
            <w:vAlign w:val="bottom"/>
          </w:tcPr>
          <w:p>
            <w:pPr>
              <w:spacing w:after="0"/>
              <w:rPr>
                <w:sz w:val="1"/>
                <w:szCs w:val="1"/>
                <w:color w:val="auto"/>
              </w:rPr>
            </w:pPr>
          </w:p>
        </w:tc>
      </w:tr>
      <w:tr>
        <w:trPr>
          <w:trHeight w:val="150"/>
        </w:trPr>
        <w:tc>
          <w:tcPr>
            <w:tcW w:w="540" w:type="dxa"/>
            <w:vAlign w:val="bottom"/>
          </w:tcPr>
          <w:p>
            <w:pPr>
              <w:ind w:left="20"/>
              <w:spacing w:after="0"/>
              <w:rPr>
                <w:sz w:val="20"/>
                <w:szCs w:val="20"/>
                <w:color w:val="auto"/>
              </w:rPr>
            </w:pPr>
            <w:r>
              <w:rPr>
                <w:rFonts w:ascii="Arial" w:cs="Arial" w:eastAsia="Arial" w:hAnsi="Arial"/>
                <w:sz w:val="13"/>
                <w:szCs w:val="13"/>
                <w:color w:val="auto"/>
              </w:rPr>
              <w:t>2022</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26,287,185</w:t>
            </w:r>
          </w:p>
        </w:tc>
        <w:tc>
          <w:tcPr>
            <w:tcW w:w="20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67,395,343</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9,125,252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20,275,581</w:t>
            </w:r>
          </w:p>
        </w:tc>
        <w:tc>
          <w:tcPr>
            <w:tcW w:w="260" w:type="dxa"/>
            <w:vAlign w:val="bottom"/>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209.58</w:t>
            </w:r>
          </w:p>
        </w:tc>
        <w:tc>
          <w:tcPr>
            <w:tcW w:w="320" w:type="dxa"/>
            <w:vAlign w:val="bottom"/>
          </w:tcPr>
          <w:p>
            <w:pPr>
              <w:spacing w:after="0"/>
              <w:rPr>
                <w:sz w:val="13"/>
                <w:szCs w:val="13"/>
                <w:color w:val="auto"/>
              </w:rPr>
            </w:pP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144.53</w:t>
            </w:r>
          </w:p>
        </w:tc>
        <w:tc>
          <w:tcPr>
            <w:tcW w:w="3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11,836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13.77</w:t>
            </w:r>
          </w:p>
        </w:tc>
        <w:tc>
          <w:tcPr>
            <w:tcW w:w="0" w:type="dxa"/>
            <w:vAlign w:val="bottom"/>
          </w:tcPr>
          <w:p>
            <w:pPr>
              <w:spacing w:after="0"/>
              <w:rPr>
                <w:sz w:val="1"/>
                <w:szCs w:val="1"/>
                <w:color w:val="auto"/>
              </w:rPr>
            </w:pPr>
          </w:p>
        </w:tc>
      </w:tr>
      <w:tr>
        <w:trPr>
          <w:trHeight w:val="150"/>
        </w:trPr>
        <w:tc>
          <w:tcPr>
            <w:tcW w:w="540" w:type="dxa"/>
            <w:vAlign w:val="bottom"/>
            <w:shd w:val="clear" w:color="auto" w:fill="D9D9D9"/>
          </w:tcPr>
          <w:p>
            <w:pPr>
              <w:ind w:left="20"/>
              <w:spacing w:after="0"/>
              <w:rPr>
                <w:sz w:val="20"/>
                <w:szCs w:val="20"/>
                <w:color w:val="auto"/>
              </w:rPr>
            </w:pPr>
            <w:r>
              <w:rPr>
                <w:rFonts w:ascii="Arial" w:cs="Arial" w:eastAsia="Arial" w:hAnsi="Arial"/>
                <w:sz w:val="13"/>
                <w:szCs w:val="13"/>
                <w:color w:val="auto"/>
              </w:rPr>
              <w:t>2021</w:t>
            </w:r>
          </w:p>
        </w:tc>
        <w:tc>
          <w:tcPr>
            <w:tcW w:w="128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23,912,154</w:t>
            </w:r>
          </w:p>
        </w:tc>
        <w:tc>
          <w:tcPr>
            <w:tcW w:w="200" w:type="dxa"/>
            <w:vAlign w:val="bottom"/>
            <w:shd w:val="clear" w:color="auto" w:fill="D9D9D9"/>
          </w:tcPr>
          <w:p>
            <w:pPr>
              <w:spacing w:after="0"/>
              <w:rPr>
                <w:sz w:val="13"/>
                <w:szCs w:val="13"/>
                <w:color w:val="auto"/>
              </w:rPr>
            </w:pPr>
          </w:p>
        </w:tc>
        <w:tc>
          <w:tcPr>
            <w:tcW w:w="96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66,387,875</w:t>
            </w:r>
          </w:p>
        </w:tc>
        <w:tc>
          <w:tcPr>
            <w:tcW w:w="240" w:type="dxa"/>
            <w:vAlign w:val="bottom"/>
            <w:shd w:val="clear" w:color="auto" w:fill="D9D9D9"/>
          </w:tcPr>
          <w:p>
            <w:pPr>
              <w:spacing w:after="0"/>
              <w:rPr>
                <w:sz w:val="13"/>
                <w:szCs w:val="13"/>
                <w:color w:val="auto"/>
              </w:rPr>
            </w:pPr>
          </w:p>
        </w:tc>
        <w:tc>
          <w:tcPr>
            <w:tcW w:w="110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11,035,630</w:t>
            </w:r>
          </w:p>
        </w:tc>
        <w:tc>
          <w:tcPr>
            <w:tcW w:w="1140" w:type="dxa"/>
            <w:vAlign w:val="bottom"/>
            <w:tcBorders>
              <w:right w:val="single" w:sz="8" w:color="auto"/>
            </w:tcBorders>
            <w:shd w:val="clear" w:color="auto" w:fill="D9D9D9"/>
          </w:tcPr>
          <w:p>
            <w:pPr>
              <w:jc w:val="right"/>
              <w:spacing w:after="0"/>
              <w:rPr>
                <w:sz w:val="20"/>
                <w:szCs w:val="20"/>
                <w:color w:val="auto"/>
              </w:rPr>
            </w:pPr>
            <w:r>
              <w:rPr>
                <w:rFonts w:ascii="Arial" w:cs="Arial" w:eastAsia="Arial" w:hAnsi="Arial"/>
                <w:sz w:val="13"/>
                <w:szCs w:val="13"/>
                <w:color w:val="auto"/>
              </w:rPr>
              <w:t>24,203,425</w:t>
            </w:r>
          </w:p>
        </w:tc>
        <w:tc>
          <w:tcPr>
            <w:tcW w:w="260" w:type="dxa"/>
            <w:vAlign w:val="bottom"/>
            <w:shd w:val="clear" w:color="auto" w:fill="D9D9D9"/>
          </w:tcPr>
          <w:p>
            <w:pPr>
              <w:spacing w:after="0"/>
              <w:rPr>
                <w:sz w:val="13"/>
                <w:szCs w:val="13"/>
                <w:color w:val="auto"/>
              </w:rPr>
            </w:pPr>
          </w:p>
        </w:tc>
        <w:tc>
          <w:tcPr>
            <w:tcW w:w="800" w:type="dxa"/>
            <w:vAlign w:val="bottom"/>
            <w:shd w:val="clear" w:color="auto" w:fill="D9D9D9"/>
          </w:tcPr>
          <w:p>
            <w:pPr>
              <w:jc w:val="right"/>
              <w:ind w:right="13"/>
              <w:spacing w:after="0"/>
              <w:rPr>
                <w:sz w:val="20"/>
                <w:szCs w:val="20"/>
                <w:color w:val="auto"/>
              </w:rPr>
            </w:pPr>
            <w:r>
              <w:rPr>
                <w:rFonts w:ascii="Arial" w:cs="Arial" w:eastAsia="Arial" w:hAnsi="Arial"/>
                <w:sz w:val="13"/>
                <w:szCs w:val="13"/>
                <w:color w:val="auto"/>
              </w:rPr>
              <w:t>168.96</w:t>
            </w:r>
          </w:p>
        </w:tc>
        <w:tc>
          <w:tcPr>
            <w:tcW w:w="320" w:type="dxa"/>
            <w:vAlign w:val="bottom"/>
            <w:shd w:val="clear" w:color="auto" w:fill="D9D9D9"/>
          </w:tcPr>
          <w:p>
            <w:pPr>
              <w:spacing w:after="0"/>
              <w:rPr>
                <w:sz w:val="13"/>
                <w:szCs w:val="13"/>
                <w:color w:val="auto"/>
              </w:rPr>
            </w:pPr>
          </w:p>
        </w:tc>
        <w:tc>
          <w:tcPr>
            <w:tcW w:w="640" w:type="dxa"/>
            <w:vAlign w:val="bottom"/>
            <w:tcBorders>
              <w:right w:val="single" w:sz="8" w:color="auto"/>
            </w:tcBorders>
            <w:shd w:val="clear" w:color="auto" w:fill="D9D9D9"/>
          </w:tcPr>
          <w:p>
            <w:pPr>
              <w:jc w:val="right"/>
              <w:ind w:right="13"/>
              <w:spacing w:after="0"/>
              <w:rPr>
                <w:sz w:val="20"/>
                <w:szCs w:val="20"/>
                <w:color w:val="auto"/>
              </w:rPr>
            </w:pPr>
            <w:r>
              <w:rPr>
                <w:rFonts w:ascii="Arial" w:cs="Arial" w:eastAsia="Arial" w:hAnsi="Arial"/>
                <w:sz w:val="13"/>
                <w:szCs w:val="13"/>
                <w:color w:val="auto"/>
              </w:rPr>
              <w:t>134.15</w:t>
            </w:r>
          </w:p>
        </w:tc>
        <w:tc>
          <w:tcPr>
            <w:tcW w:w="340" w:type="dxa"/>
            <w:vAlign w:val="bottom"/>
            <w:shd w:val="clear" w:color="auto" w:fill="D9D9D9"/>
          </w:tcPr>
          <w:p>
            <w:pPr>
              <w:spacing w:after="0"/>
              <w:rPr>
                <w:sz w:val="13"/>
                <w:szCs w:val="13"/>
                <w:color w:val="auto"/>
              </w:rPr>
            </w:pPr>
          </w:p>
        </w:tc>
        <w:tc>
          <w:tcPr>
            <w:tcW w:w="640" w:type="dxa"/>
            <w:vAlign w:val="bottom"/>
            <w:shd w:val="clear" w:color="auto" w:fill="D9D9D9"/>
          </w:tcPr>
          <w:p>
            <w:pPr>
              <w:jc w:val="right"/>
              <w:ind w:right="33"/>
              <w:spacing w:after="0"/>
              <w:rPr>
                <w:sz w:val="20"/>
                <w:szCs w:val="20"/>
                <w:color w:val="auto"/>
              </w:rPr>
            </w:pPr>
            <w:r>
              <w:rPr>
                <w:rFonts w:ascii="Arial" w:cs="Arial" w:eastAsia="Arial" w:hAnsi="Arial"/>
                <w:sz w:val="13"/>
                <w:szCs w:val="13"/>
                <w:color w:val="auto"/>
              </w:rPr>
              <w:t>11,542</w:t>
            </w:r>
          </w:p>
        </w:tc>
        <w:tc>
          <w:tcPr>
            <w:tcW w:w="180" w:type="dxa"/>
            <w:vAlign w:val="bottom"/>
            <w:shd w:val="clear" w:color="auto" w:fill="D9D9D9"/>
          </w:tcPr>
          <w:p>
            <w:pPr>
              <w:spacing w:after="0"/>
              <w:rPr>
                <w:sz w:val="13"/>
                <w:szCs w:val="13"/>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3"/>
                <w:szCs w:val="13"/>
                <w:color w:val="auto"/>
              </w:rPr>
              <w:t>11.83</w:t>
            </w:r>
          </w:p>
        </w:tc>
        <w:tc>
          <w:tcPr>
            <w:tcW w:w="0" w:type="dxa"/>
            <w:vAlign w:val="bottom"/>
          </w:tcPr>
          <w:p>
            <w:pPr>
              <w:spacing w:after="0"/>
              <w:rPr>
                <w:sz w:val="1"/>
                <w:szCs w:val="1"/>
                <w:color w:val="auto"/>
              </w:rPr>
            </w:pPr>
          </w:p>
        </w:tc>
      </w:tr>
      <w:tr>
        <w:trPr>
          <w:trHeight w:val="150"/>
        </w:trPr>
        <w:tc>
          <w:tcPr>
            <w:tcW w:w="540" w:type="dxa"/>
            <w:vAlign w:val="bottom"/>
          </w:tcPr>
          <w:p>
            <w:pPr>
              <w:ind w:left="20"/>
              <w:spacing w:after="0"/>
              <w:rPr>
                <w:sz w:val="20"/>
                <w:szCs w:val="20"/>
                <w:color w:val="auto"/>
              </w:rPr>
            </w:pPr>
            <w:r>
              <w:rPr>
                <w:rFonts w:ascii="Arial" w:cs="Arial" w:eastAsia="Arial" w:hAnsi="Arial"/>
                <w:sz w:val="13"/>
                <w:szCs w:val="13"/>
                <w:color w:val="auto"/>
              </w:rPr>
              <w:t>2020</w:t>
            </w:r>
          </w:p>
        </w:tc>
        <w:tc>
          <w:tcPr>
            <w:tcW w:w="1280" w:type="dxa"/>
            <w:vAlign w:val="bottom"/>
          </w:tcPr>
          <w:p>
            <w:pPr>
              <w:jc w:val="right"/>
              <w:ind w:right="33"/>
              <w:spacing w:after="0"/>
              <w:rPr>
                <w:sz w:val="20"/>
                <w:szCs w:val="20"/>
                <w:color w:val="auto"/>
              </w:rPr>
            </w:pPr>
            <w:r>
              <w:rPr>
                <w:rFonts w:ascii="Arial" w:cs="Arial" w:eastAsia="Arial" w:hAnsi="Arial"/>
                <w:sz w:val="13"/>
                <w:szCs w:val="13"/>
                <w:color w:val="auto"/>
              </w:rPr>
              <w:t>24,007,591</w:t>
            </w:r>
          </w:p>
        </w:tc>
        <w:tc>
          <w:tcPr>
            <w:tcW w:w="200" w:type="dxa"/>
            <w:vAlign w:val="bottom"/>
          </w:tcPr>
          <w:p>
            <w:pPr>
              <w:spacing w:after="0"/>
              <w:rPr>
                <w:sz w:val="13"/>
                <w:szCs w:val="13"/>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color w:val="auto"/>
              </w:rPr>
              <w:t>47,010,914</w:t>
            </w:r>
          </w:p>
        </w:tc>
        <w:tc>
          <w:tcPr>
            <w:tcW w:w="24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color w:val="auto"/>
              </w:rPr>
              <w:t>15,221,472</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22,524,088</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127.61</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108.74</w:t>
            </w:r>
          </w:p>
        </w:tc>
        <w:tc>
          <w:tcPr>
            <w:tcW w:w="340" w:type="dxa"/>
            <w:vAlign w:val="bottom"/>
          </w:tcPr>
          <w:p>
            <w:pPr>
              <w:spacing w:after="0"/>
              <w:rPr>
                <w:sz w:val="13"/>
                <w:szCs w:val="13"/>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4,616</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20" w:right="220" w:hanging="608"/>
        <w:spacing w:after="0" w:line="261" w:lineRule="auto"/>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dollar amounts reported are the total compensation reported for Mr. Gonzalez for each fiscal year in the “Total” column of the Summary Compensation Table.</w:t>
      </w:r>
    </w:p>
    <w:p>
      <w:pPr>
        <w:spacing w:after="0" w:line="137" w:lineRule="exact"/>
        <w:rPr>
          <w:rFonts w:ascii="Arial" w:cs="Arial" w:eastAsia="Arial" w:hAnsi="Arial"/>
          <w:sz w:val="17"/>
          <w:szCs w:val="17"/>
          <w:color w:val="auto"/>
        </w:rPr>
      </w:pPr>
    </w:p>
    <w:p>
      <w:pPr>
        <w:ind w:left="620" w:right="20" w:hanging="608"/>
        <w:spacing w:after="0" w:line="236" w:lineRule="auto"/>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dollar amounts reported represent the “compensation actually paid” to Mr. Gonzalez, who served as our PEO for each of fiscal years 2020, 2021, 2022 and 2023, as computed in accordance with Item 402(v) of Regulation S-K. The dollar amounts do not reflect the actual amount of compensation earned by or paid to Mr. Gonzalez during such fiscal years and are based on valuation assumptions required by the SEC, which are unlikely to reflect actual amounts realized at vesting or exercise (as applicable). In accordance with the requirements of Item 402(v) of Regulation S-K, the reported “Total” in the Summary Compensation Table for the applicable year is adjusted to determine the “compensation actually paid” amount as follows:</w:t>
      </w:r>
    </w:p>
    <w:p>
      <w:pPr>
        <w:spacing w:after="0" w:line="155" w:lineRule="exact"/>
        <w:rPr>
          <w:rFonts w:ascii="Arial" w:cs="Arial" w:eastAsia="Arial" w:hAnsi="Arial"/>
          <w:sz w:val="17"/>
          <w:szCs w:val="17"/>
          <w:color w:val="auto"/>
        </w:rPr>
      </w:pPr>
    </w:p>
    <w:p>
      <w:pPr>
        <w:ind w:left="620"/>
        <w:spacing w:after="0" w:line="251" w:lineRule="auto"/>
        <w:rPr>
          <w:rFonts w:ascii="Arial" w:cs="Arial" w:eastAsia="Arial" w:hAnsi="Arial"/>
          <w:sz w:val="17"/>
          <w:szCs w:val="17"/>
          <w:color w:val="auto"/>
        </w:rPr>
      </w:pPr>
      <w:r>
        <w:rPr>
          <w:rFonts w:ascii="Arial" w:cs="Arial" w:eastAsia="Arial" w:hAnsi="Arial"/>
          <w:sz w:val="16"/>
          <w:szCs w:val="16"/>
          <w:color w:val="auto"/>
        </w:rPr>
        <w:t>(1) The amount reflected in the “Stock Award” and “Option Award” columns of the Summary Compensation Table with respect to Mr. Gonzalez has been deducted from the Summary Compensation Table Total and substituted with an equity award value for each year calculated by adding or subtracting, as applicable, the following: (i) the year-end fair value of any equity awards granted in the applicable fiscal year that are outstanding and unvested as of the end of such year, accounting for any banking of the award resulting from EPS performance (as reflected in footnote (2) to the Outstanding Equity Awards at Fiscal Year End Table); (ii) the change in fair value from the end of the prior fiscal year of any awards granted in prior fiscal years that are outstanding and unvested as of the end of the applicable fiscal year, accounting for any adjustment based on relative TSR performance on awards for which the performance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68" w:name="page69"/>
    <w:bookmarkEnd w:id="6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608"/>
        <w:spacing w:after="0"/>
        <w:rPr>
          <w:sz w:val="20"/>
          <w:szCs w:val="20"/>
          <w:color w:val="auto"/>
        </w:rPr>
      </w:pPr>
      <w:r>
        <w:rPr>
          <w:rFonts w:ascii="Arial" w:cs="Arial" w:eastAsia="Arial" w:hAnsi="Arial"/>
          <w:sz w:val="16"/>
          <w:szCs w:val="16"/>
          <w:color w:val="auto"/>
        </w:rPr>
        <w:t>period ends as of this date (as reflected in footnote (2) to the Outstanding Equity Awards at Fiscal Year End Table);</w:t>
      </w:r>
    </w:p>
    <w:p>
      <w:pPr>
        <w:spacing w:after="0" w:line="20" w:lineRule="exact"/>
        <w:rPr>
          <w:sz w:val="20"/>
          <w:szCs w:val="20"/>
          <w:color w:val="auto"/>
        </w:rPr>
      </w:pPr>
    </w:p>
    <w:p>
      <w:pPr>
        <w:ind w:left="608" w:right="40" w:hanging="7"/>
        <w:spacing w:after="0" w:line="233" w:lineRule="auto"/>
        <w:tabs>
          <w:tab w:leader="none" w:pos="877"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awards granted in prior fiscal years that vested in the applicable fiscal year, the amount equal to the change in value as of the vesting date (from the end of the prior fiscal year); and (iv) the dollar value of dividends accrued on equity awards in the applicable year prior to the vesting date (excluding option awards, which do not carry dividend equivalent rights) that are not otherwise reflected in the fair value of such award or included in any other component of total compensation for the applicable fiscal year. The valuation assumptions used to calculate fair values on equity awards other than options are the same as those disclosed at the time of grant. Stock option awards are valued using a Black-Scholes model at the time of grant (as disclosed in footnote (2) to the Summary Compensation Table on page 53) with subsequent fair value calculations performed using a Lattice model.</w:t>
      </w:r>
    </w:p>
    <w:p>
      <w:pPr>
        <w:spacing w:after="0" w:line="80" w:lineRule="exact"/>
        <w:rPr>
          <w:sz w:val="20"/>
          <w:szCs w:val="20"/>
          <w:color w:val="auto"/>
        </w:rPr>
      </w:pPr>
    </w:p>
    <w:p>
      <w:pPr>
        <w:ind w:left="608" w:right="20"/>
        <w:spacing w:after="0" w:line="246" w:lineRule="auto"/>
        <w:rPr>
          <w:sz w:val="20"/>
          <w:szCs w:val="20"/>
          <w:color w:val="auto"/>
        </w:rPr>
      </w:pPr>
      <w:r>
        <w:rPr>
          <w:rFonts w:ascii="Arial" w:cs="Arial" w:eastAsia="Arial" w:hAnsi="Arial"/>
          <w:sz w:val="17"/>
          <w:szCs w:val="17"/>
          <w:color w:val="auto"/>
        </w:rPr>
        <w:t>The amounts in the following table represent each of the amounts deducted and added to the equity award values for Mr. Gonzalez for the 2023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66040</wp:posOffset>
            </wp:positionV>
            <wp:extent cx="28124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812415" cy="8255"/>
                    </a:xfrm>
                    <a:prstGeom prst="rect">
                      <a:avLst/>
                    </a:prstGeom>
                    <a:noFill/>
                  </pic:spPr>
                </pic:pic>
              </a:graphicData>
            </a:graphic>
          </wp:anchor>
        </w:drawing>
      </w:r>
    </w:p>
    <w:p>
      <w:pPr>
        <w:spacing w:after="0" w:line="237" w:lineRule="exact"/>
        <w:rPr>
          <w:sz w:val="20"/>
          <w:szCs w:val="20"/>
          <w:color w:val="auto"/>
        </w:rPr>
      </w:pPr>
    </w:p>
    <w:tbl>
      <w:tblPr>
        <w:tblLayout w:type="fixed"/>
        <w:tblInd w:w="588" w:type="dxa"/>
        <w:tblCellMar>
          <w:top w:w="0" w:type="dxa"/>
          <w:left w:w="0" w:type="dxa"/>
          <w:bottom w:w="0" w:type="dxa"/>
          <w:right w:w="0" w:type="dxa"/>
        </w:tblCellMar>
      </w:tblPr>
      <w:tr>
        <w:trPr>
          <w:trHeight w:val="150"/>
        </w:trPr>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Grant Date</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Year-end</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Change in</w:t>
            </w:r>
          </w:p>
        </w:tc>
        <w:tc>
          <w:tcPr>
            <w:tcW w:w="220" w:type="dxa"/>
            <w:vAlign w:val="bottom"/>
          </w:tcPr>
          <w:p>
            <w:pPr>
              <w:spacing w:after="0"/>
              <w:rPr>
                <w:sz w:val="13"/>
                <w:szCs w:val="13"/>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Change in</w:t>
            </w:r>
          </w:p>
        </w:tc>
        <w:tc>
          <w:tcPr>
            <w:tcW w:w="1000" w:type="dxa"/>
            <w:vAlign w:val="bottom"/>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Total Equity</w:t>
            </w: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Fair Value of</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Fair Value of</w:t>
            </w: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 as of</w:t>
            </w:r>
          </w:p>
        </w:tc>
        <w:tc>
          <w:tcPr>
            <w:tcW w:w="1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Fair Value as of</w:t>
            </w:r>
          </w:p>
        </w:tc>
        <w:tc>
          <w:tcPr>
            <w:tcW w:w="1000" w:type="dxa"/>
            <w:vAlign w:val="bottom"/>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2020" w:type="dxa"/>
            <w:vAlign w:val="bottom"/>
            <w:gridSpan w:val="2"/>
          </w:tcPr>
          <w:p>
            <w:pPr>
              <w:jc w:val="right"/>
              <w:spacing w:after="0"/>
              <w:rPr>
                <w:sz w:val="20"/>
                <w:szCs w:val="20"/>
                <w:color w:val="auto"/>
              </w:rPr>
            </w:pPr>
            <w:r>
              <w:rPr>
                <w:rFonts w:ascii="Arial" w:cs="Arial" w:eastAsia="Arial" w:hAnsi="Arial"/>
                <w:sz w:val="13"/>
                <w:szCs w:val="13"/>
                <w:b w:val="1"/>
                <w:bCs w:val="1"/>
                <w:color w:val="auto"/>
              </w:rPr>
              <w:t>Equity Awards Equity Awards</w:t>
            </w: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Year-End of Any</w:t>
            </w:r>
          </w:p>
        </w:tc>
        <w:tc>
          <w:tcPr>
            <w:tcW w:w="1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the Vesting Date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0"/>
        </w:trPr>
        <w:tc>
          <w:tcPr>
            <w:tcW w:w="1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Granted</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Granted</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Prior Year</w:t>
            </w:r>
          </w:p>
        </w:tc>
        <w:tc>
          <w:tcPr>
            <w:tcW w:w="12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of Any Prior Year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Equity Value</w:t>
            </w:r>
          </w:p>
        </w:tc>
      </w:tr>
      <w:tr>
        <w:trPr>
          <w:trHeight w:val="150"/>
        </w:trPr>
        <w:tc>
          <w:tcPr>
            <w:tcW w:w="1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During</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During</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Awards that</w:t>
            </w:r>
          </w:p>
        </w:tc>
        <w:tc>
          <w:tcPr>
            <w:tcW w:w="220" w:type="dxa"/>
            <w:vAlign w:val="bottom"/>
          </w:tcPr>
          <w:p>
            <w:pPr>
              <w:spacing w:after="0"/>
              <w:rPr>
                <w:sz w:val="13"/>
                <w:szCs w:val="13"/>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Awards that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r>
      <w:tr>
        <w:trPr>
          <w:trHeight w:val="150"/>
        </w:trPr>
        <w:tc>
          <w:tcPr>
            <w:tcW w:w="15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Pr>
          <w:p>
            <w:pPr>
              <w:jc w:val="right"/>
              <w:ind w:right="53"/>
              <w:spacing w:after="0"/>
              <w:rPr>
                <w:sz w:val="20"/>
                <w:szCs w:val="20"/>
                <w:color w:val="auto"/>
              </w:rPr>
            </w:pPr>
            <w:r>
              <w:rPr>
                <w:rFonts w:ascii="Arial" w:cs="Arial" w:eastAsia="Arial" w:hAnsi="Arial"/>
                <w:sz w:val="13"/>
                <w:szCs w:val="13"/>
                <w:b w:val="1"/>
                <w:bCs w:val="1"/>
                <w:color w:val="auto"/>
              </w:rPr>
              <w:t>Applicable</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Applicable</w:t>
            </w:r>
          </w:p>
        </w:tc>
        <w:tc>
          <w:tcPr>
            <w:tcW w:w="1220" w:type="dxa"/>
            <w:vAlign w:val="bottom"/>
            <w:gridSpan w:val="2"/>
          </w:tcPr>
          <w:p>
            <w:pPr>
              <w:jc w:val="right"/>
              <w:spacing w:after="0"/>
              <w:rPr>
                <w:sz w:val="20"/>
                <w:szCs w:val="20"/>
                <w:color w:val="auto"/>
              </w:rPr>
            </w:pPr>
            <w:r>
              <w:rPr>
                <w:rFonts w:ascii="Arial" w:cs="Arial" w:eastAsia="Arial" w:hAnsi="Arial"/>
                <w:sz w:val="13"/>
                <w:szCs w:val="13"/>
                <w:b w:val="1"/>
                <w:bCs w:val="1"/>
                <w:color w:val="auto"/>
              </w:rPr>
              <w:t>Remain Unvested</w:t>
            </w:r>
          </w:p>
        </w:tc>
        <w:tc>
          <w:tcPr>
            <w:tcW w:w="220" w:type="dxa"/>
            <w:vAlign w:val="bottom"/>
          </w:tcPr>
          <w:p>
            <w:pPr>
              <w:spacing w:after="0"/>
              <w:rPr>
                <w:sz w:val="13"/>
                <w:szCs w:val="13"/>
                <w:color w:val="auto"/>
              </w:rPr>
            </w:pP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w w:val="99"/>
              </w:rPr>
              <w:t>Vested During</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PEO Name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Table</w:t>
            </w: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Year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Year-End</w:t>
            </w:r>
          </w:p>
        </w:tc>
        <w:tc>
          <w:tcPr>
            <w:tcW w:w="12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Applicable Year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Actually Paid</w:t>
            </w:r>
          </w:p>
        </w:tc>
      </w:tr>
      <w:tr>
        <w:trPr>
          <w:trHeight w:val="143"/>
        </w:trPr>
        <w:tc>
          <w:tcPr>
            <w:tcW w:w="1580" w:type="dxa"/>
            <w:vAlign w:val="bottom"/>
            <w:shd w:val="clear" w:color="auto" w:fill="D9D9D9"/>
          </w:tcPr>
          <w:p>
            <w:pPr>
              <w:ind w:left="20"/>
              <w:spacing w:after="0" w:line="143" w:lineRule="exact"/>
              <w:rPr>
                <w:sz w:val="20"/>
                <w:szCs w:val="20"/>
                <w:color w:val="auto"/>
              </w:rPr>
            </w:pPr>
            <w:r>
              <w:rPr>
                <w:rFonts w:ascii="Arial" w:cs="Arial" w:eastAsia="Arial" w:hAnsi="Arial"/>
                <w:sz w:val="13"/>
                <w:szCs w:val="13"/>
                <w:color w:val="auto"/>
              </w:rPr>
              <w:t>2023Richard A. Gonzalez</w:t>
            </w:r>
          </w:p>
        </w:tc>
        <w:tc>
          <w:tcPr>
            <w:tcW w:w="10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17,139,761</w:t>
            </w:r>
          </w:p>
        </w:tc>
        <w:tc>
          <w:tcPr>
            <w:tcW w:w="10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(17,139,761)</w:t>
            </w:r>
          </w:p>
        </w:tc>
        <w:tc>
          <w:tcPr>
            <w:tcW w:w="9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$ 24,374,294</w:t>
            </w:r>
          </w:p>
        </w:tc>
        <w:tc>
          <w:tcPr>
            <w:tcW w:w="2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5,038,051</w:t>
            </w:r>
          </w:p>
        </w:tc>
        <w:tc>
          <w:tcPr>
            <w:tcW w:w="2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9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(3,279,507)</w:t>
            </w:r>
          </w:p>
        </w:tc>
        <w:tc>
          <w:tcPr>
            <w:tcW w:w="10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26,132,838</w:t>
            </w:r>
          </w:p>
        </w:tc>
      </w:tr>
    </w:tbl>
    <w:p>
      <w:pPr>
        <w:spacing w:after="0" w:line="121" w:lineRule="exact"/>
        <w:rPr>
          <w:sz w:val="20"/>
          <w:szCs w:val="20"/>
          <w:color w:val="auto"/>
        </w:rPr>
      </w:pPr>
    </w:p>
    <w:p>
      <w:pPr>
        <w:ind w:left="608" w:right="60" w:hanging="7"/>
        <w:spacing w:after="0" w:line="237" w:lineRule="auto"/>
        <w:tabs>
          <w:tab w:leader="none" w:pos="904"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pension benefit value reported in the “Change in Pension and Nonqualified Deferred Compensation” column of the Summary Compensation Table for the 2023 fiscal year is adjusted to account for the aggregate of two components: (i) the actuarially determined service cost for services rendered by Mr. Gonzalez during 2023 (the “service cost”); and (ii) the entire cost of benefits granted in a plan amendment during 2023 that are attributed by the benefit formula to services rendered in periods prior to the plan amendment (the “prior service cost”), in each case, calculated in accordance with U.S. GAAP.</w:t>
      </w:r>
    </w:p>
    <w:p>
      <w:pPr>
        <w:spacing w:after="0" w:line="80" w:lineRule="exact"/>
        <w:rPr>
          <w:sz w:val="20"/>
          <w:szCs w:val="20"/>
          <w:color w:val="auto"/>
        </w:rPr>
      </w:pPr>
    </w:p>
    <w:p>
      <w:pPr>
        <w:ind w:left="608" w:right="220"/>
        <w:spacing w:after="0" w:line="246" w:lineRule="auto"/>
        <w:rPr>
          <w:sz w:val="20"/>
          <w:szCs w:val="20"/>
          <w:color w:val="auto"/>
        </w:rPr>
      </w:pPr>
      <w:r>
        <w:rPr>
          <w:rFonts w:ascii="Arial" w:cs="Arial" w:eastAsia="Arial" w:hAnsi="Arial"/>
          <w:sz w:val="17"/>
          <w:szCs w:val="17"/>
          <w:color w:val="auto"/>
        </w:rPr>
        <w:t>The amounts in the following table represent each of the amounts deducted and added to the change in pension value for Mr. Gonzalez for the 2023 fiscal year for purposes of computing the “compensation actually paid” amount appearing in column (b)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-5080</wp:posOffset>
            </wp:positionV>
            <wp:extent cx="23514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51405" cy="8255"/>
                    </a:xfrm>
                    <a:prstGeom prst="rect">
                      <a:avLst/>
                    </a:prstGeom>
                    <a:noFill/>
                  </pic:spPr>
                </pic:pic>
              </a:graphicData>
            </a:graphic>
          </wp:anchor>
        </w:drawing>
      </w:r>
    </w:p>
    <w:p>
      <w:pPr>
        <w:spacing w:after="0" w:line="87" w:lineRule="exact"/>
        <w:rPr>
          <w:sz w:val="20"/>
          <w:szCs w:val="20"/>
          <w:color w:val="auto"/>
        </w:rPr>
      </w:pPr>
    </w:p>
    <w:tbl>
      <w:tblPr>
        <w:tblLayout w:type="fixed"/>
        <w:tblInd w:w="588" w:type="dxa"/>
        <w:tblCellMar>
          <w:top w:w="0" w:type="dxa"/>
          <w:left w:w="0" w:type="dxa"/>
          <w:bottom w:w="0" w:type="dxa"/>
          <w:right w:w="0" w:type="dxa"/>
        </w:tblCellMar>
      </w:tblPr>
      <w:tr>
        <w:trPr>
          <w:trHeight w:val="150"/>
        </w:trPr>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Total Change</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0"/>
        </w:trPr>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in Pension</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Prior</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Total Change in</w:t>
            </w:r>
          </w:p>
        </w:tc>
      </w:tr>
      <w:tr>
        <w:trPr>
          <w:trHeight w:val="150"/>
        </w:trPr>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Value Reflected</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Change in</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Service Costs</w:t>
            </w:r>
          </w:p>
        </w:tc>
        <w:tc>
          <w:tcPr>
            <w:tcW w:w="160" w:type="dxa"/>
            <w:vAlign w:val="bottom"/>
          </w:tcPr>
          <w:p>
            <w:pPr>
              <w:spacing w:after="0"/>
              <w:rPr>
                <w:sz w:val="13"/>
                <w:szCs w:val="13"/>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Service Costs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Pension Value</w:t>
            </w:r>
          </w:p>
        </w:tc>
      </w:tr>
      <w:tr>
        <w:trPr>
          <w:trHeight w:val="150"/>
        </w:trPr>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in the Summary</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Pension Value</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Attributable</w:t>
            </w:r>
          </w:p>
        </w:tc>
        <w:tc>
          <w:tcPr>
            <w:tcW w:w="160" w:type="dxa"/>
            <w:vAlign w:val="bottom"/>
          </w:tcPr>
          <w:p>
            <w:pPr>
              <w:spacing w:after="0"/>
              <w:rPr>
                <w:sz w:val="13"/>
                <w:szCs w:val="13"/>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Introduced</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r>
      <w:tr>
        <w:trPr>
          <w:trHeight w:val="150"/>
        </w:trPr>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for the</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to the</w:t>
            </w:r>
          </w:p>
        </w:tc>
        <w:tc>
          <w:tcPr>
            <w:tcW w:w="160" w:type="dxa"/>
            <w:vAlign w:val="bottom"/>
          </w:tcPr>
          <w:p>
            <w:pPr>
              <w:spacing w:after="0"/>
              <w:rPr>
                <w:sz w:val="13"/>
                <w:szCs w:val="13"/>
                <w:color w:val="auto"/>
              </w:rPr>
            </w:pPr>
          </w:p>
        </w:tc>
        <w:tc>
          <w:tcPr>
            <w:tcW w:w="1240" w:type="dxa"/>
            <w:vAlign w:val="bottom"/>
          </w:tcPr>
          <w:p>
            <w:pPr>
              <w:jc w:val="right"/>
              <w:ind w:right="153"/>
              <w:spacing w:after="0"/>
              <w:rPr>
                <w:sz w:val="20"/>
                <w:szCs w:val="20"/>
                <w:color w:val="auto"/>
              </w:rPr>
            </w:pPr>
            <w:r>
              <w:rPr>
                <w:rFonts w:ascii="Arial" w:cs="Arial" w:eastAsia="Arial" w:hAnsi="Arial"/>
                <w:sz w:val="13"/>
                <w:szCs w:val="13"/>
                <w:b w:val="1"/>
                <w:bCs w:val="1"/>
                <w:color w:val="auto"/>
              </w:rPr>
              <w:t>During the</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w:t>
            </w:r>
          </w:p>
        </w:tc>
        <w:tc>
          <w:tcPr>
            <w:tcW w:w="15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PEO Name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Table</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Applicable Year</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Applicable Year</w:t>
            </w: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Applicable Year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Actually Paid</w:t>
            </w:r>
          </w:p>
        </w:tc>
      </w:tr>
      <w:tr>
        <w:trPr>
          <w:trHeight w:val="143"/>
        </w:trPr>
        <w:tc>
          <w:tcPr>
            <w:tcW w:w="420" w:type="dxa"/>
            <w:vAlign w:val="bottom"/>
            <w:shd w:val="clear" w:color="auto" w:fill="D9D9D9"/>
          </w:tcPr>
          <w:p>
            <w:pPr>
              <w:ind w:left="20"/>
              <w:spacing w:after="0" w:line="143" w:lineRule="exact"/>
              <w:rPr>
                <w:sz w:val="20"/>
                <w:szCs w:val="20"/>
                <w:color w:val="auto"/>
              </w:rPr>
            </w:pPr>
            <w:r>
              <w:rPr>
                <w:rFonts w:ascii="Arial" w:cs="Arial" w:eastAsia="Arial" w:hAnsi="Arial"/>
                <w:sz w:val="13"/>
                <w:szCs w:val="13"/>
                <w:color w:val="auto"/>
              </w:rPr>
              <w:t>2023</w:t>
            </w:r>
          </w:p>
        </w:tc>
        <w:tc>
          <w:tcPr>
            <w:tcW w:w="1560" w:type="dxa"/>
            <w:vAlign w:val="bottom"/>
            <w:shd w:val="clear" w:color="auto" w:fill="D9D9D9"/>
          </w:tcPr>
          <w:p>
            <w:pPr>
              <w:ind w:left="120"/>
              <w:spacing w:after="0" w:line="143" w:lineRule="exact"/>
              <w:rPr>
                <w:sz w:val="20"/>
                <w:szCs w:val="20"/>
                <w:color w:val="auto"/>
              </w:rPr>
            </w:pPr>
            <w:r>
              <w:rPr>
                <w:rFonts w:ascii="Arial" w:cs="Arial" w:eastAsia="Arial" w:hAnsi="Arial"/>
                <w:sz w:val="13"/>
                <w:szCs w:val="13"/>
                <w:color w:val="auto"/>
              </w:rPr>
              <w:t>Richard A. Gonzalez  $</w:t>
            </w:r>
          </w:p>
        </w:tc>
        <w:tc>
          <w:tcPr>
            <w:tcW w:w="10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0</w:t>
            </w:r>
          </w:p>
        </w:tc>
        <w:tc>
          <w:tcPr>
            <w:tcW w:w="1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0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0</w:t>
            </w:r>
          </w:p>
        </w:tc>
        <w:tc>
          <w:tcPr>
            <w:tcW w:w="1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0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17,469</w:t>
            </w:r>
          </w:p>
        </w:tc>
        <w:tc>
          <w:tcPr>
            <w:tcW w:w="1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2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N/A  $</w:t>
            </w:r>
          </w:p>
        </w:tc>
        <w:tc>
          <w:tcPr>
            <w:tcW w:w="10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17,469</w:t>
            </w:r>
          </w:p>
        </w:tc>
      </w:tr>
    </w:tbl>
    <w:p>
      <w:pPr>
        <w:spacing w:after="0" w:line="71" w:lineRule="exact"/>
        <w:rPr>
          <w:sz w:val="20"/>
          <w:szCs w:val="20"/>
          <w:color w:val="auto"/>
        </w:rPr>
      </w:pPr>
    </w:p>
    <w:p>
      <w:pPr>
        <w:ind w:left="608" w:hanging="608"/>
        <w:spacing w:after="0" w:line="237" w:lineRule="auto"/>
        <w:tabs>
          <w:tab w:leader="none" w:pos="6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dollar amounts reported represent the average of the amounts reported for AbbVie’s named executive officers (NEOs) as a group (excluding the CEO) in the “Total” column of the Summary Compensation Table in each applicable fiscal year. The names of each of the NEOs included for purposes of calculating the average amounts in each applicable year are as follows: (i) for 2023, R. Michael, S. Reents, J. Stewart and A. Saleki-Gerhardt; (ii) for 2022, R. Michael, S. Reents, L. Schumacher, J. Stewart and A. Saleki-Gerhardt; (iii) for 2021, R. Michael, L. Schumacher, M. Severino and J. Stewart; and (iv) for 2020, R. Michael, L. Schumacher, C. Alban and M. Severino.</w:t>
      </w:r>
    </w:p>
    <w:p>
      <w:pPr>
        <w:spacing w:after="0" w:line="80" w:lineRule="exact"/>
        <w:rPr>
          <w:rFonts w:ascii="Arial" w:cs="Arial" w:eastAsia="Arial" w:hAnsi="Arial"/>
          <w:sz w:val="17"/>
          <w:szCs w:val="17"/>
          <w:color w:val="auto"/>
        </w:rPr>
      </w:pPr>
    </w:p>
    <w:p>
      <w:pPr>
        <w:ind w:left="608" w:right="120" w:hanging="608"/>
        <w:spacing w:after="0" w:line="236" w:lineRule="auto"/>
        <w:tabs>
          <w:tab w:leader="none" w:pos="6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dollar amounts reported represent the average amount of “compensation actually paid” to the NEOs as a group (excluding the CEO), as computed in accordance with Item 402(v) of Regulation S-K. The dollar amounts do not reflect the actual amount of compensation earned by or paid to the NEOs as a group (excluding the CEO) during such fiscal years and are based on valuation assumptions required by the SEC, which are unlikely to reflect actual amounts realized at vesting or exercise (as applicable). The average total compensation for the NEOs as a group (excluding the CEO) for each year was adjusted using the same methodology described above in footnote (b) to determine the compensation actually paid.</w:t>
      </w:r>
    </w:p>
    <w:p>
      <w:pPr>
        <w:spacing w:after="0" w:line="360"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66</w:t>
      </w:r>
      <w:r>
        <w:rPr>
          <w:sz w:val="20"/>
          <w:szCs w:val="20"/>
          <w:color w:val="auto"/>
        </w:rPr>
        <w:tab/>
      </w:r>
      <w:r>
        <w:rPr>
          <w:sz w:val="1"/>
          <w:szCs w:val="1"/>
          <w:color w:val="auto"/>
        </w:rPr>
        <w:drawing>
          <wp:inline distT="0" distB="0" distL="0" distR="0">
            <wp:extent cx="810260" cy="15113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8"/>
          </w:cols>
          <w:pgMar w:left="1312" w:top="486" w:right="1339" w:bottom="1440" w:gutter="0" w:footer="0" w:header="0"/>
        </w:sectPr>
      </w:pPr>
    </w:p>
    <w:bookmarkStart w:id="69" w:name="page70"/>
    <w:bookmarkEnd w:id="6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620" w:right="280"/>
        <w:spacing w:after="0"/>
        <w:rPr>
          <w:sz w:val="20"/>
          <w:szCs w:val="20"/>
          <w:color w:val="auto"/>
        </w:rPr>
      </w:pPr>
      <w:r>
        <w:rPr>
          <w:rFonts w:ascii="Arial" w:cs="Arial" w:eastAsia="Arial" w:hAnsi="Arial"/>
          <w:sz w:val="17"/>
          <w:szCs w:val="17"/>
          <w:color w:val="auto"/>
        </w:rPr>
        <w:t>The amounts in the following table represent the average of the amounts deducted and added to the equity award values for AbbVie’s named executive officers (NEOs) as a group (excluding the CEO) for the 2023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62230</wp:posOffset>
            </wp:positionV>
            <wp:extent cx="28841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spacing w:after="0" w:line="231" w:lineRule="exact"/>
        <w:rPr>
          <w:sz w:val="20"/>
          <w:szCs w:val="20"/>
          <w:color w:val="auto"/>
        </w:rPr>
      </w:pPr>
    </w:p>
    <w:tbl>
      <w:tblPr>
        <w:tblLayout w:type="fixed"/>
        <w:tblInd w:w="600" w:type="dxa"/>
        <w:tblCellMar>
          <w:top w:w="0" w:type="dxa"/>
          <w:left w:w="0" w:type="dxa"/>
          <w:bottom w:w="0" w:type="dxa"/>
          <w:right w:w="0" w:type="dxa"/>
        </w:tblCellMar>
      </w:tblP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Grant Date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Year-end</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Change in</w:t>
            </w:r>
          </w:p>
        </w:tc>
        <w:tc>
          <w:tcPr>
            <w:tcW w:w="3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Change in</w:t>
            </w:r>
          </w:p>
        </w:tc>
        <w:tc>
          <w:tcPr>
            <w:tcW w:w="1000" w:type="dxa"/>
            <w:vAlign w:val="bottom"/>
          </w:tcPr>
          <w:p>
            <w:pPr>
              <w:spacing w:after="0"/>
              <w:rPr>
                <w:sz w:val="13"/>
                <w:szCs w:val="13"/>
                <w:color w:val="auto"/>
              </w:rPr>
            </w:pPr>
          </w:p>
        </w:tc>
      </w:t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Total Equity</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Fair Value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Fair Value of</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 as of</w:t>
            </w:r>
          </w:p>
        </w:tc>
        <w:tc>
          <w:tcPr>
            <w:tcW w:w="12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Fair Value as of</w:t>
            </w:r>
          </w:p>
        </w:tc>
        <w:tc>
          <w:tcPr>
            <w:tcW w:w="1000" w:type="dxa"/>
            <w:vAlign w:val="bottom"/>
          </w:tcPr>
          <w:p>
            <w:pPr>
              <w:spacing w:after="0"/>
              <w:rPr>
                <w:sz w:val="13"/>
                <w:szCs w:val="13"/>
                <w:color w:val="auto"/>
              </w:rPr>
            </w:pPr>
          </w:p>
        </w:tc>
      </w:t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Equity Awards</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Equity Awards</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Year-End of Any</w:t>
            </w:r>
          </w:p>
        </w:tc>
        <w:tc>
          <w:tcPr>
            <w:tcW w:w="12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the Vesting Date</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Granted</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Granted</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Prior Year</w:t>
            </w:r>
          </w:p>
        </w:tc>
        <w:tc>
          <w:tcPr>
            <w:tcW w:w="12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of Any Prior Year</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Equity Value</w:t>
            </w:r>
          </w:p>
        </w:tc>
      </w:t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During</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During</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Awards that</w:t>
            </w:r>
          </w:p>
        </w:tc>
        <w:tc>
          <w:tcPr>
            <w:tcW w:w="320" w:type="dxa"/>
            <w:vAlign w:val="bottom"/>
          </w:tcPr>
          <w:p>
            <w:pPr>
              <w:spacing w:after="0"/>
              <w:rPr>
                <w:sz w:val="13"/>
                <w:szCs w:val="13"/>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b w:val="1"/>
                <w:bCs w:val="1"/>
                <w:color w:val="auto"/>
              </w:rPr>
              <w:t>Awards that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r>
      <w:tr>
        <w:trPr>
          <w:trHeight w:val="150"/>
        </w:trPr>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Applicable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Applicable</w:t>
            </w:r>
          </w:p>
        </w:tc>
        <w:tc>
          <w:tcPr>
            <w:tcW w:w="1260" w:type="dxa"/>
            <w:vAlign w:val="bottom"/>
            <w:gridSpan w:val="2"/>
          </w:tcPr>
          <w:p>
            <w:pPr>
              <w:jc w:val="right"/>
              <w:spacing w:after="0"/>
              <w:rPr>
                <w:sz w:val="20"/>
                <w:szCs w:val="20"/>
                <w:color w:val="auto"/>
              </w:rPr>
            </w:pPr>
            <w:r>
              <w:rPr>
                <w:rFonts w:ascii="Arial" w:cs="Arial" w:eastAsia="Arial" w:hAnsi="Arial"/>
                <w:sz w:val="13"/>
                <w:szCs w:val="13"/>
                <w:b w:val="1"/>
                <w:bCs w:val="1"/>
                <w:color w:val="auto"/>
              </w:rPr>
              <w:t>Remain Unvested</w:t>
            </w:r>
          </w:p>
        </w:tc>
        <w:tc>
          <w:tcPr>
            <w:tcW w:w="12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Vested During</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w:t>
            </w: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NEO Names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Table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Year-End</w:t>
            </w:r>
          </w:p>
        </w:tc>
        <w:tc>
          <w:tcPr>
            <w:tcW w:w="124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Applicable Year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Actually Paid</w:t>
            </w:r>
          </w:p>
        </w:tc>
      </w:tr>
      <w:tr>
        <w:trPr>
          <w:trHeight w:val="143"/>
        </w:trPr>
        <w:tc>
          <w:tcPr>
            <w:tcW w:w="340" w:type="dxa"/>
            <w:vAlign w:val="bottom"/>
            <w:shd w:val="clear" w:color="auto" w:fill="D9D9D9"/>
          </w:tcPr>
          <w:p>
            <w:pPr>
              <w:ind w:left="20"/>
              <w:spacing w:after="0" w:line="143" w:lineRule="exact"/>
              <w:rPr>
                <w:sz w:val="20"/>
                <w:szCs w:val="20"/>
                <w:color w:val="auto"/>
              </w:rPr>
            </w:pPr>
            <w:r>
              <w:rPr>
                <w:rFonts w:ascii="Arial" w:cs="Arial" w:eastAsia="Arial" w:hAnsi="Arial"/>
                <w:sz w:val="13"/>
                <w:szCs w:val="13"/>
                <w:color w:val="auto"/>
              </w:rPr>
              <w:t>2023</w:t>
            </w:r>
          </w:p>
        </w:tc>
        <w:tc>
          <w:tcPr>
            <w:tcW w:w="1100" w:type="dxa"/>
            <w:vAlign w:val="bottom"/>
            <w:shd w:val="clear" w:color="auto" w:fill="D9D9D9"/>
          </w:tcPr>
          <w:p>
            <w:pPr>
              <w:ind w:left="80"/>
              <w:spacing w:after="0" w:line="143" w:lineRule="exact"/>
              <w:rPr>
                <w:sz w:val="20"/>
                <w:szCs w:val="20"/>
                <w:color w:val="auto"/>
              </w:rPr>
            </w:pPr>
            <w:r>
              <w:rPr>
                <w:rFonts w:ascii="Arial" w:cs="Arial" w:eastAsia="Arial" w:hAnsi="Arial"/>
                <w:sz w:val="13"/>
                <w:szCs w:val="13"/>
                <w:color w:val="auto"/>
              </w:rPr>
              <w:t>See footnote (c)</w:t>
            </w:r>
          </w:p>
        </w:tc>
        <w:tc>
          <w:tcPr>
            <w:tcW w:w="10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5,129,167</w:t>
            </w:r>
          </w:p>
        </w:tc>
        <w:tc>
          <w:tcPr>
            <w:tcW w:w="104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(5,129,167)</w:t>
            </w:r>
          </w:p>
        </w:tc>
        <w:tc>
          <w:tcPr>
            <w:tcW w:w="10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7,294,064</w:t>
            </w:r>
          </w:p>
        </w:tc>
        <w:tc>
          <w:tcPr>
            <w:tcW w:w="2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0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1,073,949</w:t>
            </w:r>
          </w:p>
        </w:tc>
        <w:tc>
          <w:tcPr>
            <w:tcW w:w="3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(823,979)</w:t>
            </w:r>
          </w:p>
        </w:tc>
        <w:tc>
          <w:tcPr>
            <w:tcW w:w="10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  7,544,034</w:t>
            </w:r>
          </w:p>
        </w:tc>
      </w:tr>
    </w:tbl>
    <w:p>
      <w:pPr>
        <w:spacing w:after="0" w:line="271" w:lineRule="exact"/>
        <w:rPr>
          <w:sz w:val="20"/>
          <w:szCs w:val="20"/>
          <w:color w:val="auto"/>
        </w:rPr>
      </w:pPr>
    </w:p>
    <w:p>
      <w:pPr>
        <w:ind w:left="620" w:right="400"/>
        <w:spacing w:after="0"/>
        <w:rPr>
          <w:sz w:val="20"/>
          <w:szCs w:val="20"/>
          <w:color w:val="auto"/>
        </w:rPr>
      </w:pPr>
      <w:r>
        <w:rPr>
          <w:rFonts w:ascii="Arial" w:cs="Arial" w:eastAsia="Arial" w:hAnsi="Arial"/>
          <w:sz w:val="17"/>
          <w:szCs w:val="17"/>
          <w:color w:val="auto"/>
        </w:rPr>
        <w:t>The amounts in the following table represent each of the amounts deducted and added to the change in pension value for AbbVie’s named executive officers (NEOs) as a group (excluding the CEO) for the 2023 fiscal year for purposes of computing the “compensation actually paid” amount appearing in column (d)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62230</wp:posOffset>
            </wp:positionV>
            <wp:extent cx="24549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454910" cy="8255"/>
                    </a:xfrm>
                    <a:prstGeom prst="rect">
                      <a:avLst/>
                    </a:prstGeom>
                    <a:noFill/>
                  </pic:spPr>
                </pic:pic>
              </a:graphicData>
            </a:graphic>
          </wp:anchor>
        </w:drawing>
      </w:r>
    </w:p>
    <w:p>
      <w:pPr>
        <w:spacing w:after="0" w:line="231" w:lineRule="exact"/>
        <w:rPr>
          <w:sz w:val="20"/>
          <w:szCs w:val="20"/>
          <w:color w:val="auto"/>
        </w:rPr>
      </w:pPr>
    </w:p>
    <w:tbl>
      <w:tblPr>
        <w:tblLayout w:type="fixed"/>
        <w:tblInd w:w="600" w:type="dxa"/>
        <w:tblCellMar>
          <w:top w:w="0" w:type="dxa"/>
          <w:left w:w="0" w:type="dxa"/>
          <w:bottom w:w="0" w:type="dxa"/>
          <w:right w:w="0" w:type="dxa"/>
        </w:tblCellMar>
      </w:tblPr>
      <w:tr>
        <w:trPr>
          <w:trHeight w:val="150"/>
        </w:trPr>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 Change</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0"/>
        </w:trPr>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in Pension</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193"/>
              <w:spacing w:after="0"/>
              <w:rPr>
                <w:sz w:val="20"/>
                <w:szCs w:val="20"/>
                <w:color w:val="auto"/>
              </w:rPr>
            </w:pPr>
            <w:r>
              <w:rPr>
                <w:rFonts w:ascii="Arial" w:cs="Arial" w:eastAsia="Arial" w:hAnsi="Arial"/>
                <w:sz w:val="13"/>
                <w:szCs w:val="13"/>
                <w:b w:val="1"/>
                <w:bCs w:val="1"/>
                <w:color w:val="auto"/>
              </w:rPr>
              <w:t>Prior</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Total Change in</w:t>
            </w:r>
          </w:p>
        </w:tc>
      </w:tr>
      <w:tr>
        <w:trPr>
          <w:trHeight w:val="150"/>
        </w:trPr>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Value Reflected</w:t>
            </w:r>
          </w:p>
        </w:tc>
        <w:tc>
          <w:tcPr>
            <w:tcW w:w="20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Service Costs</w:t>
            </w:r>
          </w:p>
        </w:tc>
        <w:tc>
          <w:tcPr>
            <w:tcW w:w="200" w:type="dxa"/>
            <w:vAlign w:val="bottom"/>
          </w:tcPr>
          <w:p>
            <w:pPr>
              <w:spacing w:after="0"/>
              <w:rPr>
                <w:sz w:val="13"/>
                <w:szCs w:val="13"/>
                <w:color w:val="auto"/>
              </w:rPr>
            </w:pPr>
          </w:p>
        </w:tc>
        <w:tc>
          <w:tcPr>
            <w:tcW w:w="1280" w:type="dxa"/>
            <w:vAlign w:val="bottom"/>
          </w:tcPr>
          <w:p>
            <w:pPr>
              <w:jc w:val="right"/>
              <w:ind w:right="193"/>
              <w:spacing w:after="0"/>
              <w:rPr>
                <w:sz w:val="20"/>
                <w:szCs w:val="20"/>
                <w:color w:val="auto"/>
              </w:rPr>
            </w:pPr>
            <w:r>
              <w:rPr>
                <w:rFonts w:ascii="Arial" w:cs="Arial" w:eastAsia="Arial" w:hAnsi="Arial"/>
                <w:sz w:val="13"/>
                <w:szCs w:val="13"/>
                <w:b w:val="1"/>
                <w:bCs w:val="1"/>
                <w:color w:val="auto"/>
              </w:rPr>
              <w:t>Service Costs</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Pension Value</w:t>
            </w:r>
          </w:p>
        </w:tc>
      </w:tr>
      <w:tr>
        <w:trPr>
          <w:trHeight w:val="150"/>
        </w:trPr>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in the Summary</w:t>
            </w:r>
          </w:p>
        </w:tc>
        <w:tc>
          <w:tcPr>
            <w:tcW w:w="20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Pension Value</w:t>
            </w:r>
          </w:p>
        </w:tc>
        <w:tc>
          <w:tcPr>
            <w:tcW w:w="1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Attributable</w:t>
            </w:r>
          </w:p>
        </w:tc>
        <w:tc>
          <w:tcPr>
            <w:tcW w:w="200" w:type="dxa"/>
            <w:vAlign w:val="bottom"/>
          </w:tcPr>
          <w:p>
            <w:pPr>
              <w:spacing w:after="0"/>
              <w:rPr>
                <w:sz w:val="13"/>
                <w:szCs w:val="13"/>
                <w:color w:val="auto"/>
              </w:rPr>
            </w:pPr>
          </w:p>
        </w:tc>
        <w:tc>
          <w:tcPr>
            <w:tcW w:w="1280" w:type="dxa"/>
            <w:vAlign w:val="bottom"/>
          </w:tcPr>
          <w:p>
            <w:pPr>
              <w:jc w:val="right"/>
              <w:ind w:right="193"/>
              <w:spacing w:after="0"/>
              <w:rPr>
                <w:sz w:val="20"/>
                <w:szCs w:val="20"/>
                <w:color w:val="auto"/>
              </w:rPr>
            </w:pPr>
            <w:r>
              <w:rPr>
                <w:rFonts w:ascii="Arial" w:cs="Arial" w:eastAsia="Arial" w:hAnsi="Arial"/>
                <w:sz w:val="13"/>
                <w:szCs w:val="13"/>
                <w:b w:val="1"/>
                <w:bCs w:val="1"/>
                <w:color w:val="auto"/>
              </w:rPr>
              <w:t>Introduced</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Reflected in</w:t>
            </w:r>
          </w:p>
        </w:tc>
      </w:tr>
      <w:tr>
        <w:trPr>
          <w:trHeight w:val="150"/>
        </w:trPr>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13"/>
                <w:szCs w:val="13"/>
                <w:color w:val="auto"/>
              </w:rPr>
            </w:pP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for the</w:t>
            </w:r>
          </w:p>
        </w:tc>
        <w:tc>
          <w:tcPr>
            <w:tcW w:w="160" w:type="dxa"/>
            <w:vAlign w:val="bottom"/>
          </w:tcPr>
          <w:p>
            <w:pPr>
              <w:spacing w:after="0"/>
              <w:rPr>
                <w:sz w:val="13"/>
                <w:szCs w:val="13"/>
                <w:color w:val="auto"/>
              </w:rPr>
            </w:pPr>
          </w:p>
        </w:tc>
        <w:tc>
          <w:tcPr>
            <w:tcW w:w="1100" w:type="dxa"/>
            <w:vAlign w:val="bottom"/>
          </w:tcPr>
          <w:p>
            <w:pPr>
              <w:jc w:val="right"/>
              <w:ind w:right="13"/>
              <w:spacing w:after="0"/>
              <w:rPr>
                <w:sz w:val="20"/>
                <w:szCs w:val="20"/>
                <w:color w:val="auto"/>
              </w:rPr>
            </w:pPr>
            <w:r>
              <w:rPr>
                <w:rFonts w:ascii="Arial" w:cs="Arial" w:eastAsia="Arial" w:hAnsi="Arial"/>
                <w:sz w:val="13"/>
                <w:szCs w:val="13"/>
                <w:b w:val="1"/>
                <w:bCs w:val="1"/>
                <w:color w:val="auto"/>
              </w:rPr>
              <w:t>to the</w:t>
            </w:r>
          </w:p>
        </w:tc>
        <w:tc>
          <w:tcPr>
            <w:tcW w:w="200" w:type="dxa"/>
            <w:vAlign w:val="bottom"/>
          </w:tcPr>
          <w:p>
            <w:pPr>
              <w:spacing w:after="0"/>
              <w:rPr>
                <w:sz w:val="13"/>
                <w:szCs w:val="13"/>
                <w:color w:val="auto"/>
              </w:rPr>
            </w:pPr>
          </w:p>
        </w:tc>
        <w:tc>
          <w:tcPr>
            <w:tcW w:w="1280" w:type="dxa"/>
            <w:vAlign w:val="bottom"/>
          </w:tcPr>
          <w:p>
            <w:pPr>
              <w:jc w:val="right"/>
              <w:ind w:right="193"/>
              <w:spacing w:after="0"/>
              <w:rPr>
                <w:sz w:val="20"/>
                <w:szCs w:val="20"/>
                <w:color w:val="auto"/>
              </w:rPr>
            </w:pPr>
            <w:r>
              <w:rPr>
                <w:rFonts w:ascii="Arial" w:cs="Arial" w:eastAsia="Arial" w:hAnsi="Arial"/>
                <w:sz w:val="13"/>
                <w:szCs w:val="13"/>
                <w:b w:val="1"/>
                <w:bCs w:val="1"/>
                <w:color w:val="auto"/>
              </w:rPr>
              <w:t>During the</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160"/>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w:t>
            </w: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NEO Names</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Table</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Applicable Year</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Applicable Year</w:t>
            </w: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Applicable Year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Actually Paid</w:t>
            </w:r>
          </w:p>
        </w:tc>
      </w:tr>
      <w:tr>
        <w:trPr>
          <w:trHeight w:val="143"/>
        </w:trPr>
        <w:tc>
          <w:tcPr>
            <w:tcW w:w="460" w:type="dxa"/>
            <w:vAlign w:val="bottom"/>
            <w:shd w:val="clear" w:color="auto" w:fill="D9D9D9"/>
          </w:tcPr>
          <w:p>
            <w:pPr>
              <w:ind w:left="20"/>
              <w:spacing w:after="0" w:line="143" w:lineRule="exact"/>
              <w:rPr>
                <w:sz w:val="20"/>
                <w:szCs w:val="20"/>
                <w:color w:val="auto"/>
              </w:rPr>
            </w:pPr>
            <w:r>
              <w:rPr>
                <w:rFonts w:ascii="Arial" w:cs="Arial" w:eastAsia="Arial" w:hAnsi="Arial"/>
                <w:sz w:val="13"/>
                <w:szCs w:val="13"/>
                <w:color w:val="auto"/>
              </w:rPr>
              <w:t>2023</w:t>
            </w:r>
          </w:p>
        </w:tc>
        <w:tc>
          <w:tcPr>
            <w:tcW w:w="1360" w:type="dxa"/>
            <w:vAlign w:val="bottom"/>
            <w:shd w:val="clear" w:color="auto" w:fill="D9D9D9"/>
          </w:tcPr>
          <w:p>
            <w:pPr>
              <w:ind w:left="160"/>
              <w:spacing w:after="0" w:line="143" w:lineRule="exact"/>
              <w:rPr>
                <w:sz w:val="20"/>
                <w:szCs w:val="20"/>
                <w:color w:val="auto"/>
              </w:rPr>
            </w:pPr>
            <w:r>
              <w:rPr>
                <w:rFonts w:ascii="Arial" w:cs="Arial" w:eastAsia="Arial" w:hAnsi="Arial"/>
                <w:sz w:val="13"/>
                <w:szCs w:val="13"/>
                <w:color w:val="auto"/>
              </w:rPr>
              <w:t>See footnote (c)   $</w:t>
            </w:r>
          </w:p>
        </w:tc>
        <w:tc>
          <w:tcPr>
            <w:tcW w:w="1100" w:type="dxa"/>
            <w:vAlign w:val="bottom"/>
            <w:shd w:val="clear" w:color="auto" w:fill="D9D9D9"/>
          </w:tcPr>
          <w:p>
            <w:pPr>
              <w:jc w:val="right"/>
              <w:ind w:right="13"/>
              <w:spacing w:after="0" w:line="143" w:lineRule="exact"/>
              <w:rPr>
                <w:sz w:val="20"/>
                <w:szCs w:val="20"/>
                <w:color w:val="auto"/>
              </w:rPr>
            </w:pPr>
            <w:r>
              <w:rPr>
                <w:rFonts w:ascii="Arial" w:cs="Arial" w:eastAsia="Arial" w:hAnsi="Arial"/>
                <w:sz w:val="13"/>
                <w:szCs w:val="13"/>
                <w:color w:val="auto"/>
              </w:rPr>
              <w:t>2,866,096</w:t>
            </w:r>
          </w:p>
        </w:tc>
        <w:tc>
          <w:tcPr>
            <w:tcW w:w="2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(2,866,096)</w:t>
            </w:r>
          </w:p>
        </w:tc>
        <w:tc>
          <w:tcPr>
            <w:tcW w:w="1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100" w:type="dxa"/>
            <w:vAlign w:val="bottom"/>
            <w:shd w:val="clear" w:color="auto" w:fill="D9D9D9"/>
          </w:tcPr>
          <w:p>
            <w:pPr>
              <w:jc w:val="right"/>
              <w:ind w:right="13"/>
              <w:spacing w:after="0" w:line="143" w:lineRule="exact"/>
              <w:rPr>
                <w:sz w:val="20"/>
                <w:szCs w:val="20"/>
                <w:color w:val="auto"/>
              </w:rPr>
            </w:pPr>
            <w:r>
              <w:rPr>
                <w:rFonts w:ascii="Arial" w:cs="Arial" w:eastAsia="Arial" w:hAnsi="Arial"/>
                <w:sz w:val="13"/>
                <w:szCs w:val="13"/>
                <w:color w:val="auto"/>
              </w:rPr>
              <w:t>331,245</w:t>
            </w:r>
          </w:p>
        </w:tc>
        <w:tc>
          <w:tcPr>
            <w:tcW w:w="20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w:t>
            </w:r>
          </w:p>
        </w:tc>
        <w:tc>
          <w:tcPr>
            <w:tcW w:w="128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N/A  $</w:t>
            </w:r>
          </w:p>
        </w:tc>
        <w:tc>
          <w:tcPr>
            <w:tcW w:w="1060" w:type="dxa"/>
            <w:vAlign w:val="bottom"/>
            <w:shd w:val="clear" w:color="auto" w:fill="D9D9D9"/>
          </w:tcPr>
          <w:p>
            <w:pPr>
              <w:jc w:val="right"/>
              <w:spacing w:after="0" w:line="143" w:lineRule="exact"/>
              <w:rPr>
                <w:sz w:val="20"/>
                <w:szCs w:val="20"/>
                <w:color w:val="auto"/>
              </w:rPr>
            </w:pPr>
            <w:r>
              <w:rPr>
                <w:rFonts w:ascii="Arial" w:cs="Arial" w:eastAsia="Arial" w:hAnsi="Arial"/>
                <w:sz w:val="13"/>
                <w:szCs w:val="13"/>
                <w:color w:val="auto"/>
              </w:rPr>
              <w:t>331,245</w:t>
            </w:r>
          </w:p>
        </w:tc>
      </w:tr>
    </w:tbl>
    <w:p>
      <w:pPr>
        <w:spacing w:after="0" w:line="133" w:lineRule="exact"/>
        <w:rPr>
          <w:sz w:val="20"/>
          <w:szCs w:val="20"/>
          <w:color w:val="auto"/>
        </w:rPr>
      </w:pPr>
    </w:p>
    <w:p>
      <w:pPr>
        <w:ind w:left="620" w:right="20" w:hanging="608"/>
        <w:spacing w:after="0" w:line="246"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Cumulative TSR is calculated by dividing the sum of the cumulative amount of dividends for the measurement period, assuming dividend reinvestment, and the difference between AbbVie’s share price at the end and the beginning of the measurement period by AbbVie's share price at the beginning of the measurement period.</w:t>
      </w:r>
    </w:p>
    <w:p>
      <w:pPr>
        <w:spacing w:after="0" w:line="149" w:lineRule="exact"/>
        <w:rPr>
          <w:rFonts w:ascii="Arial" w:cs="Arial" w:eastAsia="Arial" w:hAnsi="Arial"/>
          <w:sz w:val="17"/>
          <w:szCs w:val="17"/>
          <w:color w:val="auto"/>
        </w:rPr>
      </w:pPr>
    </w:p>
    <w:p>
      <w:pPr>
        <w:ind w:left="620" w:right="140" w:hanging="608"/>
        <w:spacing w:after="0" w:line="246"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Represents the weighted peer group TSR, weighted according to the respective companies’ stock market capitalization at the beginning of each period for which a return is indicated. The peer group used for this purpose is the NYSE Arca Pharmaceutical Index, our peer group used for purposes of Item 201(e) of Regulation S-K.</w:t>
      </w:r>
    </w:p>
    <w:p>
      <w:pPr>
        <w:spacing w:after="0" w:line="149" w:lineRule="exact"/>
        <w:rPr>
          <w:rFonts w:ascii="Arial" w:cs="Arial" w:eastAsia="Arial" w:hAnsi="Arial"/>
          <w:sz w:val="17"/>
          <w:szCs w:val="17"/>
          <w:color w:val="auto"/>
        </w:rPr>
      </w:pPr>
    </w:p>
    <w:p>
      <w:pPr>
        <w:ind w:left="620" w:right="140" w:hanging="608"/>
        <w:spacing w:after="0" w:line="238"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required by Item 402(v) of Regulation S-K, AbbVie has determined that adjusted diluted EPS is the Company Selected Measure, as it is the most important financial performance measure (that is not otherwise required to be disclosed in the table) used to link compensation actually paid to AbbVie’s NEOs to company performance for the most recently completed fiscal year. Adjusted diluted EPS is a non-GAAP measure that represents diluted earnings per share adjusted to exclude certain specified items, as described in Appendix B.</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Comparative Analysis of the Pay versus Performance Table</w:t>
      </w:r>
    </w:p>
    <w:p>
      <w:pPr>
        <w:spacing w:after="0" w:line="92" w:lineRule="exact"/>
        <w:rPr>
          <w:sz w:val="20"/>
          <w:szCs w:val="20"/>
          <w:color w:val="auto"/>
        </w:rPr>
      </w:pPr>
    </w:p>
    <w:p>
      <w:pPr>
        <w:ind w:left="20" w:right="280"/>
        <w:spacing w:after="0" w:line="256" w:lineRule="auto"/>
        <w:rPr>
          <w:sz w:val="20"/>
          <w:szCs w:val="20"/>
          <w:color w:val="auto"/>
        </w:rPr>
      </w:pPr>
      <w:r>
        <w:rPr>
          <w:rFonts w:ascii="Arial" w:cs="Arial" w:eastAsia="Arial" w:hAnsi="Arial"/>
          <w:sz w:val="16"/>
          <w:szCs w:val="16"/>
          <w:color w:val="auto"/>
        </w:rPr>
        <w:t>AbbVie’s compensation program is designed to attract and retain executives whose talents and contributions sustain long-term growth by aligning their interests with the drivers of stockholder returns and supporting their achievement of AbbVie’s primary business goals. AbbVie considers several performance measures to ensure executives are incentivized to accomplish these objectives, many of which are not presented in the pay versus performance table. The charts and descriptions below explain the relationship between the columns presented in the pay versus performance table.</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AbbVie TSR versus Peer Group TSR</w:t>
      </w:r>
    </w:p>
    <w:p>
      <w:pPr>
        <w:spacing w:after="0" w:line="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graph below shows AbbVie’s cumulative TSR over the four-year period ending with December 31, 2023 as compared to the NYSE Arca Pharmaceutical Index. AbbVie’s cumulative TSR outperformed our peer group during the four years presented in the table. Additionally, AbbVie is committed to a robust return of capital to stockholders with an increase of 285% in its quarterly dividend since 2013 as part of a balanced and disciplined capital allocation program, contributing to our strong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197485</wp:posOffset>
            </wp:positionV>
            <wp:extent cx="4441190" cy="256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441190" cy="256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“Compensation Actually Paid” to TSR</w:t>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chart below demonstrates that the “compensation actually paid” amounts shown for Mr. Gonzalez and average “compensation actually paid” to the other NEOs is aligned with AbbVie’s cumulative TSR over the four years presented in the pay versus performance table. The alignment of compensation actually paid with AbbVie’s cumulative TSR over the period presented reflects that a significant portion of the compensation actually paid to Mr. Gonzalez and to the other NEOs is comprised of equity awards. Moreover, AbbVie’s executive compensation philosophy and design is fundamentally based on a commitment to align pay and performance.</w:t>
      </w:r>
    </w:p>
    <w:p>
      <w:pPr>
        <w:spacing w:after="0" w:line="360"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68</w:t>
      </w:r>
      <w:r>
        <w:rPr>
          <w:sz w:val="20"/>
          <w:szCs w:val="20"/>
          <w:color w:val="auto"/>
        </w:rPr>
        <w:tab/>
      </w:r>
      <w:r>
        <w:rPr>
          <w:sz w:val="1"/>
          <w:szCs w:val="1"/>
          <w:color w:val="auto"/>
        </w:rPr>
        <w:drawing>
          <wp:inline distT="0" distB="0" distL="0" distR="0">
            <wp:extent cx="810260" cy="15113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24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6" w:right="1339" w:bottom="1440" w:gutter="0" w:footer="0" w:header="0"/>
        </w:sectPr>
      </w:pPr>
    </w:p>
    <w:bookmarkStart w:id="71" w:name="page72"/>
    <w:bookmarkEnd w:id="7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125095</wp:posOffset>
            </wp:positionV>
            <wp:extent cx="3217545" cy="27489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217545" cy="274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Comparison of “Compensation Actually Paid” to Net Income</w:t>
      </w:r>
    </w:p>
    <w:p>
      <w:pPr>
        <w:spacing w:after="0" w:line="92" w:lineRule="exact"/>
        <w:rPr>
          <w:sz w:val="20"/>
          <w:szCs w:val="20"/>
          <w:color w:val="auto"/>
        </w:rPr>
      </w:pPr>
    </w:p>
    <w:p>
      <w:pPr>
        <w:ind w:left="20" w:right="40"/>
        <w:spacing w:after="0" w:line="254" w:lineRule="auto"/>
        <w:rPr>
          <w:sz w:val="20"/>
          <w:szCs w:val="20"/>
          <w:color w:val="auto"/>
        </w:rPr>
      </w:pPr>
      <w:r>
        <w:rPr>
          <w:rFonts w:ascii="Arial" w:cs="Arial" w:eastAsia="Arial" w:hAnsi="Arial"/>
          <w:sz w:val="16"/>
          <w:szCs w:val="16"/>
          <w:color w:val="auto"/>
        </w:rPr>
        <w:t>AbbVie’s net income was approximately $4.6 billion in 2020, $11.5 billion in 2021, $ 11.8 billion in 2022 and $4.9 billion in 2023. Mr. Gonzalez’s “compensation actually paid” was approximately $47 million, $66 million, $67 million and $35 million in the corresponding years and the average “compensation actually paid” to AbbVie’s other NEOs was approximately $22.5 million, $24 million, $20 million and $12 million in each of those years, respectively. The changes in AbbVie’s net income over the four years presented in the pay versus performance table reflect general alignment with the “compensation actually paid” to Mr. Gonzalez and the other NEOs (on average) and AbbVie's net income during this period.</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Comparison of “Compensation Actually Paid” to Company-Selected Measure (Adjusted Diluted EPS)</w:t>
      </w:r>
    </w:p>
    <w:p>
      <w:pPr>
        <w:spacing w:after="0" w:line="92" w:lineRule="exact"/>
        <w:rPr>
          <w:sz w:val="20"/>
          <w:szCs w:val="20"/>
          <w:color w:val="auto"/>
        </w:rPr>
      </w:pPr>
    </w:p>
    <w:p>
      <w:pPr>
        <w:ind w:left="20" w:right="80"/>
        <w:spacing w:after="0" w:line="234" w:lineRule="auto"/>
        <w:rPr>
          <w:sz w:val="20"/>
          <w:szCs w:val="20"/>
          <w:color w:val="auto"/>
        </w:rPr>
      </w:pPr>
      <w:r>
        <w:rPr>
          <w:rFonts w:ascii="Arial" w:cs="Arial" w:eastAsia="Arial" w:hAnsi="Arial"/>
          <w:sz w:val="17"/>
          <w:szCs w:val="17"/>
          <w:color w:val="auto"/>
        </w:rPr>
        <w:t>AbbVie’s annualized adjusted diluted EPS was $9.76 in 2020, $11.83 in 2021, $13.77 in 2022 and $11.11 in 2023. Mr. Gonzalez’s “compensation actually paid” was approximately $ 47 million, $66 million, $67 million and $35 million in the corresponding years and the average “compensation actually paid” to AbbVie’s other NEOs was approximately $22.5 million, $24 million, $20 million and $12 million in each of those years, respectively. While AbbVie uses numerous financial and non-financial performance measures for the purpose of evaluating performance for our compensation programs, we have determined that adjusted diluted EPS is the financial performance measure that, in AbbVie’s assessment, represents the most important performance measure (that is not otherwise required to be disclosed in the table) used to link compensation actually paid to NEOs, for the most recently completed fiscal year, to AbbVie’s performance. AbbVie places significant emphasis on achieving positive EPS outcomes because it reflects strong operating dynamics in the underlying business, which is imperative for sustained long-term growth.</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Most Important Performance Measures</w:t>
      </w:r>
    </w:p>
    <w:p>
      <w:pPr>
        <w:spacing w:after="0" w:line="92" w:lineRule="exact"/>
        <w:rPr>
          <w:sz w:val="20"/>
          <w:szCs w:val="20"/>
          <w:color w:val="auto"/>
        </w:rPr>
      </w:pPr>
    </w:p>
    <w:p>
      <w:pPr>
        <w:ind w:left="20" w:right="100"/>
        <w:spacing w:after="0" w:line="261" w:lineRule="auto"/>
        <w:rPr>
          <w:sz w:val="20"/>
          <w:szCs w:val="20"/>
          <w:color w:val="auto"/>
        </w:rPr>
      </w:pPr>
      <w:r>
        <w:rPr>
          <w:rFonts w:ascii="Arial" w:cs="Arial" w:eastAsia="Arial" w:hAnsi="Arial"/>
          <w:sz w:val="17"/>
          <w:szCs w:val="17"/>
          <w:color w:val="auto"/>
        </w:rPr>
        <w:t>The performance measures that AbbVie uses in our executive compensation program are selected based on the objective of incentivizing NEOs to achieve long-term, sustainable growth in stockholder value. As required by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Item 402(v) of Regulation S-K, we have identified the following financial performance measures as being the most important in linking actual compensation paid to executives to AbbVie’s performance.</w:t>
      </w:r>
    </w:p>
    <w:p>
      <w:pPr>
        <w:spacing w:after="0" w:line="163" w:lineRule="exact"/>
        <w:rPr>
          <w:sz w:val="20"/>
          <w:szCs w:val="20"/>
          <w:color w:val="auto"/>
        </w:rPr>
      </w:pPr>
    </w:p>
    <w:p>
      <w:pPr>
        <w:ind w:left="2360"/>
        <w:spacing w:after="0"/>
        <w:rPr>
          <w:sz w:val="20"/>
          <w:szCs w:val="20"/>
          <w:color w:val="auto"/>
        </w:rPr>
      </w:pPr>
      <w:r>
        <w:rPr>
          <w:rFonts w:ascii="Arial" w:cs="Arial" w:eastAsia="Arial" w:hAnsi="Arial"/>
          <w:sz w:val="17"/>
          <w:szCs w:val="17"/>
          <w:color w:val="auto"/>
        </w:rPr>
        <w:t>Adjusted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-120650</wp:posOffset>
            </wp:positionV>
            <wp:extent cx="29394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39415" cy="825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7"/>
          <w:szCs w:val="17"/>
          <w:color w:val="auto"/>
        </w:rPr>
        <w:t>Adjusted Relative Return on 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-118110</wp:posOffset>
            </wp:positionV>
            <wp:extent cx="2939415" cy="1193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60"/>
        <w:spacing w:after="0" w:line="230" w:lineRule="auto"/>
        <w:rPr>
          <w:sz w:val="20"/>
          <w:szCs w:val="20"/>
          <w:color w:val="auto"/>
        </w:rPr>
      </w:pPr>
      <w:r>
        <w:rPr>
          <w:rFonts w:ascii="Arial" w:cs="Arial" w:eastAsia="Arial" w:hAnsi="Arial"/>
          <w:sz w:val="17"/>
          <w:szCs w:val="17"/>
          <w:color w:val="auto"/>
        </w:rPr>
        <w:t>Adjusted Return on Assets</w:t>
      </w:r>
    </w:p>
    <w:p>
      <w:pPr>
        <w:ind w:left="2360"/>
        <w:spacing w:after="0" w:line="230" w:lineRule="auto"/>
        <w:rPr>
          <w:sz w:val="20"/>
          <w:szCs w:val="20"/>
          <w:color w:val="auto"/>
        </w:rPr>
      </w:pPr>
      <w:r>
        <w:rPr>
          <w:rFonts w:ascii="Arial" w:cs="Arial" w:eastAsia="Arial" w:hAnsi="Arial"/>
          <w:sz w:val="17"/>
          <w:szCs w:val="17"/>
          <w:color w:val="auto"/>
        </w:rPr>
        <w:t>Non-GAAP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-117475</wp:posOffset>
            </wp:positionV>
            <wp:extent cx="2939415" cy="1193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60"/>
        <w:spacing w:after="0" w:line="231" w:lineRule="auto"/>
        <w:rPr>
          <w:sz w:val="20"/>
          <w:szCs w:val="20"/>
          <w:color w:val="auto"/>
        </w:rPr>
      </w:pPr>
      <w:r>
        <w:rPr>
          <w:rFonts w:ascii="Arial" w:cs="Arial" w:eastAsia="Arial" w:hAnsi="Arial"/>
          <w:sz w:val="17"/>
          <w:szCs w:val="17"/>
          <w:color w:val="auto"/>
        </w:rPr>
        <w:t>Non-GAAP Operating Margin</w:t>
      </w:r>
    </w:p>
    <w:p>
      <w:pPr>
        <w:ind w:left="2360"/>
        <w:spacing w:after="0" w:line="230" w:lineRule="auto"/>
        <w:rPr>
          <w:sz w:val="20"/>
          <w:szCs w:val="20"/>
          <w:color w:val="auto"/>
        </w:rPr>
      </w:pPr>
      <w:r>
        <w:rPr>
          <w:rFonts w:ascii="Arial" w:cs="Arial" w:eastAsia="Arial" w:hAnsi="Arial"/>
          <w:sz w:val="17"/>
          <w:szCs w:val="17"/>
          <w:color w:val="auto"/>
        </w:rPr>
        <w:t>Platform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-117475</wp:posOffset>
            </wp:positionV>
            <wp:extent cx="2939415" cy="1193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39415" cy="11938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7"/>
          <w:szCs w:val="17"/>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-3810</wp:posOffset>
            </wp:positionV>
            <wp:extent cx="29394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93941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30"/>
          <w:szCs w:val="30"/>
          <w:color w:val="auto"/>
        </w:rPr>
        <w:t>Potential Payments upon Termination or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 GENERALLY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AbbVie’s longstanding practice, the company has not entered into employment agreements with its NEOs. NEOs do not have any rights or entitlements to any cash termination or severance payments or equity vesting acceleration outside of the change in control context and subsequent termination of an NEO (double trigger), as discussed in more detail below.</w:t>
      </w:r>
    </w:p>
    <w:p>
      <w:pPr>
        <w:spacing w:after="0" w:line="10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following summarizes the payments that the NEOs would have received if their employment had terminated on December 31, 2023. Earnings would have continued to be paid for the NEO’s Performance Incentive Plan and Supplemental Savings Plan grantor trusts, as applicable, until the trust assets were fully distributed. The amount of these payments would depend on the trust earnings and fees and the period over which the trust assets were distributed. Based on current earnings rates, if the trust assets were distributed over a 10-year period, the NEOs would receive the following average annual earnings payments over such 10-year period: Mr. Gonzalez, $2,332,769; Mr. Michael, $413,772; Mr. Reents, $623,496; Mr. Stewart, $1,173,818; and Dr. Saleki-Gerhardt, $1,317,555. In addition, the following one-time deposits would have been made under the AbbVie Supplemental Pension Plan for each of the following NEOs, respectively: Mr. Gonzalez, $0; Mr. Michael, $8,866,500; Mr. Reents, $ 4,944,837; Mr. Stewart, $ 5,397,426; and Dr. Saleki-Gerhardt, $1,609,949. As of December 31, 2023, Mr. Gonzalez, Mr. Michael, Mr. Reents, Mr. Stewart, and Dr. Saleki-Gerhardt were eligible to retire, and therefore were eligible to receive the pension benefits previously described.</w:t>
      </w:r>
    </w:p>
    <w:p>
      <w:pPr>
        <w:spacing w:after="0" w:line="9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If the termination of employment had been due to disability, then the respective NEO also would have received, in addition to AbbVie’s standard disability benefits, a monthly long-term disability benefit in the following amount: Mr. Gonzalez, $175,000; Mr. Michael, $150,000; Mr. Reents, $92,500; Mr. Stewart, $126,250; and Dr. Saleki-Gerhardt, $92,500. This long-term disability benefit would continue for up to 24 months following termination of employment. It ends if the NEO retires, recovers, dies or ceases to meet eligibility criteria.</w:t>
      </w:r>
    </w:p>
    <w:p>
      <w:pPr>
        <w:spacing w:after="0" w:line="169"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If the NEO’s employment had terminated due to death or disability, their unvested stock options, restricted stock unit awards and performance shares would have vested on December 31, 2023 with values as set forth below in the subsection of this proxy statement captioned “Equity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CHANGE IN CONTROL</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AbbVie has entered into change in control agreements with its NEOs. Each change in control agreement continues in effect until December 31, 2027, and can be renewed for successive five-year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 As discussed in more detail below, AbbVie’s internal policies and individual change in control agreements with its NEOs prohibit a cash lump sum payment in excess of 2.99 times an NEO’s annual salary and bonus, unless shareholders ratify an exception.</w:t>
      </w:r>
    </w:p>
    <w:p>
      <w:pPr>
        <w:spacing w:after="0" w:line="200" w:lineRule="exact"/>
        <w:rPr>
          <w:sz w:val="20"/>
          <w:szCs w:val="20"/>
          <w:color w:val="auto"/>
        </w:rPr>
      </w:pPr>
    </w:p>
    <w:p>
      <w:pPr>
        <w:spacing w:after="0" w:line="362"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70</w:t>
      </w:r>
      <w:r>
        <w:rPr>
          <w:sz w:val="20"/>
          <w:szCs w:val="20"/>
          <w:color w:val="auto"/>
        </w:rPr>
        <w:tab/>
      </w:r>
      <w:r>
        <w:rPr>
          <w:sz w:val="1"/>
          <w:szCs w:val="1"/>
          <w:color w:val="auto"/>
        </w:rPr>
        <w:drawing>
          <wp:inline distT="0" distB="0" distL="0" distR="0">
            <wp:extent cx="810260" cy="15113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0"/>
          </w:cols>
          <w:pgMar w:left="1320" w:top="485" w:right="1339" w:bottom="1440" w:gutter="0" w:footer="0" w:header="0"/>
        </w:sectPr>
      </w:pPr>
    </w:p>
    <w:bookmarkStart w:id="73" w:name="page74"/>
    <w:bookmarkEnd w:id="7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EXECUTIVE COMPENSATION</w:t>
      </w:r>
    </w:p>
    <w:p>
      <w:pPr>
        <w:spacing w:after="0" w:line="191" w:lineRule="exact"/>
        <w:rPr>
          <w:sz w:val="20"/>
          <w:szCs w:val="20"/>
          <w:color w:val="auto"/>
        </w:rPr>
      </w:pPr>
    </w:p>
    <w:p>
      <w:pPr>
        <w:ind w:left="20" w:right="20"/>
        <w:spacing w:after="0" w:line="248" w:lineRule="auto"/>
        <w:rPr>
          <w:sz w:val="20"/>
          <w:szCs w:val="20"/>
          <w:color w:val="auto"/>
        </w:rPr>
      </w:pPr>
      <w:r>
        <w:rPr>
          <w:rFonts w:ascii="Arial" w:cs="Arial" w:eastAsia="Arial" w:hAnsi="Arial"/>
          <w:sz w:val="16"/>
          <w:szCs w:val="16"/>
          <w:color w:val="auto"/>
        </w:rPr>
        <w:t>The agreements provide that if the employee is terminated other than for cause or permanent disability or if the employee elects to terminate employment for good reason (see below) within two years following a change in control, they are entitled to receive a lump sum payment equal to 2.99 their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during a potential change in control (see below), they are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employee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spacing w:after="0" w:line="166" w:lineRule="exact"/>
        <w:rPr>
          <w:sz w:val="20"/>
          <w:szCs w:val="20"/>
          <w:color w:val="auto"/>
        </w:rPr>
      </w:pPr>
    </w:p>
    <w:p>
      <w:pPr>
        <w:ind w:left="20" w:right="100"/>
        <w:spacing w:after="0" w:line="235" w:lineRule="auto"/>
        <w:rPr>
          <w:sz w:val="20"/>
          <w:szCs w:val="20"/>
          <w:color w:val="auto"/>
        </w:rPr>
      </w:pPr>
      <w:r>
        <w:rPr>
          <w:rFonts w:ascii="Arial" w:cs="Arial" w:eastAsia="Arial" w:hAnsi="Arial"/>
          <w:sz w:val="17"/>
          <w:szCs w:val="17"/>
          <w:color w:val="auto"/>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w:t>
      </w:r>
    </w:p>
    <w:p>
      <w:pPr>
        <w:spacing w:after="0" w:line="170" w:lineRule="exact"/>
        <w:rPr>
          <w:sz w:val="20"/>
          <w:szCs w:val="20"/>
          <w:color w:val="auto"/>
        </w:rPr>
      </w:pPr>
    </w:p>
    <w:p>
      <w:pPr>
        <w:ind w:left="20" w:right="40"/>
        <w:spacing w:after="0" w:line="250" w:lineRule="auto"/>
        <w:rPr>
          <w:sz w:val="20"/>
          <w:szCs w:val="20"/>
          <w:color w:val="auto"/>
        </w:rPr>
      </w:pPr>
      <w:r>
        <w:rPr>
          <w:rFonts w:ascii="Arial" w:cs="Arial" w:eastAsia="Arial" w:hAnsi="Arial"/>
          <w:sz w:val="16"/>
          <w:szCs w:val="16"/>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spacing w:after="0" w:line="139" w:lineRule="exact"/>
        <w:rPr>
          <w:sz w:val="20"/>
          <w:szCs w:val="20"/>
          <w:color w:val="auto"/>
        </w:rPr>
      </w:pPr>
    </w:p>
    <w:p>
      <w:pPr>
        <w:ind w:left="20" w:right="260"/>
        <w:spacing w:after="0" w:line="246" w:lineRule="auto"/>
        <w:rPr>
          <w:sz w:val="20"/>
          <w:szCs w:val="20"/>
          <w:color w:val="auto"/>
        </w:rPr>
      </w:pPr>
      <w:r>
        <w:rPr>
          <w:rFonts w:ascii="Arial" w:cs="Arial" w:eastAsia="Arial" w:hAnsi="Arial"/>
          <w:sz w:val="17"/>
          <w:szCs w:val="17"/>
          <w:color w:val="auto"/>
        </w:rPr>
        <w:t>If a change in control had occurred on December 31, 2023, immediately followed by one of the covered circumstances described above, Mr. Gonzalez, Mr. Michael, Mr. Reents, Mr. Stewart, and Dr. Saleki-Gerhardt would have been entitled to receive the following payments and benefits under the change in control agreements:</w:t>
      </w:r>
    </w:p>
    <w:p>
      <w:pPr>
        <w:spacing w:after="0" w:line="150" w:lineRule="exact"/>
        <w:rPr>
          <w:sz w:val="20"/>
          <w:szCs w:val="20"/>
          <w:color w:val="auto"/>
        </w:rPr>
      </w:pPr>
    </w:p>
    <w:p>
      <w:pPr>
        <w:ind w:left="320" w:right="300" w:hanging="308"/>
        <w:spacing w:after="0" w:line="239" w:lineRule="auto"/>
        <w:tabs>
          <w:tab w:leader="none" w:pos="320" w:val="left"/>
        </w:tabs>
        <w:numPr>
          <w:ilvl w:val="0"/>
          <w:numId w:val="101"/>
        </w:numPr>
        <w:rPr>
          <w:rFonts w:ascii="Times New Roman" w:cs="Times New Roman" w:eastAsia="Times New Roman" w:hAnsi="Times New Roman"/>
          <w:sz w:val="17"/>
          <w:szCs w:val="17"/>
          <w:color w:val="071D49"/>
        </w:rPr>
      </w:pPr>
      <w:r>
        <w:rPr>
          <w:rFonts w:ascii="Arial" w:cs="Arial" w:eastAsia="Arial" w:hAnsi="Arial"/>
          <w:sz w:val="17"/>
          <w:szCs w:val="17"/>
          <w:color w:val="auto"/>
        </w:rPr>
        <w:t>Mr. Gonzalez: cash termination payments—$19,863,185; additional Supplemental Pension Plan benefits—$0; welfare and fringe benefits—$86,488.</w:t>
      </w:r>
    </w:p>
    <w:p>
      <w:pPr>
        <w:spacing w:after="0" w:line="1" w:lineRule="exact"/>
        <w:rPr>
          <w:rFonts w:ascii="Times New Roman" w:cs="Times New Roman" w:eastAsia="Times New Roman" w:hAnsi="Times New Roman"/>
          <w:sz w:val="17"/>
          <w:szCs w:val="17"/>
          <w:color w:val="071D49"/>
        </w:rPr>
      </w:pPr>
    </w:p>
    <w:p>
      <w:pPr>
        <w:ind w:left="320" w:right="380" w:hanging="308"/>
        <w:spacing w:after="0" w:line="229" w:lineRule="auto"/>
        <w:tabs>
          <w:tab w:leader="none" w:pos="320" w:val="left"/>
        </w:tabs>
        <w:numPr>
          <w:ilvl w:val="0"/>
          <w:numId w:val="101"/>
        </w:numPr>
        <w:rPr>
          <w:rFonts w:ascii="Times New Roman" w:cs="Times New Roman" w:eastAsia="Times New Roman" w:hAnsi="Times New Roman"/>
          <w:sz w:val="17"/>
          <w:szCs w:val="17"/>
          <w:color w:val="071D49"/>
        </w:rPr>
      </w:pPr>
      <w:r>
        <w:rPr>
          <w:rFonts w:ascii="Arial" w:cs="Arial" w:eastAsia="Arial" w:hAnsi="Arial"/>
          <w:sz w:val="17"/>
          <w:szCs w:val="17"/>
          <w:color w:val="auto"/>
        </w:rPr>
        <w:t>Mr. Michael: cash termination payments—$11,711,456; additional Supplemental Pension Plan benefits—$8,866,500; welfare and fringe benefits—$90,470.</w:t>
      </w:r>
    </w:p>
    <w:p>
      <w:pPr>
        <w:spacing w:after="0" w:line="1" w:lineRule="exact"/>
        <w:rPr>
          <w:rFonts w:ascii="Times New Roman" w:cs="Times New Roman" w:eastAsia="Times New Roman" w:hAnsi="Times New Roman"/>
          <w:sz w:val="17"/>
          <w:szCs w:val="17"/>
          <w:color w:val="071D49"/>
        </w:rPr>
      </w:pPr>
    </w:p>
    <w:p>
      <w:pPr>
        <w:ind w:left="320" w:right="500" w:hanging="308"/>
        <w:spacing w:after="0" w:line="229" w:lineRule="auto"/>
        <w:tabs>
          <w:tab w:leader="none" w:pos="320" w:val="left"/>
        </w:tabs>
        <w:numPr>
          <w:ilvl w:val="0"/>
          <w:numId w:val="101"/>
        </w:numPr>
        <w:rPr>
          <w:rFonts w:ascii="Times New Roman" w:cs="Times New Roman" w:eastAsia="Times New Roman" w:hAnsi="Times New Roman"/>
          <w:sz w:val="17"/>
          <w:szCs w:val="17"/>
          <w:color w:val="071D49"/>
        </w:rPr>
      </w:pPr>
      <w:r>
        <w:rPr>
          <w:rFonts w:ascii="Arial" w:cs="Arial" w:eastAsia="Arial" w:hAnsi="Arial"/>
          <w:sz w:val="17"/>
          <w:szCs w:val="17"/>
          <w:color w:val="auto"/>
        </w:rPr>
        <w:t>Mr. Reents: cash termination payments—$6,279,000; additional Supplemental Pension Plan benefits—$4,944,837; welfare and fringe benefits—$72,383.</w:t>
      </w:r>
    </w:p>
    <w:p>
      <w:pPr>
        <w:spacing w:after="0" w:line="1" w:lineRule="exact"/>
        <w:rPr>
          <w:rFonts w:ascii="Times New Roman" w:cs="Times New Roman" w:eastAsia="Times New Roman" w:hAnsi="Times New Roman"/>
          <w:sz w:val="17"/>
          <w:szCs w:val="17"/>
          <w:color w:val="071D49"/>
        </w:rPr>
      </w:pPr>
    </w:p>
    <w:p>
      <w:pPr>
        <w:ind w:left="320" w:right="460" w:hanging="308"/>
        <w:spacing w:after="0" w:line="229" w:lineRule="auto"/>
        <w:tabs>
          <w:tab w:leader="none" w:pos="320" w:val="left"/>
        </w:tabs>
        <w:numPr>
          <w:ilvl w:val="0"/>
          <w:numId w:val="101"/>
        </w:numPr>
        <w:rPr>
          <w:rFonts w:ascii="Times New Roman" w:cs="Times New Roman" w:eastAsia="Times New Roman" w:hAnsi="Times New Roman"/>
          <w:sz w:val="17"/>
          <w:szCs w:val="17"/>
          <w:color w:val="071D49"/>
        </w:rPr>
      </w:pPr>
      <w:r>
        <w:rPr>
          <w:rFonts w:ascii="Arial" w:cs="Arial" w:eastAsia="Arial" w:hAnsi="Arial"/>
          <w:sz w:val="17"/>
          <w:szCs w:val="17"/>
          <w:color w:val="auto"/>
        </w:rPr>
        <w:t>Mr. Stewart: cash termination payments—$9,073,861; additional Supplemental Pension Plan benefits—$5,397,426; welfare and fringe benefits—$89,522.</w:t>
      </w:r>
    </w:p>
    <w:p>
      <w:pPr>
        <w:spacing w:after="0" w:line="1" w:lineRule="exact"/>
        <w:rPr>
          <w:rFonts w:ascii="Times New Roman" w:cs="Times New Roman" w:eastAsia="Times New Roman" w:hAnsi="Times New Roman"/>
          <w:sz w:val="17"/>
          <w:szCs w:val="17"/>
          <w:color w:val="071D49"/>
        </w:rPr>
      </w:pPr>
    </w:p>
    <w:p>
      <w:pPr>
        <w:ind w:left="320" w:right="760" w:hanging="308"/>
        <w:spacing w:after="0" w:line="241" w:lineRule="auto"/>
        <w:tabs>
          <w:tab w:leader="none" w:pos="320" w:val="left"/>
        </w:tabs>
        <w:numPr>
          <w:ilvl w:val="0"/>
          <w:numId w:val="101"/>
        </w:numPr>
        <w:rPr>
          <w:rFonts w:ascii="Times New Roman" w:cs="Times New Roman" w:eastAsia="Times New Roman" w:hAnsi="Times New Roman"/>
          <w:sz w:val="17"/>
          <w:szCs w:val="17"/>
          <w:color w:val="071D49"/>
        </w:rPr>
      </w:pPr>
      <w:r>
        <w:rPr>
          <w:rFonts w:ascii="Arial" w:cs="Arial" w:eastAsia="Arial" w:hAnsi="Arial"/>
          <w:sz w:val="17"/>
          <w:szCs w:val="17"/>
          <w:color w:val="auto"/>
        </w:rPr>
        <w:t>Dr. Saleki-Gerhardt: cash termination payments—$7,623,982; additional Supplemental Pension Plan benefits— $1,609,949; welfare and fringe benefits—$68,685.</w:t>
      </w:r>
    </w:p>
    <w:p>
      <w:pPr>
        <w:spacing w:after="0" w:line="154" w:lineRule="exact"/>
        <w:rPr>
          <w:sz w:val="20"/>
          <w:szCs w:val="20"/>
          <w:color w:val="auto"/>
        </w:rPr>
      </w:pPr>
    </w:p>
    <w:p>
      <w:pPr>
        <w:ind w:left="20" w:right="40"/>
        <w:spacing w:after="0" w:line="246" w:lineRule="auto"/>
        <w:rPr>
          <w:sz w:val="20"/>
          <w:szCs w:val="20"/>
          <w:color w:val="auto"/>
        </w:rPr>
      </w:pPr>
      <w:r>
        <w:rPr>
          <w:rFonts w:ascii="Arial" w:cs="Arial" w:eastAsia="Arial" w:hAnsi="Arial"/>
          <w:sz w:val="17"/>
          <w:szCs w:val="17"/>
          <w:color w:val="auto"/>
        </w:rPr>
        <w:t>Because the termination date is assumed to occur at the end of the 2023 performance period, the cash termination payments include an amount reflecting the excess, if any, of (a) the bonus entitlement under the change in control agreements, which would be based on the higher of target performance and the average bonus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74" w:name="page75"/>
    <w:bookmarkEnd w:id="7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EXECUTIVE COMPENSATION</w:t>
      </w:r>
    </w:p>
    <w:p>
      <w:pPr>
        <w:spacing w:after="0" w:line="180" w:lineRule="exact"/>
        <w:rPr>
          <w:sz w:val="20"/>
          <w:szCs w:val="20"/>
          <w:color w:val="auto"/>
        </w:rPr>
      </w:pPr>
    </w:p>
    <w:p>
      <w:pPr>
        <w:ind w:left="8" w:right="460"/>
        <w:spacing w:after="0" w:line="261" w:lineRule="auto"/>
        <w:rPr>
          <w:sz w:val="20"/>
          <w:szCs w:val="20"/>
          <w:color w:val="auto"/>
        </w:rPr>
      </w:pPr>
      <w:r>
        <w:rPr>
          <w:rFonts w:ascii="Arial" w:cs="Arial" w:eastAsia="Arial" w:hAnsi="Arial"/>
          <w:sz w:val="17"/>
          <w:szCs w:val="17"/>
          <w:color w:val="auto"/>
        </w:rPr>
        <w:t>for the past three years, over (b) the actual bonus earned by the NEO for the 2023 performance period, as shown in the Summary Compensation Table in the column captioned “Non-Equity Incentive Plan Compensation.”</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EQUITY AWARDS</w:t>
      </w:r>
    </w:p>
    <w:p>
      <w:pPr>
        <w:spacing w:after="0" w:line="167" w:lineRule="exact"/>
        <w:rPr>
          <w:sz w:val="20"/>
          <w:szCs w:val="20"/>
          <w:color w:val="auto"/>
        </w:rPr>
      </w:pPr>
    </w:p>
    <w:p>
      <w:pPr>
        <w:ind w:left="8" w:right="480"/>
        <w:spacing w:after="0" w:line="261" w:lineRule="auto"/>
        <w:rPr>
          <w:sz w:val="20"/>
          <w:szCs w:val="20"/>
          <w:color w:val="auto"/>
        </w:rPr>
      </w:pPr>
      <w:r>
        <w:rPr>
          <w:rFonts w:ascii="Arial" w:cs="Arial" w:eastAsia="Arial" w:hAnsi="Arial"/>
          <w:sz w:val="17"/>
          <w:szCs w:val="17"/>
          <w:color w:val="auto"/>
        </w:rPr>
        <w:t>The AbbVie Amended and Restated 2013 Incentive Stock Program was approved by AbbVie’s stockholders and covers approximately 16,000 participants, including a broad group of management and professional staff.</w:t>
      </w:r>
    </w:p>
    <w:p>
      <w:pPr>
        <w:spacing w:after="0" w:line="150" w:lineRule="exact"/>
        <w:rPr>
          <w:sz w:val="20"/>
          <w:szCs w:val="20"/>
          <w:color w:val="auto"/>
        </w:rPr>
      </w:pPr>
    </w:p>
    <w:p>
      <w:pPr>
        <w:ind w:left="8" w:right="40"/>
        <w:spacing w:after="0" w:line="236" w:lineRule="auto"/>
        <w:rPr>
          <w:sz w:val="20"/>
          <w:szCs w:val="20"/>
          <w:color w:val="auto"/>
        </w:rPr>
      </w:pPr>
      <w:r>
        <w:rPr>
          <w:rFonts w:ascii="Arial" w:cs="Arial" w:eastAsia="Arial" w:hAnsi="Arial"/>
          <w:sz w:val="17"/>
          <w:szCs w:val="17"/>
          <w:color w:val="auto"/>
        </w:rPr>
        <w:t>The NEO award agreements under the AbbVie Amended and Restated 2013 Incentive Stock Program provide that the award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168" w:lineRule="exact"/>
        <w:rPr>
          <w:sz w:val="20"/>
          <w:szCs w:val="20"/>
          <w:color w:val="auto"/>
        </w:rPr>
      </w:pPr>
    </w:p>
    <w:p>
      <w:pPr>
        <w:ind w:left="8"/>
        <w:spacing w:after="0" w:line="268" w:lineRule="auto"/>
        <w:rPr>
          <w:sz w:val="20"/>
          <w:szCs w:val="20"/>
          <w:color w:val="auto"/>
        </w:rPr>
      </w:pPr>
      <w:r>
        <w:rPr>
          <w:rFonts w:ascii="Arial" w:cs="Arial" w:eastAsia="Arial" w:hAnsi="Arial"/>
          <w:sz w:val="16"/>
          <w:szCs w:val="16"/>
          <w:color w:val="auto"/>
        </w:rPr>
        <w:t>If a change in control had occurred on December 31, 2023 and the surviving company did not assume, convert or replace any of the awards, or the surviving company did so and the NEO’s employment had terminated without cause or they had resigned for good reason, as described above, then the unvested equity awards of the NEOs would have vested as follows:</w:t>
      </w:r>
    </w:p>
    <w:p>
      <w:pPr>
        <w:spacing w:after="0" w:line="147" w:lineRule="exact"/>
        <w:rPr>
          <w:sz w:val="20"/>
          <w:szCs w:val="20"/>
          <w:color w:val="auto"/>
        </w:rPr>
      </w:pPr>
    </w:p>
    <w:p>
      <w:pPr>
        <w:jc w:val="both"/>
        <w:ind w:left="308" w:right="260" w:hanging="308"/>
        <w:spacing w:after="0" w:line="236" w:lineRule="auto"/>
        <w:tabs>
          <w:tab w:leader="none" w:pos="308" w:val="left"/>
        </w:tabs>
        <w:numPr>
          <w:ilvl w:val="0"/>
          <w:numId w:val="102"/>
        </w:numPr>
        <w:rPr>
          <w:rFonts w:ascii="Times New Roman" w:cs="Times New Roman" w:eastAsia="Times New Roman" w:hAnsi="Times New Roman"/>
          <w:sz w:val="17"/>
          <w:szCs w:val="17"/>
          <w:color w:val="071D49"/>
        </w:rPr>
      </w:pPr>
      <w:r>
        <w:rPr>
          <w:rFonts w:ascii="Arial" w:cs="Arial" w:eastAsia="Arial" w:hAnsi="Arial"/>
          <w:sz w:val="17"/>
          <w:szCs w:val="17"/>
          <w:color w:val="auto"/>
        </w:rPr>
        <w:t>Mr. Gonzalez would have vested in (i) 284,047 unvested AbbVie stock options with a value of $4,858,201, (ii) 149,432 AbbVie restricted stock units with a value of $24,535,404, and (iii) 279,263 AbbVie performance shares with a value of $46,499,683.</w:t>
      </w:r>
    </w:p>
    <w:p>
      <w:pPr>
        <w:spacing w:after="0" w:line="1" w:lineRule="exact"/>
        <w:rPr>
          <w:rFonts w:ascii="Times New Roman" w:cs="Times New Roman" w:eastAsia="Times New Roman" w:hAnsi="Times New Roman"/>
          <w:sz w:val="17"/>
          <w:szCs w:val="17"/>
          <w:color w:val="071D49"/>
        </w:rPr>
      </w:pPr>
    </w:p>
    <w:p>
      <w:pPr>
        <w:jc w:val="both"/>
        <w:ind w:left="308" w:right="20" w:hanging="308"/>
        <w:spacing w:after="0" w:line="244" w:lineRule="auto"/>
        <w:tabs>
          <w:tab w:leader="none" w:pos="308" w:val="left"/>
        </w:tabs>
        <w:numPr>
          <w:ilvl w:val="0"/>
          <w:numId w:val="102"/>
        </w:numPr>
        <w:rPr>
          <w:rFonts w:ascii="Times New Roman" w:cs="Times New Roman" w:eastAsia="Times New Roman" w:hAnsi="Times New Roman"/>
          <w:sz w:val="16"/>
          <w:szCs w:val="16"/>
          <w:color w:val="071D49"/>
        </w:rPr>
      </w:pPr>
      <w:r>
        <w:rPr>
          <w:rFonts w:ascii="Arial" w:cs="Arial" w:eastAsia="Arial" w:hAnsi="Arial"/>
          <w:sz w:val="16"/>
          <w:szCs w:val="16"/>
          <w:color w:val="auto"/>
        </w:rPr>
        <w:t>Mr. Michael would have vested in (i) 99,423 unvested AbbVie stock options with a value of $1,645,011, (ii) 52,495 AbbVie restricted stock units with a value of $8,600,769, and (iii) 96,418 AbbVie performance shares with a value of $16,029,178.</w:t>
      </w:r>
    </w:p>
    <w:p>
      <w:pPr>
        <w:ind w:left="308" w:right="100" w:hanging="308"/>
        <w:spacing w:after="0" w:line="244" w:lineRule="auto"/>
        <w:tabs>
          <w:tab w:leader="none" w:pos="308" w:val="left"/>
        </w:tabs>
        <w:numPr>
          <w:ilvl w:val="0"/>
          <w:numId w:val="102"/>
        </w:numPr>
        <w:rPr>
          <w:rFonts w:ascii="Times New Roman" w:cs="Times New Roman" w:eastAsia="Times New Roman" w:hAnsi="Times New Roman"/>
          <w:sz w:val="16"/>
          <w:szCs w:val="16"/>
          <w:color w:val="071D49"/>
        </w:rPr>
      </w:pPr>
      <w:r>
        <w:rPr>
          <w:rFonts w:ascii="Arial" w:cs="Arial" w:eastAsia="Arial" w:hAnsi="Arial"/>
          <w:sz w:val="16"/>
          <w:szCs w:val="16"/>
          <w:color w:val="auto"/>
        </w:rPr>
        <w:t>Mr. Reents would have vested in (i) 46,523 unvested AbbVie stock options with a value of $513,593, (ii) 31,484 AbbVie restricted stock units with a value of $5,043,356, and (iii) 36,526 AbbVie performance shares with a value of $5,979,346.</w:t>
      </w:r>
    </w:p>
    <w:p>
      <w:pPr>
        <w:jc w:val="both"/>
        <w:ind w:left="308" w:right="20" w:hanging="308"/>
        <w:spacing w:after="0" w:line="244" w:lineRule="auto"/>
        <w:tabs>
          <w:tab w:leader="none" w:pos="308" w:val="left"/>
        </w:tabs>
        <w:numPr>
          <w:ilvl w:val="0"/>
          <w:numId w:val="102"/>
        </w:numPr>
        <w:rPr>
          <w:rFonts w:ascii="Times New Roman" w:cs="Times New Roman" w:eastAsia="Times New Roman" w:hAnsi="Times New Roman"/>
          <w:sz w:val="16"/>
          <w:szCs w:val="16"/>
          <w:color w:val="071D49"/>
        </w:rPr>
      </w:pPr>
      <w:r>
        <w:rPr>
          <w:rFonts w:ascii="Arial" w:cs="Arial" w:eastAsia="Arial" w:hAnsi="Arial"/>
          <w:sz w:val="16"/>
          <w:szCs w:val="16"/>
          <w:color w:val="auto"/>
        </w:rPr>
        <w:t>Mr. Stewart would have vested in (i) 74,413 unvested AbbVie stock options with a value of $1,157,445, (ii) 52,942 AbbVie restricted stock units with a value of $8,542,284, and (iii) 69,182 AbbVie performance shares with a value of $11,479,726.</w:t>
      </w:r>
    </w:p>
    <w:p>
      <w:pPr>
        <w:ind w:left="308" w:right="40" w:hanging="308"/>
        <w:spacing w:after="0" w:line="237" w:lineRule="auto"/>
        <w:tabs>
          <w:tab w:leader="none" w:pos="308" w:val="left"/>
        </w:tabs>
        <w:numPr>
          <w:ilvl w:val="0"/>
          <w:numId w:val="102"/>
        </w:numPr>
        <w:rPr>
          <w:rFonts w:ascii="Times New Roman" w:cs="Times New Roman" w:eastAsia="Times New Roman" w:hAnsi="Times New Roman"/>
          <w:sz w:val="17"/>
          <w:szCs w:val="17"/>
          <w:color w:val="071D49"/>
        </w:rPr>
      </w:pPr>
      <w:r>
        <w:rPr>
          <w:rFonts w:ascii="Arial" w:cs="Arial" w:eastAsia="Arial" w:hAnsi="Arial"/>
          <w:sz w:val="17"/>
          <w:szCs w:val="17"/>
          <w:color w:val="auto"/>
        </w:rPr>
        <w:t>Dr. Saleki-Gerhardt would have vested in (i) 60,385 unvested AbbVie stock options with a value of $1,056,886, (ii) 45,583 AbbVie restricted stock units with a value of $7,362,463, and (iii) 60,119 AbbVie performance shares with a value of $10,019,440.</w:t>
      </w:r>
    </w:p>
    <w:p>
      <w:pPr>
        <w:spacing w:after="0" w:line="155" w:lineRule="exact"/>
        <w:rPr>
          <w:sz w:val="20"/>
          <w:szCs w:val="20"/>
          <w:color w:val="auto"/>
        </w:rPr>
      </w:pPr>
    </w:p>
    <w:p>
      <w:pPr>
        <w:ind w:left="8" w:right="20"/>
        <w:spacing w:after="0" w:line="236" w:lineRule="auto"/>
        <w:rPr>
          <w:sz w:val="20"/>
          <w:szCs w:val="20"/>
          <w:color w:val="auto"/>
        </w:rPr>
      </w:pPr>
      <w:r>
        <w:rPr>
          <w:rFonts w:ascii="Arial" w:cs="Arial" w:eastAsia="Arial" w:hAnsi="Arial"/>
          <w:sz w:val="17"/>
          <w:szCs w:val="17"/>
          <w:color w:val="auto"/>
        </w:rPr>
        <w:t>The value of stock options shown is based on the excess of the closing price of one share of common stock on December 29, 2023 over the exercise price of such options, multiplied by the number of unvested stock options held by the NEO. The value of restricted stock units and performance shares shown is determined by multiplying the number of units or shares (at target level for performance-based awards) that would vest as of December 31, 2023 in accordance with the applicable equity award agreement terms and the closing price of one share of common stock on December 29, 2023. The value of restricted stock units and performance shares also includes the value of accrued dividends as of December 31, 2023, which would be paid at vesting.</w:t>
      </w:r>
    </w:p>
    <w:p>
      <w:pPr>
        <w:spacing w:after="0" w:line="360"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72</w:t>
      </w:r>
      <w:r>
        <w:rPr>
          <w:sz w:val="20"/>
          <w:szCs w:val="20"/>
          <w:color w:val="auto"/>
        </w:rPr>
        <w:tab/>
      </w:r>
      <w:r>
        <w:rPr>
          <w:sz w:val="1"/>
          <w:szCs w:val="1"/>
          <w:color w:val="auto"/>
        </w:rPr>
        <w:drawing>
          <wp:inline distT="0" distB="0" distL="0" distR="0">
            <wp:extent cx="810260" cy="1511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486" w:right="1319" w:bottom="1440" w:gutter="0" w:footer="0" w:header="0"/>
        </w:sectPr>
      </w:pPr>
    </w:p>
    <w:bookmarkStart w:id="75" w:name="page76"/>
    <w:bookmarkEnd w:id="7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right="80"/>
        <w:spacing w:after="0" w:line="284" w:lineRule="auto"/>
        <w:rPr>
          <w:sz w:val="20"/>
          <w:szCs w:val="20"/>
          <w:color w:val="auto"/>
        </w:rPr>
      </w:pPr>
      <w:r>
        <w:rPr>
          <w:rFonts w:ascii="Arial" w:cs="Arial" w:eastAsia="Arial" w:hAnsi="Arial"/>
          <w:sz w:val="33"/>
          <w:szCs w:val="33"/>
          <w:color w:val="071D49"/>
        </w:rPr>
        <w:t xml:space="preserve">RATIFICATION OF ERNST &amp; YOUNG LLP AS ABBVIE’S </w:t>
      </w:r>
      <w:r>
        <w:rPr>
          <w:rFonts w:ascii="Arial" w:cs="Arial" w:eastAsia="Arial" w:hAnsi="Arial"/>
          <w:sz w:val="33"/>
          <w:szCs w:val="33"/>
          <w:u w:val="single" w:color="auto"/>
          <w:color w:val="071D49"/>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5895340" cy="1151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95340" cy="115189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line="275"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i w:val="1"/>
          <w:iCs w:val="1"/>
          <w:color w:val="auto"/>
        </w:rPr>
        <w:t>You are being asked to ratify the appointment of Ernst &amp; Young LLP to perform independent audit services for the fiscal year ending December 31, 2024. Ernst &amp; Young LLP has served as our independent auditor since 2013. The board and the audit committee believe it is in the best interests of the company and its stockholders to retain Ernst &amp; Young LLP as the company’s independent auditor.</w:t>
      </w:r>
    </w:p>
    <w:p>
      <w:pPr>
        <w:spacing w:after="0" w:line="67" w:lineRule="exact"/>
        <w:rPr>
          <w:sz w:val="20"/>
          <w:szCs w:val="20"/>
          <w:color w:val="auto"/>
        </w:rPr>
      </w:pPr>
    </w:p>
    <w:p>
      <w:pPr>
        <w:ind w:right="680"/>
        <w:spacing w:after="0" w:line="250" w:lineRule="auto"/>
        <w:rPr>
          <w:sz w:val="20"/>
          <w:szCs w:val="20"/>
          <w:color w:val="auto"/>
        </w:rPr>
      </w:pPr>
      <w:r>
        <w:rPr>
          <w:rFonts w:ascii="Arial" w:cs="Arial" w:eastAsia="Arial" w:hAnsi="Arial"/>
          <w:sz w:val="17"/>
          <w:szCs w:val="17"/>
          <w:b w:val="1"/>
          <w:bCs w:val="1"/>
          <w:i w:val="1"/>
          <w:iCs w:val="1"/>
          <w:color w:val="auto"/>
        </w:rPr>
        <w:t xml:space="preserve">The board of directors therefore recommends you vote </w:t>
      </w:r>
      <w:r>
        <w:rPr>
          <w:rFonts w:ascii="Arial" w:cs="Arial" w:eastAsia="Arial" w:hAnsi="Arial"/>
          <w:sz w:val="17"/>
          <w:szCs w:val="17"/>
          <w:b w:val="1"/>
          <w:bCs w:val="1"/>
          <w:color w:val="auto"/>
        </w:rPr>
        <w:t>“FOR”</w:t>
      </w:r>
      <w:r>
        <w:rPr>
          <w:rFonts w:ascii="Arial" w:cs="Arial" w:eastAsia="Arial" w:hAnsi="Arial"/>
          <w:sz w:val="17"/>
          <w:szCs w:val="17"/>
          <w:b w:val="1"/>
          <w:bCs w:val="1"/>
          <w:i w:val="1"/>
          <w:iCs w:val="1"/>
          <w:color w:val="auto"/>
        </w:rPr>
        <w:t xml:space="preserve"> ratification of the appointment of Ernst &amp; Young LLP as AbbVie’s independent registered public accounting firm for 2024.</w:t>
      </w:r>
    </w:p>
    <w:p>
      <w:pPr>
        <w:spacing w:after="0" w:line="200" w:lineRule="exact"/>
        <w:rPr>
          <w:sz w:val="20"/>
          <w:szCs w:val="20"/>
          <w:color w:val="auto"/>
        </w:rPr>
      </w:pPr>
    </w:p>
    <w:p>
      <w:pPr>
        <w:sectPr>
          <w:pgSz w:w="11900" w:h="16838" w:orient="portrait"/>
          <w:cols w:equalWidth="0" w:num="2">
            <w:col w:w="2020" w:space="260"/>
            <w:col w:w="7000"/>
          </w:cols>
          <w:pgMar w:left="1300" w:top="486" w:right="1319" w:bottom="1440" w:gutter="0" w:footer="0" w:header="0"/>
          <w:type w:val="continuous"/>
        </w:sectPr>
      </w:pPr>
    </w:p>
    <w:p>
      <w:pPr>
        <w:spacing w:after="0" w:line="65"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The audit committee of the board of directors is directly responsible for the appointment, fees, retention and oversight of the independent registered public accounting firm retained to audit the company’s financial statements. On October 11, 2023, the audit committee appointed Ernst &amp; Young LLP (the independent auditor) to perform independent audit services for the fiscal year ending December 31, 2024. Ernst &amp; Young LLP has served as our independent auditor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auditor.</w:t>
      </w:r>
    </w:p>
    <w:p>
      <w:pPr>
        <w:spacing w:after="0" w:line="168" w:lineRule="exact"/>
        <w:rPr>
          <w:sz w:val="20"/>
          <w:szCs w:val="20"/>
          <w:color w:val="auto"/>
        </w:rPr>
      </w:pPr>
    </w:p>
    <w:p>
      <w:pPr>
        <w:ind w:left="20" w:right="60"/>
        <w:spacing w:after="0" w:line="237" w:lineRule="auto"/>
        <w:rPr>
          <w:sz w:val="20"/>
          <w:szCs w:val="20"/>
          <w:color w:val="auto"/>
        </w:rPr>
      </w:pPr>
      <w:r>
        <w:rPr>
          <w:rFonts w:ascii="Arial" w:cs="Arial" w:eastAsia="Arial" w:hAnsi="Arial"/>
          <w:sz w:val="17"/>
          <w:szCs w:val="17"/>
          <w:color w:val="auto"/>
        </w:rPr>
        <w:t>Although the audit committee has sole authority to appoint the independent auditor, it would like to know the opinion of the stockholders regarding its appointment of Ernst &amp; Young LLP for 2024. For this reason, stockholders are being asked to ratify this appointment. If the stockholders do not ratify the appointment of Ernst &amp; Young LLP for 2024, the audit committee will take that fact into consideration, but may, nevertheless, continue to retain Ernst &amp; Young LLP. The audit committee and the board believe that the continued retention of Ernst &amp; Young LLP to serve as the company’s independent auditor is in the best interests of the company and its stockholders.</w:t>
      </w:r>
    </w:p>
    <w:p>
      <w:pPr>
        <w:spacing w:after="0" w:line="168" w:lineRule="exact"/>
        <w:rPr>
          <w:sz w:val="20"/>
          <w:szCs w:val="20"/>
          <w:color w:val="auto"/>
        </w:rPr>
      </w:pPr>
    </w:p>
    <w:p>
      <w:pPr>
        <w:ind w:left="20" w:right="40"/>
        <w:spacing w:after="0" w:line="261" w:lineRule="auto"/>
        <w:rPr>
          <w:sz w:val="20"/>
          <w:szCs w:val="20"/>
          <w:color w:val="auto"/>
        </w:rPr>
      </w:pPr>
      <w:r>
        <w:rPr>
          <w:rFonts w:ascii="Arial" w:cs="Arial" w:eastAsia="Arial" w:hAnsi="Arial"/>
          <w:sz w:val="17"/>
          <w:szCs w:val="17"/>
          <w:color w:val="auto"/>
        </w:rPr>
        <w:t>Representatives of Ernst &amp; Young LLP are expected to attend the Annual Meeting and will be given the opportunity to make a statement if they desire to do so. They will also be available to respond to appropriate questions.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type w:val="continuous"/>
        </w:sectPr>
      </w:pPr>
    </w:p>
    <w:bookmarkStart w:id="76" w:name="page77"/>
    <w:bookmarkEnd w:id="76"/>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AUDIT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8708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71D49"/>
        </w:rPr>
        <w:t>Audit Fees and Non-Audit Fees</w:t>
      </w:r>
    </w:p>
    <w:p>
      <w:pPr>
        <w:spacing w:after="0" w:line="205" w:lineRule="exact"/>
        <w:rPr>
          <w:sz w:val="20"/>
          <w:szCs w:val="20"/>
          <w:color w:val="auto"/>
        </w:rPr>
      </w:pPr>
    </w:p>
    <w:p>
      <w:pPr>
        <w:ind w:left="20"/>
        <w:spacing w:after="0" w:line="246" w:lineRule="auto"/>
        <w:rPr>
          <w:sz w:val="20"/>
          <w:szCs w:val="20"/>
          <w:color w:val="auto"/>
        </w:rPr>
      </w:pPr>
      <w:r>
        <w:rPr>
          <w:rFonts w:ascii="Arial" w:cs="Arial" w:eastAsia="Arial" w:hAnsi="Arial"/>
          <w:sz w:val="17"/>
          <w:szCs w:val="17"/>
          <w:color w:val="auto"/>
        </w:rPr>
        <w:t>The following table presents fees for professional audit services rendered to AbbVie by Ernst &amp; Young LLP for the years ended December 31, 2023 and December 31, 2022, and fees for other services rendered to AbbVie by Ernst &amp; Young LLP for those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3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3"/>
                <w:szCs w:val="13"/>
                <w:b w:val="1"/>
                <w:bCs w:val="1"/>
                <w:color w:val="071D49"/>
              </w:rPr>
              <w:t>2023</w:t>
            </w:r>
          </w:p>
        </w:tc>
        <w:tc>
          <w:tcPr>
            <w:tcW w:w="3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071D49"/>
              </w:rPr>
              <w:t>2022</w:t>
            </w:r>
          </w:p>
        </w:tc>
      </w:tr>
      <w:tr>
        <w:trPr>
          <w:trHeight w:val="160"/>
        </w:trPr>
        <w:tc>
          <w:tcPr>
            <w:tcW w:w="2320" w:type="dxa"/>
            <w:vAlign w:val="bottom"/>
            <w:tcBorders>
              <w:bottom w:val="single" w:sz="8" w:color="071D49"/>
            </w:tcBorders>
          </w:tcPr>
          <w:p>
            <w:pPr>
              <w:spacing w:after="0"/>
              <w:rPr>
                <w:sz w:val="13"/>
                <w:szCs w:val="13"/>
                <w:color w:val="auto"/>
              </w:rPr>
            </w:pPr>
          </w:p>
        </w:tc>
        <w:tc>
          <w:tcPr>
            <w:tcW w:w="4920" w:type="dxa"/>
            <w:vAlign w:val="bottom"/>
            <w:tcBorders>
              <w:bottom w:val="single" w:sz="8" w:color="071D49"/>
            </w:tcBorders>
          </w:tcPr>
          <w:p>
            <w:pPr>
              <w:spacing w:after="0"/>
              <w:rPr>
                <w:sz w:val="13"/>
                <w:szCs w:val="13"/>
                <w:color w:val="auto"/>
              </w:rPr>
            </w:pPr>
          </w:p>
        </w:tc>
        <w:tc>
          <w:tcPr>
            <w:tcW w:w="880" w:type="dxa"/>
            <w:vAlign w:val="bottom"/>
            <w:tcBorders>
              <w:bottom w:val="single" w:sz="8" w:color="071D49"/>
            </w:tcBorders>
          </w:tcPr>
          <w:p>
            <w:pPr>
              <w:jc w:val="right"/>
              <w:ind w:right="81"/>
              <w:spacing w:after="0"/>
              <w:rPr>
                <w:sz w:val="20"/>
                <w:szCs w:val="20"/>
                <w:color w:val="auto"/>
              </w:rPr>
            </w:pPr>
            <w:r>
              <w:rPr>
                <w:rFonts w:ascii="Arial" w:cs="Arial" w:eastAsia="Arial" w:hAnsi="Arial"/>
                <w:sz w:val="13"/>
                <w:szCs w:val="13"/>
                <w:b w:val="1"/>
                <w:bCs w:val="1"/>
                <w:color w:val="071D49"/>
              </w:rPr>
              <w:t>(millions)</w:t>
            </w:r>
          </w:p>
        </w:tc>
        <w:tc>
          <w:tcPr>
            <w:tcW w:w="360" w:type="dxa"/>
            <w:vAlign w:val="bottom"/>
            <w:tcBorders>
              <w:bottom w:val="single" w:sz="8" w:color="071D49"/>
            </w:tcBorders>
          </w:tcPr>
          <w:p>
            <w:pPr>
              <w:spacing w:after="0"/>
              <w:rPr>
                <w:sz w:val="13"/>
                <w:szCs w:val="13"/>
                <w:color w:val="auto"/>
              </w:rPr>
            </w:pPr>
          </w:p>
        </w:tc>
        <w:tc>
          <w:tcPr>
            <w:tcW w:w="780" w:type="dxa"/>
            <w:vAlign w:val="bottom"/>
            <w:tcBorders>
              <w:bottom w:val="single" w:sz="8" w:color="071D49"/>
            </w:tcBorders>
          </w:tcPr>
          <w:p>
            <w:pPr>
              <w:jc w:val="right"/>
              <w:spacing w:after="0"/>
              <w:rPr>
                <w:sz w:val="20"/>
                <w:szCs w:val="20"/>
                <w:color w:val="auto"/>
              </w:rPr>
            </w:pPr>
            <w:r>
              <w:rPr>
                <w:rFonts w:ascii="Arial" w:cs="Arial" w:eastAsia="Arial" w:hAnsi="Arial"/>
                <w:sz w:val="13"/>
                <w:szCs w:val="13"/>
                <w:b w:val="1"/>
                <w:bCs w:val="1"/>
                <w:color w:val="071D49"/>
              </w:rPr>
              <w:t>(millions)</w:t>
            </w:r>
          </w:p>
        </w:tc>
      </w:tr>
      <w:tr>
        <w:trPr>
          <w:trHeight w:val="180"/>
        </w:trPr>
        <w:tc>
          <w:tcPr>
            <w:tcW w:w="2320" w:type="dxa"/>
            <w:vAlign w:val="bottom"/>
            <w:shd w:val="clear" w:color="auto" w:fill="D9D9D9"/>
          </w:tcPr>
          <w:p>
            <w:pPr>
              <w:ind w:left="20"/>
              <w:spacing w:after="0" w:line="181" w:lineRule="exact"/>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4920" w:type="dxa"/>
            <w:vAlign w:val="bottom"/>
            <w:shd w:val="clear" w:color="auto" w:fill="D9D9D9"/>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880" w:type="dxa"/>
            <w:vAlign w:val="bottom"/>
            <w:shd w:val="clear" w:color="auto" w:fill="D9D9D9"/>
          </w:tcPr>
          <w:p>
            <w:pPr>
              <w:jc w:val="right"/>
              <w:ind w:right="21"/>
              <w:spacing w:after="0" w:line="180" w:lineRule="exact"/>
              <w:rPr>
                <w:sz w:val="20"/>
                <w:szCs w:val="20"/>
                <w:color w:val="auto"/>
              </w:rPr>
            </w:pPr>
            <w:r>
              <w:rPr>
                <w:rFonts w:ascii="Arial" w:cs="Arial" w:eastAsia="Arial" w:hAnsi="Arial"/>
                <w:sz w:val="17"/>
                <w:szCs w:val="17"/>
                <w:color w:val="auto"/>
              </w:rPr>
              <w:t>19.7</w:t>
            </w:r>
          </w:p>
        </w:tc>
        <w:tc>
          <w:tcPr>
            <w:tcW w:w="360" w:type="dxa"/>
            <w:vAlign w:val="bottom"/>
            <w:shd w:val="clear" w:color="auto" w:fill="D9D9D9"/>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780" w:type="dxa"/>
            <w:vAlign w:val="bottom"/>
            <w:shd w:val="clear" w:color="auto" w:fill="D9D9D9"/>
          </w:tcPr>
          <w:p>
            <w:pPr>
              <w:jc w:val="right"/>
              <w:spacing w:after="0" w:line="180" w:lineRule="exact"/>
              <w:rPr>
                <w:sz w:val="20"/>
                <w:szCs w:val="20"/>
                <w:color w:val="auto"/>
              </w:rPr>
            </w:pPr>
            <w:r>
              <w:rPr>
                <w:rFonts w:ascii="Arial" w:cs="Arial" w:eastAsia="Arial" w:hAnsi="Arial"/>
                <w:sz w:val="17"/>
                <w:szCs w:val="17"/>
                <w:color w:val="auto"/>
              </w:rPr>
              <w:t>20.3</w:t>
            </w:r>
          </w:p>
        </w:tc>
      </w:tr>
      <w:tr>
        <w:trPr>
          <w:trHeight w:val="188"/>
        </w:trPr>
        <w:tc>
          <w:tcPr>
            <w:tcW w:w="2320" w:type="dxa"/>
            <w:vAlign w:val="bottom"/>
          </w:tcPr>
          <w:p>
            <w:pPr>
              <w:ind w:left="20"/>
              <w:spacing w:after="0" w:line="188" w:lineRule="exact"/>
              <w:rPr>
                <w:sz w:val="20"/>
                <w:szCs w:val="20"/>
                <w:color w:val="auto"/>
              </w:rPr>
            </w:pPr>
            <w:r>
              <w:rPr>
                <w:rFonts w:ascii="Arial" w:cs="Arial" w:eastAsia="Arial" w:hAnsi="Arial"/>
                <w:sz w:val="14"/>
                <w:szCs w:val="14"/>
                <w:color w:val="auto"/>
              </w:rPr>
              <w:t>Audit related fees:</w:t>
            </w:r>
            <w:r>
              <w:rPr>
                <w:rFonts w:ascii="Arial" w:cs="Arial" w:eastAsia="Arial" w:hAnsi="Arial"/>
                <w:sz w:val="21"/>
                <w:szCs w:val="21"/>
                <w:color w:val="auto"/>
                <w:vertAlign w:val="superscript"/>
              </w:rPr>
              <w:t>(2)</w:t>
            </w:r>
          </w:p>
        </w:tc>
        <w:tc>
          <w:tcPr>
            <w:tcW w:w="4920" w:type="dxa"/>
            <w:vAlign w:val="bottom"/>
          </w:tcPr>
          <w:p>
            <w:pPr>
              <w:spacing w:after="0"/>
              <w:rPr>
                <w:sz w:val="16"/>
                <w:szCs w:val="16"/>
                <w:color w:val="auto"/>
              </w:rPr>
            </w:pPr>
          </w:p>
        </w:tc>
        <w:tc>
          <w:tcPr>
            <w:tcW w:w="880" w:type="dxa"/>
            <w:vAlign w:val="bottom"/>
          </w:tcPr>
          <w:p>
            <w:pPr>
              <w:jc w:val="right"/>
              <w:ind w:right="21"/>
              <w:spacing w:after="0" w:line="188" w:lineRule="exact"/>
              <w:rPr>
                <w:sz w:val="20"/>
                <w:szCs w:val="20"/>
                <w:color w:val="auto"/>
              </w:rPr>
            </w:pPr>
            <w:r>
              <w:rPr>
                <w:rFonts w:ascii="Arial" w:cs="Arial" w:eastAsia="Arial" w:hAnsi="Arial"/>
                <w:sz w:val="17"/>
                <w:szCs w:val="17"/>
                <w:color w:val="auto"/>
              </w:rPr>
              <w:t>0.5</w:t>
            </w: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7"/>
                <w:szCs w:val="17"/>
                <w:color w:val="auto"/>
              </w:rPr>
              <w:t>0.5</w:t>
            </w:r>
          </w:p>
        </w:tc>
      </w:tr>
      <w:tr>
        <w:trPr>
          <w:trHeight w:val="188"/>
        </w:trPr>
        <w:tc>
          <w:tcPr>
            <w:tcW w:w="2320" w:type="dxa"/>
            <w:vAlign w:val="bottom"/>
            <w:shd w:val="clear" w:color="auto" w:fill="D9D9D9"/>
          </w:tcPr>
          <w:p>
            <w:pPr>
              <w:ind w:left="20"/>
              <w:spacing w:after="0" w:line="188" w:lineRule="exact"/>
              <w:rPr>
                <w:sz w:val="20"/>
                <w:szCs w:val="20"/>
                <w:color w:val="auto"/>
              </w:rPr>
            </w:pPr>
            <w:r>
              <w:rPr>
                <w:rFonts w:ascii="Arial" w:cs="Arial" w:eastAsia="Arial" w:hAnsi="Arial"/>
                <w:sz w:val="14"/>
                <w:szCs w:val="14"/>
                <w:color w:val="auto"/>
              </w:rPr>
              <w:t>Tax fees:</w:t>
            </w:r>
            <w:r>
              <w:rPr>
                <w:rFonts w:ascii="Arial" w:cs="Arial" w:eastAsia="Arial" w:hAnsi="Arial"/>
                <w:sz w:val="21"/>
                <w:szCs w:val="21"/>
                <w:color w:val="auto"/>
                <w:vertAlign w:val="superscript"/>
              </w:rPr>
              <w:t>(3)</w:t>
            </w:r>
          </w:p>
        </w:tc>
        <w:tc>
          <w:tcPr>
            <w:tcW w:w="4920" w:type="dxa"/>
            <w:vAlign w:val="bottom"/>
            <w:shd w:val="clear" w:color="auto" w:fill="D9D9D9"/>
          </w:tcPr>
          <w:p>
            <w:pPr>
              <w:spacing w:after="0"/>
              <w:rPr>
                <w:sz w:val="16"/>
                <w:szCs w:val="16"/>
                <w:color w:val="auto"/>
              </w:rPr>
            </w:pPr>
          </w:p>
        </w:tc>
        <w:tc>
          <w:tcPr>
            <w:tcW w:w="880" w:type="dxa"/>
            <w:vAlign w:val="bottom"/>
            <w:shd w:val="clear" w:color="auto" w:fill="D9D9D9"/>
          </w:tcPr>
          <w:p>
            <w:pPr>
              <w:jc w:val="right"/>
              <w:ind w:right="21"/>
              <w:spacing w:after="0" w:line="188" w:lineRule="exact"/>
              <w:rPr>
                <w:sz w:val="20"/>
                <w:szCs w:val="20"/>
                <w:color w:val="auto"/>
              </w:rPr>
            </w:pPr>
            <w:r>
              <w:rPr>
                <w:rFonts w:ascii="Arial" w:cs="Arial" w:eastAsia="Arial" w:hAnsi="Arial"/>
                <w:sz w:val="17"/>
                <w:szCs w:val="17"/>
                <w:color w:val="auto"/>
              </w:rPr>
              <w:t>3.4</w:t>
            </w:r>
          </w:p>
        </w:tc>
        <w:tc>
          <w:tcPr>
            <w:tcW w:w="360" w:type="dxa"/>
            <w:vAlign w:val="bottom"/>
            <w:shd w:val="clear" w:color="auto" w:fill="D9D9D9"/>
          </w:tcPr>
          <w:p>
            <w:pPr>
              <w:spacing w:after="0"/>
              <w:rPr>
                <w:sz w:val="16"/>
                <w:szCs w:val="16"/>
                <w:color w:val="auto"/>
              </w:rPr>
            </w:pPr>
          </w:p>
        </w:tc>
        <w:tc>
          <w:tcPr>
            <w:tcW w:w="7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5.2</w:t>
            </w:r>
          </w:p>
        </w:tc>
      </w:tr>
      <w:tr>
        <w:trPr>
          <w:trHeight w:val="188"/>
        </w:trPr>
        <w:tc>
          <w:tcPr>
            <w:tcW w:w="2320" w:type="dxa"/>
            <w:vAlign w:val="bottom"/>
          </w:tcPr>
          <w:p>
            <w:pPr>
              <w:ind w:left="20"/>
              <w:spacing w:after="0" w:line="188" w:lineRule="exact"/>
              <w:rPr>
                <w:sz w:val="20"/>
                <w:szCs w:val="20"/>
                <w:color w:val="auto"/>
              </w:rPr>
            </w:pPr>
            <w:r>
              <w:rPr>
                <w:rFonts w:ascii="Arial" w:cs="Arial" w:eastAsia="Arial" w:hAnsi="Arial"/>
                <w:sz w:val="14"/>
                <w:szCs w:val="14"/>
                <w:color w:val="auto"/>
              </w:rPr>
              <w:t>Other fees:</w:t>
            </w:r>
            <w:r>
              <w:rPr>
                <w:rFonts w:ascii="Arial" w:cs="Arial" w:eastAsia="Arial" w:hAnsi="Arial"/>
                <w:sz w:val="21"/>
                <w:szCs w:val="21"/>
                <w:color w:val="auto"/>
                <w:vertAlign w:val="superscript"/>
              </w:rPr>
              <w:t>(4)</w:t>
            </w:r>
          </w:p>
        </w:tc>
        <w:tc>
          <w:tcPr>
            <w:tcW w:w="4920" w:type="dxa"/>
            <w:vAlign w:val="bottom"/>
          </w:tcPr>
          <w:p>
            <w:pPr>
              <w:spacing w:after="0"/>
              <w:rPr>
                <w:sz w:val="16"/>
                <w:szCs w:val="16"/>
                <w:color w:val="auto"/>
              </w:rPr>
            </w:pPr>
          </w:p>
        </w:tc>
        <w:tc>
          <w:tcPr>
            <w:tcW w:w="880" w:type="dxa"/>
            <w:vAlign w:val="bottom"/>
          </w:tcPr>
          <w:p>
            <w:pPr>
              <w:jc w:val="right"/>
              <w:ind w:right="21"/>
              <w:spacing w:after="0" w:line="188" w:lineRule="exact"/>
              <w:rPr>
                <w:sz w:val="20"/>
                <w:szCs w:val="20"/>
                <w:color w:val="auto"/>
              </w:rPr>
            </w:pPr>
            <w:r>
              <w:rPr>
                <w:rFonts w:ascii="Arial" w:cs="Arial" w:eastAsia="Arial" w:hAnsi="Arial"/>
                <w:sz w:val="17"/>
                <w:szCs w:val="17"/>
                <w:color w:val="auto"/>
              </w:rPr>
              <w:t>0.4</w:t>
            </w:r>
          </w:p>
        </w:tc>
        <w:tc>
          <w:tcPr>
            <w:tcW w:w="360" w:type="dxa"/>
            <w:vAlign w:val="bottom"/>
          </w:tcPr>
          <w:p>
            <w:pPr>
              <w:spacing w:after="0"/>
              <w:rPr>
                <w:sz w:val="16"/>
                <w:szCs w:val="16"/>
                <w:color w:val="auto"/>
              </w:rPr>
            </w:pPr>
          </w:p>
        </w:tc>
        <w:tc>
          <w:tcPr>
            <w:tcW w:w="780" w:type="dxa"/>
            <w:vAlign w:val="bottom"/>
          </w:tcPr>
          <w:p>
            <w:pPr>
              <w:jc w:val="right"/>
              <w:spacing w:after="0" w:line="188" w:lineRule="exact"/>
              <w:rPr>
                <w:sz w:val="20"/>
                <w:szCs w:val="20"/>
                <w:color w:val="auto"/>
              </w:rPr>
            </w:pPr>
            <w:r>
              <w:rPr>
                <w:rFonts w:ascii="Arial" w:cs="Arial" w:eastAsia="Arial" w:hAnsi="Arial"/>
                <w:sz w:val="17"/>
                <w:szCs w:val="17"/>
                <w:color w:val="auto"/>
              </w:rPr>
              <w:t>0.6</w:t>
            </w:r>
          </w:p>
        </w:tc>
      </w:tr>
      <w:tr>
        <w:trPr>
          <w:trHeight w:val="188"/>
        </w:trPr>
        <w:tc>
          <w:tcPr>
            <w:tcW w:w="2320" w:type="dxa"/>
            <w:vAlign w:val="bottom"/>
            <w:shd w:val="clear" w:color="auto" w:fill="D9D9D9"/>
          </w:tcPr>
          <w:p>
            <w:pPr>
              <w:ind w:left="20"/>
              <w:spacing w:after="0" w:line="188" w:lineRule="exact"/>
              <w:rPr>
                <w:sz w:val="20"/>
                <w:szCs w:val="20"/>
                <w:color w:val="auto"/>
              </w:rPr>
            </w:pPr>
            <w:r>
              <w:rPr>
                <w:rFonts w:ascii="Arial" w:cs="Arial" w:eastAsia="Arial" w:hAnsi="Arial"/>
                <w:sz w:val="17"/>
                <w:szCs w:val="17"/>
                <w:color w:val="auto"/>
              </w:rPr>
              <w:t>Total</w:t>
            </w:r>
          </w:p>
        </w:tc>
        <w:tc>
          <w:tcPr>
            <w:tcW w:w="4920" w:type="dxa"/>
            <w:vAlign w:val="bottom"/>
            <w:shd w:val="clear" w:color="auto" w:fill="D9D9D9"/>
          </w:tcPr>
          <w:p>
            <w:pPr>
              <w:jc w:val="right"/>
              <w:ind w:right="77"/>
              <w:spacing w:after="0" w:line="188" w:lineRule="exact"/>
              <w:rPr>
                <w:sz w:val="20"/>
                <w:szCs w:val="20"/>
                <w:color w:val="auto"/>
              </w:rPr>
            </w:pPr>
            <w:r>
              <w:rPr>
                <w:rFonts w:ascii="Arial" w:cs="Arial" w:eastAsia="Arial" w:hAnsi="Arial"/>
                <w:sz w:val="17"/>
                <w:szCs w:val="17"/>
                <w:color w:val="auto"/>
              </w:rPr>
              <w:t>$</w:t>
            </w:r>
          </w:p>
        </w:tc>
        <w:tc>
          <w:tcPr>
            <w:tcW w:w="880" w:type="dxa"/>
            <w:vAlign w:val="bottom"/>
            <w:shd w:val="clear" w:color="auto" w:fill="D9D9D9"/>
          </w:tcPr>
          <w:p>
            <w:pPr>
              <w:jc w:val="right"/>
              <w:ind w:right="21"/>
              <w:spacing w:after="0" w:line="188" w:lineRule="exact"/>
              <w:rPr>
                <w:sz w:val="20"/>
                <w:szCs w:val="20"/>
                <w:color w:val="auto"/>
              </w:rPr>
            </w:pPr>
            <w:r>
              <w:rPr>
                <w:rFonts w:ascii="Arial" w:cs="Arial" w:eastAsia="Arial" w:hAnsi="Arial"/>
                <w:sz w:val="17"/>
                <w:szCs w:val="17"/>
                <w:color w:val="auto"/>
              </w:rPr>
              <w:t>24.0</w:t>
            </w:r>
          </w:p>
        </w:tc>
        <w:tc>
          <w:tcPr>
            <w:tcW w:w="360" w:type="dxa"/>
            <w:vAlign w:val="bottom"/>
            <w:shd w:val="clear" w:color="auto" w:fill="D9D9D9"/>
          </w:tcPr>
          <w:p>
            <w:pPr>
              <w:jc w:val="right"/>
              <w:ind w:right="77"/>
              <w:spacing w:after="0" w:line="188" w:lineRule="exact"/>
              <w:rPr>
                <w:sz w:val="20"/>
                <w:szCs w:val="20"/>
                <w:color w:val="auto"/>
              </w:rPr>
            </w:pPr>
            <w:r>
              <w:rPr>
                <w:rFonts w:ascii="Arial" w:cs="Arial" w:eastAsia="Arial" w:hAnsi="Arial"/>
                <w:sz w:val="17"/>
                <w:szCs w:val="17"/>
                <w:color w:val="auto"/>
              </w:rPr>
              <w:t>$</w:t>
            </w:r>
          </w:p>
        </w:tc>
        <w:tc>
          <w:tcPr>
            <w:tcW w:w="780" w:type="dxa"/>
            <w:vAlign w:val="bottom"/>
            <w:shd w:val="clear" w:color="auto" w:fill="D9D9D9"/>
          </w:tcPr>
          <w:p>
            <w:pPr>
              <w:jc w:val="right"/>
              <w:spacing w:after="0" w:line="188" w:lineRule="exact"/>
              <w:rPr>
                <w:sz w:val="20"/>
                <w:szCs w:val="20"/>
                <w:color w:val="auto"/>
              </w:rPr>
            </w:pPr>
            <w:r>
              <w:rPr>
                <w:rFonts w:ascii="Arial" w:cs="Arial" w:eastAsia="Arial" w:hAnsi="Arial"/>
                <w:sz w:val="17"/>
                <w:szCs w:val="17"/>
                <w:color w:val="auto"/>
              </w:rPr>
              <w:t>26.6</w:t>
            </w:r>
          </w:p>
        </w:tc>
      </w:tr>
      <w:tr>
        <w:trPr>
          <w:trHeight w:val="100"/>
        </w:trPr>
        <w:tc>
          <w:tcPr>
            <w:tcW w:w="232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71" w:lineRule="exact"/>
        <w:rPr>
          <w:sz w:val="20"/>
          <w:szCs w:val="20"/>
          <w:color w:val="auto"/>
        </w:rPr>
      </w:pPr>
    </w:p>
    <w:p>
      <w:pPr>
        <w:ind w:left="320" w:right="180" w:hanging="308"/>
        <w:spacing w:after="0" w:line="238" w:lineRule="auto"/>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Ernst &amp; Young LLP billed or will bill AbbVie for professional services rendered for the audit of AbbVie’s annual financial statements, the review of AbbVie’s financial statements included in AbbVie’s quarterly reports, the audits of AbbVie’s internal control over financial reporting, statutory and subsidiary audits required internationally, the review of documents filed with the Securities and Exchange Commission, comfort letters, consents and certain accounting consultations in connection with the audits.</w:t>
      </w:r>
    </w:p>
    <w:p>
      <w:pPr>
        <w:spacing w:after="0" w:line="169" w:lineRule="exact"/>
        <w:rPr>
          <w:rFonts w:ascii="Arial" w:cs="Arial" w:eastAsia="Arial" w:hAnsi="Arial"/>
          <w:sz w:val="17"/>
          <w:szCs w:val="17"/>
          <w:color w:val="auto"/>
        </w:rPr>
      </w:pPr>
    </w:p>
    <w:p>
      <w:pPr>
        <w:ind w:left="320" w:right="420" w:hanging="308"/>
        <w:spacing w:after="0" w:line="246" w:lineRule="auto"/>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Audit related fees include audits of certain employee benefit plan financial statements, accounting consultations in connection with proposed or pending transactions, and other audit or agreed upon procedures required by statute or regulation not classified as audit fees.</w:t>
      </w:r>
    </w:p>
    <w:p>
      <w:pPr>
        <w:spacing w:after="0" w:line="162" w:lineRule="exact"/>
        <w:rPr>
          <w:rFonts w:ascii="Arial" w:cs="Arial" w:eastAsia="Arial" w:hAnsi="Arial"/>
          <w:sz w:val="17"/>
          <w:szCs w:val="17"/>
          <w:color w:val="auto"/>
        </w:rPr>
      </w:pPr>
    </w:p>
    <w:p>
      <w:pPr>
        <w:ind w:left="320" w:hanging="308"/>
        <w:spacing w:after="0"/>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Tax fees consist principally of professional services for corporate tax compliance and tax advisory services.</w:t>
      </w:r>
    </w:p>
    <w:p>
      <w:pPr>
        <w:spacing w:after="0" w:line="192" w:lineRule="exact"/>
        <w:rPr>
          <w:rFonts w:ascii="Arial" w:cs="Arial" w:eastAsia="Arial" w:hAnsi="Arial"/>
          <w:sz w:val="17"/>
          <w:szCs w:val="17"/>
          <w:color w:val="auto"/>
        </w:rPr>
      </w:pPr>
    </w:p>
    <w:p>
      <w:pPr>
        <w:ind w:left="320" w:right="60" w:hanging="308"/>
        <w:spacing w:after="0" w:line="261" w:lineRule="auto"/>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Other fees principally relate to financial advisory services for immaterial international affiliates and information technology assessment services.</w:t>
      </w:r>
    </w:p>
    <w:p>
      <w:pPr>
        <w:spacing w:after="0" w:line="141" w:lineRule="exact"/>
        <w:rPr>
          <w:sz w:val="20"/>
          <w:szCs w:val="20"/>
          <w:color w:val="auto"/>
        </w:rPr>
      </w:pPr>
    </w:p>
    <w:p>
      <w:pPr>
        <w:ind w:left="20" w:right="500"/>
        <w:spacing w:after="0" w:line="282" w:lineRule="auto"/>
        <w:rPr>
          <w:sz w:val="20"/>
          <w:szCs w:val="20"/>
          <w:color w:val="auto"/>
        </w:rPr>
      </w:pPr>
      <w:r>
        <w:rPr>
          <w:rFonts w:ascii="Arial" w:cs="Arial" w:eastAsia="Arial" w:hAnsi="Arial"/>
          <w:sz w:val="20"/>
          <w:szCs w:val="20"/>
          <w:b w:val="1"/>
          <w:bCs w:val="1"/>
          <w:color w:val="071D49"/>
        </w:rPr>
        <w:t>Policy on Audit Committee Pre-Approval of Audit and Permissible Non-Audit Services of the Independent Registered Public Accounting Firm</w:t>
      </w:r>
    </w:p>
    <w:p>
      <w:pPr>
        <w:spacing w:after="0" w:line="119" w:lineRule="exact"/>
        <w:rPr>
          <w:sz w:val="20"/>
          <w:szCs w:val="20"/>
          <w:color w:val="auto"/>
        </w:rPr>
      </w:pPr>
    </w:p>
    <w:p>
      <w:pPr>
        <w:ind w:left="20" w:right="380"/>
        <w:spacing w:after="0" w:line="293" w:lineRule="auto"/>
        <w:rPr>
          <w:sz w:val="20"/>
          <w:szCs w:val="20"/>
          <w:color w:val="auto"/>
        </w:rPr>
      </w:pPr>
      <w:r>
        <w:rPr>
          <w:rFonts w:ascii="Arial" w:cs="Arial" w:eastAsia="Arial" w:hAnsi="Arial"/>
          <w:sz w:val="16"/>
          <w:szCs w:val="16"/>
          <w:color w:val="auto"/>
        </w:rPr>
        <w:t>The audit committee has established policies and procedures to pre-approve all audit and permissible non-audit services performed by the independent registered public accounting firm (the independent auditor) and its related affiliates.</w:t>
      </w:r>
    </w:p>
    <w:p>
      <w:pPr>
        <w:spacing w:after="0" w:line="126" w:lineRule="exact"/>
        <w:rPr>
          <w:sz w:val="20"/>
          <w:szCs w:val="20"/>
          <w:color w:val="auto"/>
        </w:rPr>
      </w:pPr>
    </w:p>
    <w:p>
      <w:pPr>
        <w:jc w:val="both"/>
        <w:ind w:left="20" w:right="120"/>
        <w:spacing w:after="0" w:line="246" w:lineRule="auto"/>
        <w:rPr>
          <w:sz w:val="20"/>
          <w:szCs w:val="20"/>
          <w:color w:val="auto"/>
        </w:rPr>
      </w:pPr>
      <w:r>
        <w:rPr>
          <w:rFonts w:ascii="Arial" w:cs="Arial" w:eastAsia="Arial" w:hAnsi="Arial"/>
          <w:sz w:val="17"/>
          <w:szCs w:val="17"/>
          <w:color w:val="auto"/>
        </w:rPr>
        <w:t>Prior to engagement of the independent auditor for the next year’s audit, management will submit a schedule of all proposed permissible services expected to be rendered during that year for each of four categories of services to the audit committee for approval.</w:t>
      </w:r>
    </w:p>
    <w:p>
      <w:pPr>
        <w:spacing w:after="0" w:line="162"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Prior to engagement, the audit committee pre-approves these services by category of service. The fees are budgeted and the audit committee requires the independent auditor and management to report actual fees versus the budget periodically by category of service. During the year, circumstances may arise when it may become necessary to engage the independent auditor for additional services not contemplated in the original pre-approval. In those instances, the audit committee requires specific pre-approval before engaging the independent auditor.</w:t>
      </w:r>
    </w:p>
    <w:p>
      <w:pPr>
        <w:spacing w:after="0" w:line="169" w:lineRule="exact"/>
        <w:rPr>
          <w:sz w:val="20"/>
          <w:szCs w:val="20"/>
          <w:color w:val="auto"/>
        </w:rPr>
      </w:pPr>
    </w:p>
    <w:p>
      <w:pPr>
        <w:ind w:left="20" w:right="660"/>
        <w:spacing w:after="0" w:line="293" w:lineRule="auto"/>
        <w:rPr>
          <w:sz w:val="20"/>
          <w:szCs w:val="20"/>
          <w:color w:val="auto"/>
        </w:rPr>
      </w:pPr>
      <w:r>
        <w:rPr>
          <w:rFonts w:ascii="Arial" w:cs="Arial" w:eastAsia="Arial" w:hAnsi="Arial"/>
          <w:sz w:val="16"/>
          <w:szCs w:val="16"/>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363" w:val="left"/>
          <w:tab w:leader="none" w:pos="2160" w:val="left"/>
        </w:tabs>
        <w:rPr>
          <w:sz w:val="20"/>
          <w:szCs w:val="20"/>
          <w:color w:val="auto"/>
        </w:rPr>
      </w:pPr>
      <w:r>
        <w:rPr>
          <w:rFonts w:ascii="Arial" w:cs="Arial" w:eastAsia="Arial" w:hAnsi="Arial"/>
          <w:sz w:val="17"/>
          <w:szCs w:val="17"/>
          <w:color w:val="auto"/>
        </w:rPr>
        <w:t>74</w:t>
      </w:r>
      <w:r>
        <w:rPr>
          <w:sz w:val="20"/>
          <w:szCs w:val="20"/>
          <w:color w:val="auto"/>
        </w:rPr>
        <w:tab/>
      </w:r>
      <w:r>
        <w:rPr>
          <w:sz w:val="1"/>
          <w:szCs w:val="1"/>
          <w:color w:val="auto"/>
        </w:rPr>
        <w:drawing>
          <wp:inline distT="0" distB="0" distL="0" distR="0">
            <wp:extent cx="810260" cy="15113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24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77" w:name="page78"/>
    <w:bookmarkEnd w:id="7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7280"/>
        <w:spacing w:after="0"/>
        <w:rPr>
          <w:sz w:val="20"/>
          <w:szCs w:val="20"/>
          <w:color w:val="auto"/>
        </w:rPr>
      </w:pPr>
      <w:r>
        <w:rPr>
          <w:rFonts w:ascii="Arial" w:cs="Arial" w:eastAsia="Arial" w:hAnsi="Arial"/>
          <w:sz w:val="17"/>
          <w:szCs w:val="17"/>
          <w:color w:val="808080"/>
        </w:rPr>
        <w:t>AUDIT INFORMATION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30"/>
          <w:szCs w:val="30"/>
          <w:color w:val="auto"/>
        </w:rPr>
        <w:t>Audit Committee Report</w:t>
      </w:r>
    </w:p>
    <w:p>
      <w:pPr>
        <w:spacing w:after="0" w:line="215" w:lineRule="exact"/>
        <w:rPr>
          <w:sz w:val="20"/>
          <w:szCs w:val="20"/>
          <w:color w:val="auto"/>
        </w:rPr>
      </w:pPr>
    </w:p>
    <w:p>
      <w:pPr>
        <w:ind w:left="20" w:right="20"/>
        <w:spacing w:after="0" w:line="238" w:lineRule="auto"/>
        <w:rPr>
          <w:sz w:val="20"/>
          <w:szCs w:val="20"/>
          <w:color w:val="auto"/>
        </w:rPr>
      </w:pPr>
      <w:r>
        <w:rPr>
          <w:rFonts w:ascii="Arial" w:cs="Arial" w:eastAsia="Arial" w:hAnsi="Arial"/>
          <w:sz w:val="17"/>
          <w:szCs w:val="17"/>
          <w:color w:val="auto"/>
        </w:rPr>
        <w:t>The audit committee is comprised of six non-employee members of the board of directors. Each audit committee member meets the independence requirements of the New York Stock Exchange and Rule 10A-3 of the Exchange Act. The committee operates under a written charter adopted by the board of directors. Consistent with the responsibilities set forth in its charter, the audit committee assists the board of directors in its oversight of AbbVie’s accounting, auditing and financial reporting practices.</w:t>
      </w:r>
    </w:p>
    <w:p>
      <w:pPr>
        <w:spacing w:after="0" w:line="169" w:lineRule="exact"/>
        <w:rPr>
          <w:sz w:val="20"/>
          <w:szCs w:val="20"/>
          <w:color w:val="auto"/>
        </w:rPr>
      </w:pPr>
    </w:p>
    <w:p>
      <w:pPr>
        <w:ind w:left="20" w:right="140"/>
        <w:spacing w:after="0" w:line="251" w:lineRule="auto"/>
        <w:rPr>
          <w:sz w:val="20"/>
          <w:szCs w:val="20"/>
          <w:color w:val="auto"/>
        </w:rPr>
      </w:pPr>
      <w:r>
        <w:rPr>
          <w:rFonts w:ascii="Arial" w:cs="Arial" w:eastAsia="Arial" w:hAnsi="Arial"/>
          <w:sz w:val="16"/>
          <w:szCs w:val="16"/>
          <w:color w:val="auto"/>
        </w:rPr>
        <w:t>The audit committee has reviewed and discussed the audited financial statements contained in the 2023 Annual Report on Form 10-K with AbbVie’s management and its independent registered public accounting firm (the independent auditor). Management is responsible for the preparation and integrity of AbbVie’s consolidated financial statements. The independent auditor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Periodically, during the year, the audit committee reviewed and discussed with AbbVie’s management, internal auditors, and independent auditor the effectiveness of AbbVie’s internal control over financial reporting and the overall quality of AbbVie’s financial reporting.</w:t>
      </w:r>
    </w:p>
    <w:p>
      <w:pPr>
        <w:spacing w:after="0" w:line="162"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The audit committee has discussed with the independent auditor the matters required to be discussed by the applicable requirements of the Public Company Accounting Oversight Board (PCAOB) and the Securities and Exchange Commission. In addition, the audit committee has received the written disclosures and the letter from the independent auditor regarding its independence required by the applicable requirements of the PCAOB, and has discussed with the independent auditor the firm’s independence. The audit committee has also considered whether the provision of non-audit services is compatible with maintaining the independence of the independent auditor and concluded the independent auditor’s independence has not been impaired.</w:t>
      </w:r>
    </w:p>
    <w:p>
      <w:pPr>
        <w:spacing w:after="0" w:line="168" w:lineRule="exact"/>
        <w:rPr>
          <w:sz w:val="20"/>
          <w:szCs w:val="20"/>
          <w:color w:val="auto"/>
        </w:rPr>
      </w:pPr>
    </w:p>
    <w:p>
      <w:pPr>
        <w:ind w:left="20" w:right="140"/>
        <w:spacing w:after="0" w:line="246"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financial statements be included in AbbVie’s Annual Report on Form 10-K for the year ended December 31, 2023, filed with the Securities and Exchange Commission.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Audit Committee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 Freyman, Chair, W. Burnside, M. Meyer, E. Rapp, G. Tilton, and F. Waddell</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right="480"/>
        <w:spacing w:after="0" w:line="284" w:lineRule="auto"/>
        <w:rPr>
          <w:sz w:val="20"/>
          <w:szCs w:val="20"/>
          <w:color w:val="auto"/>
        </w:rPr>
      </w:pPr>
      <w:r>
        <w:rPr>
          <w:rFonts w:ascii="Arial" w:cs="Arial" w:eastAsia="Arial" w:hAnsi="Arial"/>
          <w:sz w:val="33"/>
          <w:szCs w:val="33"/>
          <w:color w:val="071D49"/>
        </w:rPr>
        <w:t>SAY ON PAY—ADVISORY VOTE ON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588708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87085"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5895340" cy="12712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95340" cy="1271270"/>
                    </a:xfrm>
                    <a:prstGeom prst="rect">
                      <a:avLst/>
                    </a:prstGeom>
                    <a:noFill/>
                  </pic:spPr>
                </pic:pic>
              </a:graphicData>
            </a:graphic>
          </wp:anchor>
        </w:drawing>
      </w:r>
    </w:p>
    <w:p>
      <w:pPr>
        <w:sectPr>
          <w:pgSz w:w="11900" w:h="16838" w:orient="portrait"/>
          <w:cols w:equalWidth="0" w:num="1">
            <w:col w:w="9240"/>
          </w:cols>
          <w:pgMar w:left="1320" w:top="485" w:right="1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140"/>
        <w:spacing w:after="0" w:line="266"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520"/>
        <w:spacing w:after="0"/>
        <w:rPr>
          <w:sz w:val="20"/>
          <w:szCs w:val="20"/>
          <w:color w:val="auto"/>
        </w:rPr>
      </w:pPr>
      <w:r>
        <w:rPr>
          <w:rFonts w:ascii="Arial" w:cs="Arial" w:eastAsia="Arial" w:hAnsi="Arial"/>
          <w:sz w:val="17"/>
          <w:szCs w:val="17"/>
          <w:i w:val="1"/>
          <w:iCs w:val="1"/>
          <w:color w:val="auto"/>
        </w:rPr>
        <w:t>You are being asked to approve the compensation of AbbVie’s named executive officers described in the Executive Compensation section of this proxy statement. This vote is non-binding. The board will take the results into account when making future compensation decisions.</w:t>
      </w:r>
    </w:p>
    <w:p>
      <w:pPr>
        <w:spacing w:after="0" w:line="69" w:lineRule="exact"/>
        <w:rPr>
          <w:sz w:val="20"/>
          <w:szCs w:val="20"/>
          <w:color w:val="auto"/>
        </w:rPr>
      </w:pPr>
    </w:p>
    <w:p>
      <w:pPr>
        <w:ind w:right="220"/>
        <w:spacing w:after="0"/>
        <w:rPr>
          <w:sz w:val="20"/>
          <w:szCs w:val="20"/>
          <w:color w:val="auto"/>
        </w:rPr>
      </w:pPr>
      <w:r>
        <w:rPr>
          <w:rFonts w:ascii="Arial" w:cs="Arial" w:eastAsia="Arial" w:hAnsi="Arial"/>
          <w:sz w:val="17"/>
          <w:szCs w:val="17"/>
          <w:b w:val="1"/>
          <w:bCs w:val="1"/>
          <w:i w:val="1"/>
          <w:iCs w:val="1"/>
          <w:color w:val="auto"/>
        </w:rPr>
        <w:t xml:space="preserve">The compensation committee has thoroughly reviewed the company’s compensation program and has determined that the pay decisions for the named executive officers are appropriate given the company’s performance, the executives’ contributions, and our stockholders’ interests. The board of directors therefore recommends you vote </w:t>
      </w:r>
      <w:r>
        <w:rPr>
          <w:rFonts w:ascii="Arial" w:cs="Arial" w:eastAsia="Arial" w:hAnsi="Arial"/>
          <w:sz w:val="17"/>
          <w:szCs w:val="17"/>
          <w:b w:val="1"/>
          <w:bCs w:val="1"/>
          <w:color w:val="auto"/>
        </w:rPr>
        <w:t>“FOR”</w:t>
      </w:r>
      <w:r>
        <w:rPr>
          <w:rFonts w:ascii="Arial" w:cs="Arial" w:eastAsia="Arial" w:hAnsi="Arial"/>
          <w:sz w:val="17"/>
          <w:szCs w:val="17"/>
          <w:b w:val="1"/>
          <w:bCs w:val="1"/>
          <w:i w:val="1"/>
          <w:iCs w:val="1"/>
          <w:color w:val="auto"/>
        </w:rPr>
        <w:t xml:space="preserve"> the approval of the named executive officers’ compensation.</w:t>
      </w:r>
    </w:p>
    <w:p>
      <w:pPr>
        <w:spacing w:after="0" w:line="200" w:lineRule="exact"/>
        <w:rPr>
          <w:sz w:val="20"/>
          <w:szCs w:val="20"/>
          <w:color w:val="auto"/>
        </w:rPr>
      </w:pPr>
    </w:p>
    <w:p>
      <w:pPr>
        <w:sectPr>
          <w:pgSz w:w="11900" w:h="16838" w:orient="portrait"/>
          <w:cols w:equalWidth="0" w:num="2">
            <w:col w:w="1660" w:space="360"/>
            <w:col w:w="7220"/>
          </w:cols>
          <w:pgMar w:left="1320" w:top="485" w:right="1339" w:bottom="1440" w:gutter="0" w:footer="0" w:header="0"/>
          <w:type w:val="continuous"/>
        </w:sectPr>
      </w:pP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required by Section 14A of the Exchange Act, 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 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 We currently ask our stockholders to vote on executive compensation on an annual basis.</w:t>
      </w:r>
    </w:p>
    <w:p>
      <w:pPr>
        <w:spacing w:after="0" w:line="1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76</w:t>
      </w:r>
      <w:r>
        <w:rPr>
          <w:sz w:val="20"/>
          <w:szCs w:val="20"/>
          <w:color w:val="auto"/>
        </w:rPr>
        <w:tab/>
      </w:r>
      <w:r>
        <w:rPr>
          <w:sz w:val="1"/>
          <w:szCs w:val="1"/>
          <w:color w:val="auto"/>
        </w:rPr>
        <w:drawing>
          <wp:inline distT="0" distB="0" distL="0" distR="0">
            <wp:extent cx="810260" cy="15113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241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0"/>
          </w:cols>
          <w:pgMar w:left="1320" w:top="485" w:right="1339" w:bottom="1440" w:gutter="0" w:footer="0" w:header="0"/>
          <w:type w:val="continuous"/>
        </w:sectPr>
      </w:pPr>
    </w:p>
    <w:bookmarkStart w:id="79" w:name="page80"/>
    <w:bookmarkEnd w:id="7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right="540"/>
        <w:spacing w:after="0" w:line="265" w:lineRule="auto"/>
        <w:rPr>
          <w:sz w:val="20"/>
          <w:szCs w:val="20"/>
          <w:color w:val="auto"/>
        </w:rPr>
      </w:pPr>
      <w:r>
        <w:rPr>
          <w:rFonts w:ascii="Arial" w:cs="Arial" w:eastAsia="Arial" w:hAnsi="Arial"/>
          <w:sz w:val="33"/>
          <w:szCs w:val="33"/>
          <w:color w:val="071D49"/>
        </w:rPr>
        <w:t>SAY WHEN ON PAY—ADVISORY VOTE ON THE FREQUENCY OF FUTURE APPROVALS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88708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87085" cy="158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5895340" cy="1151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95340" cy="115189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60"/>
        <w:spacing w:after="0" w:line="266"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i w:val="1"/>
          <w:iCs w:val="1"/>
          <w:color w:val="auto"/>
        </w:rPr>
        <w:t>Section 14A of the Exchange Act provides stockholders the opportunity to vote, on an advisory and non-binding basis, their preference as to the frequency of future advisory approvals of named executive officer compensation. This vote is often referred to as ‘‘say when on pay.’’ Stockholders can vote on whether future advisory approvals of named executive officer compensation should occur every year, every two years or every three years, or they can abstain from voting.</w:t>
      </w:r>
    </w:p>
    <w:p>
      <w:pPr>
        <w:spacing w:after="0" w:line="73" w:lineRule="exact"/>
        <w:rPr>
          <w:sz w:val="20"/>
          <w:szCs w:val="20"/>
          <w:color w:val="auto"/>
        </w:rPr>
      </w:pPr>
    </w:p>
    <w:p>
      <w:pPr>
        <w:ind w:right="720"/>
        <w:spacing w:after="0" w:line="269" w:lineRule="auto"/>
        <w:rPr>
          <w:sz w:val="20"/>
          <w:szCs w:val="20"/>
          <w:color w:val="auto"/>
        </w:rPr>
      </w:pPr>
      <w:r>
        <w:rPr>
          <w:rFonts w:ascii="Arial" w:cs="Arial" w:eastAsia="Arial" w:hAnsi="Arial"/>
          <w:sz w:val="17"/>
          <w:szCs w:val="17"/>
          <w:b w:val="1"/>
          <w:bCs w:val="1"/>
          <w:i w:val="1"/>
          <w:iCs w:val="1"/>
          <w:color w:val="auto"/>
        </w:rPr>
        <w:t xml:space="preserve">The board of directors recommends that you vote for a vote to approve the named executive officers’ compensation every </w:t>
      </w:r>
      <w:r>
        <w:rPr>
          <w:rFonts w:ascii="Arial" w:cs="Arial" w:eastAsia="Arial" w:hAnsi="Arial"/>
          <w:sz w:val="17"/>
          <w:szCs w:val="17"/>
          <w:b w:val="1"/>
          <w:bCs w:val="1"/>
          <w:color w:val="auto"/>
        </w:rPr>
        <w:t>1 YEAR</w:t>
      </w:r>
      <w:r>
        <w:rPr>
          <w:rFonts w:ascii="Arial" w:cs="Arial" w:eastAsia="Arial" w:hAnsi="Arial"/>
          <w:sz w:val="17"/>
          <w:szCs w:val="17"/>
          <w:b w:val="1"/>
          <w:bCs w:val="1"/>
          <w:i w:val="1"/>
          <w:iCs w:val="1"/>
          <w:color w:val="auto"/>
        </w:rPr>
        <w:t>.</w:t>
      </w:r>
    </w:p>
    <w:p>
      <w:pPr>
        <w:spacing w:after="0" w:line="200" w:lineRule="exact"/>
        <w:rPr>
          <w:sz w:val="20"/>
          <w:szCs w:val="20"/>
          <w:color w:val="auto"/>
        </w:rPr>
      </w:pPr>
    </w:p>
    <w:p>
      <w:pPr>
        <w:sectPr>
          <w:pgSz w:w="11900" w:h="16838" w:orient="portrait"/>
          <w:cols w:equalWidth="0" w:num="2">
            <w:col w:w="1680" w:space="360"/>
            <w:col w:w="7240"/>
          </w:cols>
          <w:pgMar w:left="1300" w:top="485" w:right="1319" w:bottom="1440" w:gutter="0" w:footer="0" w:header="0"/>
          <w:type w:val="continuous"/>
        </w:sectPr>
      </w:pPr>
    </w:p>
    <w:p>
      <w:pPr>
        <w:spacing w:after="0" w:line="35" w:lineRule="exact"/>
        <w:rPr>
          <w:sz w:val="20"/>
          <w:szCs w:val="20"/>
          <w:color w:val="auto"/>
        </w:rPr>
      </w:pPr>
    </w:p>
    <w:p>
      <w:pPr>
        <w:ind w:left="20" w:right="200"/>
        <w:spacing w:after="0" w:line="246" w:lineRule="auto"/>
        <w:rPr>
          <w:sz w:val="20"/>
          <w:szCs w:val="20"/>
          <w:color w:val="auto"/>
        </w:rPr>
      </w:pPr>
      <w:r>
        <w:rPr>
          <w:rFonts w:ascii="Arial" w:cs="Arial" w:eastAsia="Arial" w:hAnsi="Arial"/>
          <w:sz w:val="17"/>
          <w:szCs w:val="17"/>
          <w:color w:val="auto"/>
        </w:rPr>
        <w:t>AbbVie’s first ‘‘say when on pay’’ advisory vote occurred in 2013 and resulted in approximately 80% support for annual advisory approvals of named executive officer compensation. Our next vote occurred in 2018 and resulted in approximately 97% support for annual advisory approvals of named executive officers’ compensation.</w:t>
      </w:r>
    </w:p>
    <w:p>
      <w:pPr>
        <w:spacing w:after="0" w:line="162" w:lineRule="exact"/>
        <w:rPr>
          <w:sz w:val="20"/>
          <w:szCs w:val="20"/>
          <w:color w:val="auto"/>
        </w:rPr>
      </w:pPr>
    </w:p>
    <w:p>
      <w:pPr>
        <w:ind w:left="20" w:right="160"/>
        <w:spacing w:after="0" w:line="261" w:lineRule="auto"/>
        <w:rPr>
          <w:sz w:val="20"/>
          <w:szCs w:val="20"/>
          <w:color w:val="auto"/>
        </w:rPr>
      </w:pPr>
      <w:r>
        <w:rPr>
          <w:rFonts w:ascii="Arial" w:cs="Arial" w:eastAsia="Arial" w:hAnsi="Arial"/>
          <w:sz w:val="17"/>
          <w:szCs w:val="17"/>
          <w:color w:val="auto"/>
        </w:rPr>
        <w:t>While this vote is advisory and non-binding, the board of directors and the compensation committee value the opinion of the stockholders and will review the voting results and take them into account.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type w:val="continuous"/>
        </w:sectPr>
      </w:pPr>
    </w:p>
    <w:bookmarkStart w:id="80" w:name="page81"/>
    <w:bookmarkEnd w:id="80"/>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308"/>
        <w:spacing w:after="0"/>
        <w:rPr>
          <w:sz w:val="20"/>
          <w:szCs w:val="20"/>
          <w:color w:val="auto"/>
        </w:rPr>
      </w:pPr>
      <w:r>
        <w:rPr>
          <w:rFonts w:ascii="Arial" w:cs="Arial" w:eastAsia="Arial" w:hAnsi="Arial"/>
          <w:sz w:val="17"/>
          <w:szCs w:val="17"/>
          <w:color w:val="808080"/>
        </w:rPr>
        <w:t>MANAGEMENT PROPOSAL TO ELIMINATE</w:t>
      </w:r>
    </w:p>
    <w:p>
      <w:pPr>
        <w:spacing w:after="0" w:line="8" w:lineRule="exact"/>
        <w:rPr>
          <w:sz w:val="20"/>
          <w:szCs w:val="20"/>
          <w:color w:val="auto"/>
        </w:rPr>
      </w:pPr>
    </w:p>
    <w:p>
      <w:pPr>
        <w:ind w:left="308"/>
        <w:spacing w:after="0"/>
        <w:rPr>
          <w:sz w:val="20"/>
          <w:szCs w:val="20"/>
          <w:color w:val="auto"/>
        </w:rPr>
      </w:pPr>
      <w:r>
        <w:rPr>
          <w:rFonts w:ascii="Arial" w:cs="Arial" w:eastAsia="Arial" w:hAnsi="Arial"/>
          <w:sz w:val="17"/>
          <w:szCs w:val="17"/>
          <w:color w:val="808080"/>
        </w:rPr>
        <w:t>SUPERMAJORITY VOTING</w:t>
      </w:r>
    </w:p>
    <w:p>
      <w:pPr>
        <w:spacing w:after="0" w:line="147" w:lineRule="exact"/>
        <w:rPr>
          <w:sz w:val="20"/>
          <w:szCs w:val="20"/>
          <w:color w:val="auto"/>
        </w:rPr>
      </w:pPr>
    </w:p>
    <w:p>
      <w:pPr>
        <w:ind w:left="8" w:right="2580"/>
        <w:spacing w:after="0" w:line="284" w:lineRule="auto"/>
        <w:rPr>
          <w:sz w:val="20"/>
          <w:szCs w:val="20"/>
          <w:color w:val="auto"/>
        </w:rPr>
      </w:pPr>
      <w:r>
        <w:rPr>
          <w:rFonts w:ascii="Arial" w:cs="Arial" w:eastAsia="Arial" w:hAnsi="Arial"/>
          <w:sz w:val="33"/>
          <w:szCs w:val="33"/>
          <w:color w:val="071D49"/>
        </w:rPr>
        <w:t>MANAGEMENT PROPOSAL TO ELIMINATE SUPERMAJORITY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588708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87085" cy="158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94615</wp:posOffset>
            </wp:positionV>
            <wp:extent cx="5895340" cy="1136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95340" cy="1136015"/>
                    </a:xfrm>
                    <a:prstGeom prst="rect">
                      <a:avLst/>
                    </a:prstGeom>
                    <a:noFill/>
                  </pic:spPr>
                </pic:pic>
              </a:graphicData>
            </a:graphic>
          </wp:anchor>
        </w:drawing>
      </w:r>
    </w:p>
    <w:p>
      <w:pPr>
        <w:sectPr>
          <w:pgSz w:w="11900" w:h="16838" w:orient="portrait"/>
          <w:cols w:equalWidth="0" w:num="1">
            <w:col w:w="9268"/>
          </w:cols>
          <w:pgMar w:left="1312" w:top="485" w:right="131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148"/>
        <w:spacing w:after="0" w:line="275"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i w:val="1"/>
          <w:iCs w:val="1"/>
          <w:color w:val="auto"/>
        </w:rPr>
        <w:t>You are being asked to amend and restate the Certificate of Incorporation to remove the supermajority voting requirement. Currently, certain amendments to the company’s Certificate of Incorporation or By-Laws require the affirmative vote of at least 80 percent of the outstanding shares. The proposed amendment will allow for a regular majority to pass such amendments in the future.</w:t>
      </w:r>
    </w:p>
    <w:p>
      <w:pPr>
        <w:spacing w:after="0" w:line="67" w:lineRule="exact"/>
        <w:rPr>
          <w:sz w:val="20"/>
          <w:szCs w:val="20"/>
          <w:color w:val="auto"/>
        </w:rPr>
      </w:pPr>
    </w:p>
    <w:p>
      <w:pPr>
        <w:ind w:right="780"/>
        <w:spacing w:after="0" w:line="250" w:lineRule="auto"/>
        <w:rPr>
          <w:sz w:val="20"/>
          <w:szCs w:val="20"/>
          <w:color w:val="auto"/>
        </w:rPr>
      </w:pPr>
      <w:r>
        <w:rPr>
          <w:rFonts w:ascii="Arial" w:cs="Arial" w:eastAsia="Arial" w:hAnsi="Arial"/>
          <w:sz w:val="17"/>
          <w:szCs w:val="17"/>
          <w:b w:val="1"/>
          <w:bCs w:val="1"/>
          <w:i w:val="1"/>
          <w:iCs w:val="1"/>
          <w:color w:val="auto"/>
        </w:rPr>
        <w:t xml:space="preserve">The board of directors therefore recommends you vote </w:t>
      </w:r>
      <w:r>
        <w:rPr>
          <w:rFonts w:ascii="Arial" w:cs="Arial" w:eastAsia="Arial" w:hAnsi="Arial"/>
          <w:sz w:val="17"/>
          <w:szCs w:val="17"/>
          <w:b w:val="1"/>
          <w:bCs w:val="1"/>
          <w:color w:val="auto"/>
        </w:rPr>
        <w:t>“FOR”</w:t>
      </w:r>
      <w:r>
        <w:rPr>
          <w:rFonts w:ascii="Arial" w:cs="Arial" w:eastAsia="Arial" w:hAnsi="Arial"/>
          <w:sz w:val="17"/>
          <w:szCs w:val="17"/>
          <w:b w:val="1"/>
          <w:bCs w:val="1"/>
          <w:i w:val="1"/>
          <w:iCs w:val="1"/>
          <w:color w:val="auto"/>
        </w:rPr>
        <w:t xml:space="preserve"> the management proposal to amend and restate the Certificate of Incorporation to eliminate supermajority voting.</w:t>
      </w:r>
    </w:p>
    <w:p>
      <w:pPr>
        <w:spacing w:after="0" w:line="200" w:lineRule="exact"/>
        <w:rPr>
          <w:sz w:val="20"/>
          <w:szCs w:val="20"/>
          <w:color w:val="auto"/>
        </w:rPr>
      </w:pPr>
    </w:p>
    <w:p>
      <w:pPr>
        <w:sectPr>
          <w:pgSz w:w="11900" w:h="16838" w:orient="portrait"/>
          <w:cols w:equalWidth="0" w:num="2">
            <w:col w:w="2008" w:space="180"/>
            <w:col w:w="7080"/>
          </w:cols>
          <w:pgMar w:left="1312" w:top="485" w:right="1319" w:bottom="1440" w:gutter="0" w:footer="0" w:header="0"/>
          <w:type w:val="continuous"/>
        </w:sectPr>
      </w:pPr>
    </w:p>
    <w:p>
      <w:pPr>
        <w:spacing w:after="0" w:line="52" w:lineRule="exact"/>
        <w:rPr>
          <w:sz w:val="20"/>
          <w:szCs w:val="20"/>
          <w:color w:val="auto"/>
        </w:rPr>
      </w:pPr>
    </w:p>
    <w:p>
      <w:pPr>
        <w:ind w:left="8"/>
        <w:spacing w:after="0" w:line="260" w:lineRule="auto"/>
        <w:rPr>
          <w:sz w:val="20"/>
          <w:szCs w:val="20"/>
          <w:color w:val="auto"/>
        </w:rPr>
      </w:pPr>
      <w:r>
        <w:rPr>
          <w:rFonts w:ascii="Arial" w:cs="Arial" w:eastAsia="Arial" w:hAnsi="Arial"/>
          <w:sz w:val="16"/>
          <w:szCs w:val="16"/>
          <w:color w:val="auto"/>
        </w:rPr>
        <w:t>Currently, AbbVie’s Amended and Restated Certificate of Incorporation (the “Certificate of Incorporation”) provides that certain amendments to the Certificate of Incorporation or AbbVie’s Amended and Restated By-Laws (the “By-Laws”) require the affirmative vote of shares representing no less than 80 percent of AbbVie’s outstanding shares of stock entitled to vote generally in the election of directors. We refer to these provisions listed below as the “Supermajority Voting Requirement.”</w:t>
      </w:r>
    </w:p>
    <w:p>
      <w:pPr>
        <w:spacing w:after="0" w:line="154" w:lineRule="exact"/>
        <w:rPr>
          <w:sz w:val="20"/>
          <w:szCs w:val="20"/>
          <w:color w:val="auto"/>
        </w:rPr>
      </w:pPr>
    </w:p>
    <w:p>
      <w:pPr>
        <w:ind w:left="8" w:right="40"/>
        <w:spacing w:after="0"/>
        <w:rPr>
          <w:sz w:val="20"/>
          <w:szCs w:val="20"/>
          <w:color w:val="auto"/>
        </w:rPr>
      </w:pPr>
      <w:r>
        <w:rPr>
          <w:rFonts w:ascii="Arial" w:cs="Arial" w:eastAsia="Arial" w:hAnsi="Arial"/>
          <w:sz w:val="17"/>
          <w:szCs w:val="17"/>
          <w:color w:val="auto"/>
        </w:rPr>
        <w:t>Specifically, Article VIII of the Certificate of Incorporation provides that any stockholder-approved alteration, amendment, or repeal of any of the By-Law provisions listed below, or the adoption of any stockholder-approved By-Law provision inconsistent with those By-Law provisions, must be approved pursuant to the Supermajority Voting Requirement. The By-Law provisions covered by the Supermajority Voting Requirement are in regards to:</w:t>
      </w:r>
    </w:p>
    <w:p>
      <w:pPr>
        <w:spacing w:after="0" w:line="169" w:lineRule="exact"/>
        <w:rPr>
          <w:sz w:val="20"/>
          <w:szCs w:val="20"/>
          <w:color w:val="auto"/>
        </w:rPr>
      </w:pPr>
    </w:p>
    <w:p>
      <w:pPr>
        <w:ind w:left="308" w:hanging="308"/>
        <w:spacing w:after="0"/>
        <w:tabs>
          <w:tab w:leader="none" w:pos="308" w:val="left"/>
        </w:tabs>
        <w:numPr>
          <w:ilvl w:val="0"/>
          <w:numId w:val="104"/>
        </w:numPr>
        <w:rPr>
          <w:rFonts w:ascii="Times New Roman" w:cs="Times New Roman" w:eastAsia="Times New Roman" w:hAnsi="Times New Roman"/>
          <w:sz w:val="17"/>
          <w:szCs w:val="17"/>
          <w:color w:val="071D49"/>
        </w:rPr>
      </w:pPr>
      <w:r>
        <w:rPr>
          <w:rFonts w:ascii="Arial" w:cs="Arial" w:eastAsia="Arial" w:hAnsi="Arial"/>
          <w:sz w:val="17"/>
          <w:szCs w:val="17"/>
          <w:color w:val="auto"/>
        </w:rPr>
        <w:t>special meetings of stockholders and written consents by stockholders (Article II, Sections 2.2 and 2.12, respectively);</w:t>
      </w:r>
    </w:p>
    <w:p>
      <w:pPr>
        <w:spacing w:after="0" w:line="19" w:lineRule="exact"/>
        <w:rPr>
          <w:rFonts w:ascii="Times New Roman" w:cs="Times New Roman" w:eastAsia="Times New Roman" w:hAnsi="Times New Roman"/>
          <w:sz w:val="17"/>
          <w:szCs w:val="17"/>
          <w:color w:val="071D49"/>
        </w:rPr>
      </w:pPr>
    </w:p>
    <w:p>
      <w:pPr>
        <w:ind w:left="308" w:right="80" w:hanging="308"/>
        <w:spacing w:after="0" w:line="229" w:lineRule="auto"/>
        <w:tabs>
          <w:tab w:leader="none" w:pos="308" w:val="left"/>
        </w:tabs>
        <w:numPr>
          <w:ilvl w:val="0"/>
          <w:numId w:val="104"/>
        </w:numPr>
        <w:rPr>
          <w:rFonts w:ascii="Times New Roman" w:cs="Times New Roman" w:eastAsia="Times New Roman" w:hAnsi="Times New Roman"/>
          <w:sz w:val="17"/>
          <w:szCs w:val="17"/>
          <w:color w:val="071D49"/>
        </w:rPr>
      </w:pPr>
      <w:r>
        <w:rPr>
          <w:rFonts w:ascii="Arial" w:cs="Arial" w:eastAsia="Arial" w:hAnsi="Arial"/>
          <w:sz w:val="17"/>
          <w:szCs w:val="17"/>
          <w:color w:val="auto"/>
        </w:rPr>
        <w:t>board size and tenure, classes of directors, board vacancies, and director removal (Article III, Sections 3.2, 3.3, 3.10 and 3.11, respectively);</w:t>
      </w:r>
    </w:p>
    <w:p>
      <w:pPr>
        <w:spacing w:after="0" w:line="1" w:lineRule="exact"/>
        <w:rPr>
          <w:rFonts w:ascii="Times New Roman" w:cs="Times New Roman" w:eastAsia="Times New Roman" w:hAnsi="Times New Roman"/>
          <w:sz w:val="17"/>
          <w:szCs w:val="17"/>
          <w:color w:val="071D49"/>
        </w:rPr>
      </w:pPr>
    </w:p>
    <w:p>
      <w:pPr>
        <w:ind w:left="308" w:hanging="308"/>
        <w:spacing w:after="0"/>
        <w:tabs>
          <w:tab w:leader="none" w:pos="308" w:val="left"/>
        </w:tabs>
        <w:numPr>
          <w:ilvl w:val="0"/>
          <w:numId w:val="104"/>
        </w:numPr>
        <w:rPr>
          <w:rFonts w:ascii="Times New Roman" w:cs="Times New Roman" w:eastAsia="Times New Roman" w:hAnsi="Times New Roman"/>
          <w:sz w:val="17"/>
          <w:szCs w:val="17"/>
          <w:color w:val="071D49"/>
        </w:rPr>
      </w:pPr>
      <w:r>
        <w:rPr>
          <w:rFonts w:ascii="Arial" w:cs="Arial" w:eastAsia="Arial" w:hAnsi="Arial"/>
          <w:sz w:val="17"/>
          <w:szCs w:val="17"/>
          <w:color w:val="auto"/>
        </w:rPr>
        <w:t>indemnification of directors and officers (Article VII); and</w:t>
      </w:r>
    </w:p>
    <w:p>
      <w:pPr>
        <w:spacing w:after="0" w:line="3" w:lineRule="exact"/>
        <w:rPr>
          <w:rFonts w:ascii="Times New Roman" w:cs="Times New Roman" w:eastAsia="Times New Roman" w:hAnsi="Times New Roman"/>
          <w:sz w:val="17"/>
          <w:szCs w:val="17"/>
          <w:color w:val="071D49"/>
        </w:rPr>
      </w:pPr>
    </w:p>
    <w:p>
      <w:pPr>
        <w:ind w:left="308" w:hanging="308"/>
        <w:spacing w:after="0"/>
        <w:tabs>
          <w:tab w:leader="none" w:pos="308" w:val="left"/>
        </w:tabs>
        <w:numPr>
          <w:ilvl w:val="0"/>
          <w:numId w:val="104"/>
        </w:numPr>
        <w:rPr>
          <w:rFonts w:ascii="Times New Roman" w:cs="Times New Roman" w:eastAsia="Times New Roman" w:hAnsi="Times New Roman"/>
          <w:sz w:val="17"/>
          <w:szCs w:val="17"/>
          <w:color w:val="071D49"/>
        </w:rPr>
      </w:pPr>
      <w:r>
        <w:rPr>
          <w:rFonts w:ascii="Arial" w:cs="Arial" w:eastAsia="Arial" w:hAnsi="Arial"/>
          <w:sz w:val="17"/>
          <w:szCs w:val="17"/>
          <w:color w:val="auto"/>
        </w:rPr>
        <w:t>amendments to the By-Laws (Article X).</w:t>
      </w:r>
    </w:p>
    <w:p>
      <w:pPr>
        <w:spacing w:after="0" w:line="188" w:lineRule="exact"/>
        <w:rPr>
          <w:sz w:val="20"/>
          <w:szCs w:val="20"/>
          <w:color w:val="auto"/>
        </w:rPr>
      </w:pPr>
    </w:p>
    <w:p>
      <w:pPr>
        <w:ind w:left="8" w:right="40"/>
        <w:spacing w:after="0"/>
        <w:rPr>
          <w:sz w:val="20"/>
          <w:szCs w:val="20"/>
          <w:color w:val="auto"/>
        </w:rPr>
      </w:pPr>
      <w:r>
        <w:rPr>
          <w:rFonts w:ascii="Arial" w:cs="Arial" w:eastAsia="Arial" w:hAnsi="Arial"/>
          <w:sz w:val="17"/>
          <w:szCs w:val="17"/>
          <w:color w:val="auto"/>
        </w:rPr>
        <w:t>Article XI of the Certificate of Incorporation provides that any alteration, amendment, or repeal of any of the provisions of the Certificate of Incorporation listed below, or the adoption of any provision inconsistent with those provisions, must be approved pursuant to the Supermajority Voting Requirement. The provisions covered by the Supermajority Voting Requirement are in regards to:</w:t>
      </w:r>
    </w:p>
    <w:p>
      <w:pPr>
        <w:spacing w:after="0" w:line="169" w:lineRule="exact"/>
        <w:rPr>
          <w:sz w:val="20"/>
          <w:szCs w:val="20"/>
          <w:color w:val="auto"/>
        </w:rPr>
      </w:pPr>
    </w:p>
    <w:p>
      <w:pPr>
        <w:ind w:left="308" w:right="200" w:hanging="308"/>
        <w:spacing w:after="0" w:line="239" w:lineRule="auto"/>
        <w:tabs>
          <w:tab w:leader="none" w:pos="308" w:val="left"/>
        </w:tabs>
        <w:numPr>
          <w:ilvl w:val="0"/>
          <w:numId w:val="105"/>
        </w:numPr>
        <w:rPr>
          <w:rFonts w:ascii="Times New Roman" w:cs="Times New Roman" w:eastAsia="Times New Roman" w:hAnsi="Times New Roman"/>
          <w:sz w:val="17"/>
          <w:szCs w:val="17"/>
          <w:color w:val="071D49"/>
        </w:rPr>
      </w:pPr>
      <w:r>
        <w:rPr>
          <w:rFonts w:ascii="Arial" w:cs="Arial" w:eastAsia="Arial" w:hAnsi="Arial"/>
          <w:sz w:val="17"/>
          <w:szCs w:val="17"/>
          <w:color w:val="auto"/>
        </w:rPr>
        <w:t>board size, classes of directors, board vacancies, and director removal (Article VI, Sections 1, 2, 3 and 4, respectively); and</w:t>
      </w:r>
    </w:p>
    <w:p>
      <w:pPr>
        <w:spacing w:after="0" w:line="1" w:lineRule="exact"/>
        <w:rPr>
          <w:rFonts w:ascii="Times New Roman" w:cs="Times New Roman" w:eastAsia="Times New Roman" w:hAnsi="Times New Roman"/>
          <w:sz w:val="17"/>
          <w:szCs w:val="17"/>
          <w:color w:val="071D49"/>
        </w:rPr>
      </w:pPr>
    </w:p>
    <w:p>
      <w:pPr>
        <w:ind w:left="308" w:hanging="308"/>
        <w:spacing w:after="0"/>
        <w:tabs>
          <w:tab w:leader="none" w:pos="308" w:val="left"/>
        </w:tabs>
        <w:numPr>
          <w:ilvl w:val="0"/>
          <w:numId w:val="105"/>
        </w:numPr>
        <w:rPr>
          <w:rFonts w:ascii="Times New Roman" w:cs="Times New Roman" w:eastAsia="Times New Roman" w:hAnsi="Times New Roman"/>
          <w:sz w:val="17"/>
          <w:szCs w:val="17"/>
          <w:color w:val="071D49"/>
        </w:rPr>
      </w:pPr>
      <w:r>
        <w:rPr>
          <w:rFonts w:ascii="Arial" w:cs="Arial" w:eastAsia="Arial" w:hAnsi="Arial"/>
          <w:sz w:val="17"/>
          <w:szCs w:val="17"/>
          <w:color w:val="auto"/>
        </w:rPr>
        <w:t>written consents by stockholders and special meetings of stockholders (Article VII, Sections 1 and 2, respectively).</w:t>
      </w:r>
    </w:p>
    <w:p>
      <w:pPr>
        <w:spacing w:after="0" w:line="188" w:lineRule="exact"/>
        <w:rPr>
          <w:sz w:val="20"/>
          <w:szCs w:val="20"/>
          <w:color w:val="auto"/>
        </w:rPr>
      </w:pPr>
    </w:p>
    <w:p>
      <w:pPr>
        <w:ind w:left="8" w:right="40"/>
        <w:spacing w:after="0" w:line="237" w:lineRule="auto"/>
        <w:rPr>
          <w:sz w:val="20"/>
          <w:szCs w:val="20"/>
          <w:color w:val="auto"/>
        </w:rPr>
      </w:pPr>
      <w:r>
        <w:rPr>
          <w:rFonts w:ascii="Arial" w:cs="Arial" w:eastAsia="Arial" w:hAnsi="Arial"/>
          <w:sz w:val="17"/>
          <w:szCs w:val="17"/>
          <w:color w:val="auto"/>
        </w:rPr>
        <w:t>After reviewing the advantages and disadvantages of the Supermajority Voting Requirement at this time, the board approved, and recommends that stockholders approve, the amendment and restatement of Articles VIII and XI of the Certificate of Incorporation to remove the Supermajority Voting Requirement contained therein. If approved, future stockholder-approved amendments to the By-Law and Certificate of Incorporation provisions listed above will not be subject to the Supermajority Voting Requirement and will instead require the affirmative vote of a majority of AbbVie’s outstanding shares of stock entitled to vote generally in the election of directors.</w:t>
      </w:r>
    </w:p>
    <w:p>
      <w:pPr>
        <w:spacing w:after="0" w:line="200" w:lineRule="exact"/>
        <w:rPr>
          <w:sz w:val="20"/>
          <w:szCs w:val="20"/>
          <w:color w:val="auto"/>
        </w:rPr>
      </w:pPr>
    </w:p>
    <w:p>
      <w:pPr>
        <w:spacing w:after="0" w:line="360"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78</w:t>
      </w:r>
      <w:r>
        <w:rPr>
          <w:sz w:val="20"/>
          <w:szCs w:val="20"/>
          <w:color w:val="auto"/>
        </w:rPr>
        <w:tab/>
      </w:r>
      <w:r>
        <w:rPr>
          <w:sz w:val="1"/>
          <w:szCs w:val="1"/>
          <w:color w:val="auto"/>
        </w:rPr>
        <w:drawing>
          <wp:inline distT="0" distB="0" distL="0" distR="0">
            <wp:extent cx="810260" cy="15113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68"/>
          </w:cols>
          <w:pgMar w:left="1312" w:top="485" w:right="1319" w:bottom="1440" w:gutter="0" w:footer="0" w:header="0"/>
          <w:type w:val="continuous"/>
        </w:sectPr>
      </w:pPr>
    </w:p>
    <w:bookmarkStart w:id="81" w:name="page82"/>
    <w:bookmarkEnd w:id="8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MANAGEMENT PROPOSAL TO ELIMINATE</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808080"/>
        </w:rPr>
        <w:t>SUPERMAJORITY VOTING</w:t>
      </w:r>
    </w:p>
    <w:p>
      <w:pPr>
        <w:spacing w:after="0" w:line="164" w:lineRule="exact"/>
        <w:rPr>
          <w:sz w:val="20"/>
          <w:szCs w:val="20"/>
          <w:color w:val="auto"/>
        </w:rPr>
      </w:pPr>
    </w:p>
    <w:p>
      <w:pPr>
        <w:ind w:left="20" w:right="40"/>
        <w:spacing w:after="0" w:line="237" w:lineRule="auto"/>
        <w:rPr>
          <w:sz w:val="20"/>
          <w:szCs w:val="20"/>
          <w:color w:val="auto"/>
        </w:rPr>
      </w:pPr>
      <w:r>
        <w:rPr>
          <w:rFonts w:ascii="Arial" w:cs="Arial" w:eastAsia="Arial" w:hAnsi="Arial"/>
          <w:sz w:val="17"/>
          <w:szCs w:val="17"/>
          <w:color w:val="auto"/>
        </w:rPr>
        <w:t xml:space="preserve">The proposed Certificate of Amendment to the Certificate of Incorporation is attached to this proxy statement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which the company would file promptly following the 2024 Annual Meeting if our stockholders approve the amendment. The affirmative vote of the holders of 80 percent of the outstanding shares of stock entitled to vote generally in the election of directors on the Record Date is required to approve this proposal pursuant to the Certificate of Incorporation. The board has approved certain conforming changes to the company’s By-Laws, contingent on the effectiveness of the proposed amendment to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363" w:lineRule="exact"/>
        <w:rPr>
          <w:sz w:val="20"/>
          <w:szCs w:val="20"/>
          <w:color w:val="auto"/>
        </w:rPr>
      </w:pPr>
    </w:p>
    <w:p>
      <w:pPr>
        <w:spacing w:after="0"/>
        <w:rPr>
          <w:sz w:val="20"/>
          <w:szCs w:val="20"/>
          <w:color w:val="auto"/>
        </w:rPr>
      </w:pPr>
      <w:r>
        <w:rPr>
          <w:rFonts w:ascii="Arial" w:cs="Arial" w:eastAsia="Arial" w:hAnsi="Arial"/>
          <w:sz w:val="33"/>
          <w:szCs w:val="33"/>
          <w:color w:val="071D49"/>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5887085"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887085"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177800</wp:posOffset>
            </wp:positionV>
            <wp:extent cx="5895340" cy="1136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95340" cy="1136015"/>
                    </a:xfrm>
                    <a:prstGeom prst="rect">
                      <a:avLst/>
                    </a:prstGeom>
                    <a:noFill/>
                  </pic:spPr>
                </pic:pic>
              </a:graphicData>
            </a:graphic>
          </wp:anchor>
        </w:drawing>
      </w:r>
    </w:p>
    <w:p>
      <w:pPr>
        <w:sectPr>
          <w:pgSz w:w="11900" w:h="16838" w:orient="portrait"/>
          <w:cols w:equalWidth="0" w:num="1">
            <w:col w:w="9200"/>
          </w:cols>
          <w:pgMar w:left="1320" w:top="48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40"/>
        <w:spacing w:after="0" w:line="275" w:lineRule="auto"/>
        <w:rPr>
          <w:sz w:val="20"/>
          <w:szCs w:val="20"/>
          <w:color w:val="auto"/>
        </w:rPr>
      </w:pPr>
      <w:r>
        <w:rPr>
          <w:rFonts w:ascii="Arial" w:cs="Arial" w:eastAsia="Arial" w:hAnsi="Arial"/>
          <w:sz w:val="23"/>
          <w:szCs w:val="23"/>
          <w:b w:val="1"/>
          <w:bCs w:val="1"/>
          <w:color w:val="071D49"/>
        </w:rPr>
        <w:t>What am I voting on and how should I vote?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i w:val="1"/>
          <w:iCs w:val="1"/>
          <w:color w:val="auto"/>
        </w:rPr>
        <w:t>Three stockholder proposals will be voted upon at the Annual Meeting if properly presented by or on behalf of the proponent. The address and share ownership information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w:t>
      </w:r>
    </w:p>
    <w:p>
      <w:pPr>
        <w:spacing w:after="0" w:line="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b w:val="1"/>
          <w:bCs w:val="1"/>
          <w:i w:val="1"/>
          <w:iCs w:val="1"/>
          <w:color w:val="auto"/>
        </w:rPr>
        <w:t xml:space="preserve">The board of directors recommends you vote </w:t>
      </w:r>
      <w:r>
        <w:rPr>
          <w:rFonts w:ascii="Arial" w:cs="Arial" w:eastAsia="Arial" w:hAnsi="Arial"/>
          <w:sz w:val="17"/>
          <w:szCs w:val="17"/>
          <w:b w:val="1"/>
          <w:bCs w:val="1"/>
          <w:color w:val="auto"/>
        </w:rPr>
        <w:t>“AGAINST”</w:t>
      </w:r>
      <w:r>
        <w:rPr>
          <w:rFonts w:ascii="Arial" w:cs="Arial" w:eastAsia="Arial" w:hAnsi="Arial"/>
          <w:sz w:val="17"/>
          <w:szCs w:val="17"/>
          <w:b w:val="1"/>
          <w:bCs w:val="1"/>
          <w:i w:val="1"/>
          <w:iCs w:val="1"/>
          <w:color w:val="auto"/>
        </w:rPr>
        <w:t xml:space="preserve"> the proposals for the reasons set forth following the proposals.</w:t>
      </w:r>
    </w:p>
    <w:p>
      <w:pPr>
        <w:spacing w:after="0" w:line="200" w:lineRule="exact"/>
        <w:rPr>
          <w:sz w:val="20"/>
          <w:szCs w:val="20"/>
          <w:color w:val="auto"/>
        </w:rPr>
      </w:pPr>
    </w:p>
    <w:p>
      <w:pPr>
        <w:sectPr>
          <w:pgSz w:w="11900" w:h="16838" w:orient="portrait"/>
          <w:cols w:equalWidth="0" w:num="2">
            <w:col w:w="2000" w:space="180"/>
            <w:col w:w="7020"/>
          </w:cols>
          <w:pgMar w:left="1320" w:top="485" w:right="1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30"/>
          <w:szCs w:val="30"/>
          <w:color w:val="808080"/>
        </w:rPr>
        <w:t>Stockholder Proposal on Simple Majority Vote</w:t>
      </w:r>
    </w:p>
    <w:p>
      <w:pPr>
        <w:spacing w:after="0" w:line="21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John Chevedden, on behalf of Kenneth Steiner, has notified AbbVie that he intends to present the following proposal at the Annual Meeting and that Mr. Steiner owns the requisite number of AbbVie shares.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6 –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125095</wp:posOffset>
            </wp:positionV>
            <wp:extent cx="1430020" cy="2857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300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right="140" w:hanging="1"/>
        <w:spacing w:after="0" w:line="238" w:lineRule="auto"/>
        <w:rPr>
          <w:sz w:val="20"/>
          <w:szCs w:val="20"/>
          <w:color w:val="auto"/>
        </w:rPr>
      </w:pPr>
      <w:r>
        <w:rPr>
          <w:rFonts w:ascii="Arial" w:cs="Arial" w:eastAsia="Arial" w:hAnsi="Arial"/>
          <w:sz w:val="17"/>
          <w:szCs w:val="17"/>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132" w:lineRule="exact"/>
        <w:rPr>
          <w:sz w:val="20"/>
          <w:szCs w:val="20"/>
          <w:color w:val="auto"/>
        </w:rPr>
      </w:pPr>
    </w:p>
    <w:p>
      <w:pPr>
        <w:ind w:left="20" w:hanging="1"/>
        <w:spacing w:after="0" w:line="238" w:lineRule="auto"/>
        <w:rPr>
          <w:sz w:val="20"/>
          <w:szCs w:val="20"/>
          <w:color w:val="auto"/>
        </w:rPr>
      </w:pPr>
      <w:r>
        <w:rPr>
          <w:rFonts w:ascii="Arial" w:cs="Arial" w:eastAsia="Arial" w:hAnsi="Arial"/>
          <w:sz w:val="17"/>
          <w:szCs w:val="17"/>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like those at Marathon Petroleum are used to block corporate governance improvements supported by most shareowners but opposed by a status quo management.</w:t>
      </w:r>
    </w:p>
    <w:p>
      <w:pPr>
        <w:spacing w:after="0" w:line="132" w:lineRule="exact"/>
        <w:rPr>
          <w:sz w:val="20"/>
          <w:szCs w:val="20"/>
          <w:color w:val="auto"/>
        </w:rPr>
      </w:pPr>
    </w:p>
    <w:p>
      <w:pPr>
        <w:ind w:left="20" w:right="160" w:hanging="1"/>
        <w:spacing w:after="0"/>
        <w:rPr>
          <w:sz w:val="20"/>
          <w:szCs w:val="20"/>
          <w:color w:val="auto"/>
        </w:rPr>
      </w:pPr>
      <w:r>
        <w:rPr>
          <w:rFonts w:ascii="Arial" w:cs="Arial" w:eastAsia="Arial" w:hAnsi="Arial"/>
          <w:sz w:val="17"/>
          <w:szCs w:val="17"/>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144" w:lineRule="exact"/>
        <w:rPr>
          <w:sz w:val="20"/>
          <w:szCs w:val="20"/>
          <w:color w:val="auto"/>
        </w:rPr>
      </w:pPr>
    </w:p>
    <w:p>
      <w:pPr>
        <w:ind w:left="20" w:right="260" w:hanging="1"/>
        <w:spacing w:after="0" w:line="261" w:lineRule="auto"/>
        <w:rPr>
          <w:sz w:val="20"/>
          <w:szCs w:val="20"/>
          <w:color w:val="auto"/>
        </w:rPr>
      </w:pPr>
      <w:r>
        <w:rPr>
          <w:rFonts w:ascii="Arial" w:cs="Arial" w:eastAsia="Arial" w:hAnsi="Arial"/>
          <w:sz w:val="17"/>
          <w:szCs w:val="17"/>
          <w:color w:val="auto"/>
        </w:rPr>
        <w:t>This simple majority vote proposal will facilitate the adoption of other improvements in the corporate governance of ABBV such as annual election of each director which will in turn improve the performance of ABBV directors.</w:t>
      </w:r>
    </w:p>
    <w:p>
      <w:pPr>
        <w:spacing w:after="0" w:line="113" w:lineRule="exact"/>
        <w:rPr>
          <w:sz w:val="20"/>
          <w:szCs w:val="20"/>
          <w:color w:val="auto"/>
        </w:rPr>
      </w:pPr>
    </w:p>
    <w:p>
      <w:pPr>
        <w:ind w:left="20" w:right="120" w:hanging="1"/>
        <w:spacing w:after="0" w:line="246" w:lineRule="auto"/>
        <w:rPr>
          <w:sz w:val="20"/>
          <w:szCs w:val="20"/>
          <w:color w:val="auto"/>
        </w:rPr>
      </w:pPr>
      <w:r>
        <w:rPr>
          <w:rFonts w:ascii="Arial" w:cs="Arial" w:eastAsia="Arial" w:hAnsi="Arial"/>
          <w:sz w:val="17"/>
          <w:szCs w:val="17"/>
          <w:color w:val="auto"/>
        </w:rPr>
        <w:t>This simple majority vote proposal will help improve ABBV shareholder rights. ABBV recently scored a dismal 9 in shareholder rights with 10 being the worse possible score. If improved shareholder rights increase the market capitalization of ABBV by one-forth of 1% it would result in a $600 million increase in the market capitalization of ABBV.</w:t>
      </w:r>
    </w:p>
    <w:p>
      <w:pPr>
        <w:spacing w:after="0" w:line="125" w:lineRule="exact"/>
        <w:rPr>
          <w:sz w:val="20"/>
          <w:szCs w:val="20"/>
          <w:color w:val="auto"/>
        </w:rPr>
      </w:pPr>
    </w:p>
    <w:p>
      <w:pPr>
        <w:ind w:left="20" w:hanging="1"/>
        <w:spacing w:after="0" w:line="255" w:lineRule="auto"/>
        <w:rPr>
          <w:sz w:val="20"/>
          <w:szCs w:val="20"/>
          <w:color w:val="auto"/>
        </w:rPr>
      </w:pPr>
      <w:r>
        <w:rPr>
          <w:rFonts w:ascii="Arial" w:cs="Arial" w:eastAsia="Arial" w:hAnsi="Arial"/>
          <w:sz w:val="16"/>
          <w:szCs w:val="16"/>
          <w:color w:val="auto"/>
        </w:rPr>
        <w:t>Thus if ABBV spends a 6-figure sum to encourage more shareholders to vote in order to obtain the required 80%-approval of all shares outstanding, it would result in an astounding 6,000% return ($600 million) on the investment of the 6-figure sum.</w:t>
      </w:r>
    </w:p>
    <w:p>
      <w:pPr>
        <w:jc w:val="center"/>
        <w:ind w:right="-79"/>
        <w:spacing w:after="0" w:line="230" w:lineRule="auto"/>
        <w:rPr>
          <w:sz w:val="20"/>
          <w:szCs w:val="20"/>
          <w:color w:val="auto"/>
        </w:rPr>
      </w:pPr>
      <w:r>
        <w:rPr>
          <w:rFonts w:ascii="Arial" w:cs="Arial" w:eastAsia="Arial" w:hAnsi="Arial"/>
          <w:sz w:val="17"/>
          <w:szCs w:val="17"/>
          <w:color w:val="auto"/>
        </w:rPr>
        <w:t>Please vote yes: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Simple Majority Vote – Proposal 6</w:t>
      </w:r>
    </w:p>
    <w:p>
      <w:pPr>
        <w:spacing w:after="0" w:line="368"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80</w:t>
      </w:r>
      <w:r>
        <w:rPr>
          <w:sz w:val="20"/>
          <w:szCs w:val="20"/>
          <w:color w:val="auto"/>
        </w:rPr>
        <w:tab/>
      </w:r>
      <w:r>
        <w:rPr>
          <w:sz w:val="1"/>
          <w:szCs w:val="1"/>
          <w:color w:val="auto"/>
        </w:rPr>
        <w:drawing>
          <wp:inline distT="0" distB="0" distL="0" distR="0">
            <wp:extent cx="810260" cy="15113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24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00"/>
          </w:cols>
          <w:pgMar w:left="1320" w:top="485" w:right="1379" w:bottom="1440"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STOCKHOLDER PROPOSALS</w:t>
      </w:r>
    </w:p>
    <w:p>
      <w:pPr>
        <w:spacing w:after="0" w:line="182" w:lineRule="exact"/>
        <w:rPr>
          <w:sz w:val="20"/>
          <w:szCs w:val="20"/>
          <w:color w:val="auto"/>
        </w:rPr>
      </w:pPr>
    </w:p>
    <w:p>
      <w:pPr>
        <w:ind w:left="20" w:right="1060"/>
        <w:spacing w:after="0" w:line="280" w:lineRule="auto"/>
        <w:rPr>
          <w:sz w:val="20"/>
          <w:szCs w:val="20"/>
          <w:color w:val="auto"/>
        </w:rPr>
      </w:pPr>
      <w:r>
        <w:rPr>
          <w:rFonts w:ascii="Arial" w:cs="Arial" w:eastAsia="Arial" w:hAnsi="Arial"/>
          <w:sz w:val="30"/>
          <w:szCs w:val="30"/>
          <w:color w:val="071D49"/>
        </w:rPr>
        <w:t>Board of Directors Statement in Opposition to the Stockholder Proposal on Simple Majority Vote</w:t>
      </w:r>
    </w:p>
    <w:p>
      <w:pPr>
        <w:spacing w:after="0" w:line="106" w:lineRule="exact"/>
        <w:rPr>
          <w:sz w:val="20"/>
          <w:szCs w:val="20"/>
          <w:color w:val="auto"/>
        </w:rPr>
      </w:pPr>
    </w:p>
    <w:p>
      <w:pPr>
        <w:ind w:left="20" w:right="100"/>
        <w:spacing w:after="0" w:line="246" w:lineRule="auto"/>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Given the management proposal on the same topic to eliminate supermajority voting included this year and in prior years, this stockholder proposal is redundant, unnecessary, and confusing.</w:t>
      </w:r>
    </w:p>
    <w:p>
      <w:pPr>
        <w:spacing w:after="0" w:line="162"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Changing the By-Laws to simple majority vote as the stockholder proposes (and as management similarly proposes in its own proposal) requires 80% of outstanding shares to vote in favor. Supporting this stockholder proposal adds nothing to the effort to eliminate supermajority voting; rather, it is the management proposal that ultimately must pass in order to eliminate supermajority voting (and ultimately, declassify the board). In other words, even if a stockholder votes in favor of this stockholder proposal, unless the management proposal passes, it has no effect. The board of directors recommends that stockholders vote in favor of its management proposal instead of this stockholder proposal.</w:t>
      </w:r>
    </w:p>
    <w:p>
      <w:pPr>
        <w:spacing w:after="0" w:line="168" w:lineRule="exact"/>
        <w:rPr>
          <w:sz w:val="20"/>
          <w:szCs w:val="20"/>
          <w:color w:val="auto"/>
        </w:rPr>
      </w:pPr>
    </w:p>
    <w:p>
      <w:pPr>
        <w:ind w:left="20" w:right="60"/>
        <w:spacing w:after="0"/>
        <w:rPr>
          <w:sz w:val="20"/>
          <w:szCs w:val="20"/>
          <w:color w:val="auto"/>
        </w:rPr>
      </w:pPr>
      <w:r>
        <w:rPr>
          <w:rFonts w:ascii="Arial" w:cs="Arial" w:eastAsia="Arial" w:hAnsi="Arial"/>
          <w:sz w:val="17"/>
          <w:szCs w:val="17"/>
          <w:color w:val="auto"/>
        </w:rPr>
        <w:t>The board has long demonstrated its commitment to eliminating the supermajority voting provisions in our charter and By-Laws, as evidenced by this year’s management proposal, which was also submitted to a shareholder vote by management in 2023, 2022, 2021, 2020, 2019, and 2018. Moreover, the board submitted a management proposal on the related issue of declassifying the board in 2018, 2017, and 2016.</w:t>
      </w:r>
    </w:p>
    <w:p>
      <w:pPr>
        <w:spacing w:after="0" w:line="169" w:lineRule="exact"/>
        <w:rPr>
          <w:sz w:val="20"/>
          <w:szCs w:val="20"/>
          <w:color w:val="auto"/>
        </w:rPr>
      </w:pPr>
    </w:p>
    <w:p>
      <w:pPr>
        <w:ind w:left="20" w:right="140"/>
        <w:spacing w:after="0" w:line="236" w:lineRule="auto"/>
        <w:rPr>
          <w:sz w:val="20"/>
          <w:szCs w:val="20"/>
          <w:color w:val="auto"/>
        </w:rPr>
      </w:pPr>
      <w:r>
        <w:rPr>
          <w:rFonts w:ascii="Arial" w:cs="Arial" w:eastAsia="Arial" w:hAnsi="Arial"/>
          <w:sz w:val="17"/>
          <w:szCs w:val="17"/>
          <w:color w:val="auto"/>
        </w:rPr>
        <w:t>These management proposals require 80% of outstanding shares to vote in favor in order to pass. They have not passed in prior years in large part due to a lower than desired vote turnout, primarily among retail holdings. The stockholder proposal asks AbbVie to spend a “6-figure sum” to ensure the proposal passes. Over the past several years, AbbVie has had numerous discussions with proxy solicitors about the costs of a get-out-the-vote campaign and the likelihood of success of such a campaign for AbbVie’s stockholder base. The most recent cost estimate for such a solicitation we received was over $10 million, due to the large retail holdings of AbbVie shares. The likelihood of campaign success was uncertain and could not be assured even with the large spend.</w:t>
      </w:r>
    </w:p>
    <w:p>
      <w:pPr>
        <w:spacing w:after="0" w:line="168" w:lineRule="exact"/>
        <w:rPr>
          <w:sz w:val="20"/>
          <w:szCs w:val="20"/>
          <w:color w:val="auto"/>
        </w:rPr>
      </w:pPr>
    </w:p>
    <w:p>
      <w:pPr>
        <w:ind w:left="20" w:right="80"/>
        <w:spacing w:after="0"/>
        <w:rPr>
          <w:sz w:val="20"/>
          <w:szCs w:val="20"/>
          <w:color w:val="auto"/>
        </w:rPr>
      </w:pPr>
      <w:r>
        <w:rPr>
          <w:rFonts w:ascii="Arial" w:cs="Arial" w:eastAsia="Arial" w:hAnsi="Arial"/>
          <w:sz w:val="17"/>
          <w:szCs w:val="17"/>
          <w:color w:val="auto"/>
        </w:rPr>
        <w:t>AbbVie conducts a robust investor engagement program each year to greater than 40% of our outstanding shares, and we have never had a stockholder suggest we should spend these types of resources on a get-out-the-vote campaign, other than the proponent. To the contrary, the consistent feedback from our stockholders is that such a cost would not be a good use of company resources, particularly with an uncertain likelihood of success.</w:t>
      </w:r>
    </w:p>
    <w:p>
      <w:pPr>
        <w:spacing w:after="0" w:line="169" w:lineRule="exact"/>
        <w:rPr>
          <w:sz w:val="20"/>
          <w:szCs w:val="20"/>
          <w:color w:val="auto"/>
        </w:rPr>
      </w:pPr>
    </w:p>
    <w:p>
      <w:pPr>
        <w:ind w:left="20" w:right="140"/>
        <w:spacing w:after="0"/>
        <w:rPr>
          <w:sz w:val="20"/>
          <w:szCs w:val="20"/>
          <w:color w:val="auto"/>
        </w:rPr>
      </w:pPr>
      <w:r>
        <w:rPr>
          <w:rFonts w:ascii="Arial" w:cs="Arial" w:eastAsia="Arial" w:hAnsi="Arial"/>
          <w:sz w:val="17"/>
          <w:szCs w:val="17"/>
          <w:color w:val="auto"/>
        </w:rPr>
        <w:t>In sum, the board has already shown a commitment, taken all of the steps necessary to eliminate supermajority voting, and has done so for many years. Stockholders may vote for the management proposal to eliminate supermajority voting instead of this stockholder proposal. The board remains committed to eliminating supermajority voting and ultimately declassifying the board, but a non-binding, advisory stockholder proposal does nothing to advance these goals.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The board of directors recommends that you vote AGAINST the proposal.</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30"/>
          <w:szCs w:val="30"/>
          <w:color w:val="808080"/>
        </w:rPr>
        <w:t>Stockholder Proposal on Lobbying</w:t>
      </w:r>
    </w:p>
    <w:p>
      <w:pPr>
        <w:spacing w:after="0" w:line="215" w:lineRule="exact"/>
        <w:rPr>
          <w:sz w:val="20"/>
          <w:szCs w:val="20"/>
          <w:color w:val="auto"/>
        </w:rPr>
      </w:pPr>
    </w:p>
    <w:p>
      <w:pPr>
        <w:ind w:left="20" w:right="20"/>
        <w:spacing w:after="0" w:line="246" w:lineRule="auto"/>
        <w:rPr>
          <w:sz w:val="20"/>
          <w:szCs w:val="20"/>
          <w:color w:val="auto"/>
        </w:rPr>
      </w:pPr>
      <w:r>
        <w:rPr>
          <w:rFonts w:ascii="Arial" w:cs="Arial" w:eastAsia="Arial" w:hAnsi="Arial"/>
          <w:sz w:val="17"/>
          <w:szCs w:val="17"/>
          <w:color w:val="auto"/>
        </w:rPr>
        <w:t>Zevin Asset Management on behalf of Alyson Pyette, and co-filers Dana Investment Advisors and Miller/Howard Investments, Inc. on behalf of Owen Harvey, have notified AbbVie that they intend to present the following proposal at the Annual Meeting and that they own the requisite number of AbbVie shares.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the stockholders of AbbVie request the preparation of a report, updated annually, disclosing:</w:t>
      </w:r>
    </w:p>
    <w:p>
      <w:pPr>
        <w:spacing w:after="0" w:line="155" w:lineRule="exact"/>
        <w:rPr>
          <w:sz w:val="20"/>
          <w:szCs w:val="20"/>
          <w:color w:val="auto"/>
        </w:rPr>
      </w:pPr>
    </w:p>
    <w:p>
      <w:pPr>
        <w:ind w:left="640" w:right="1160" w:hanging="303"/>
        <w:spacing w:after="0" w:line="261"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84" w:name="page85"/>
    <w:bookmarkEnd w:id="84"/>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STOCKHOLDER PROPOSALS</w:t>
      </w:r>
    </w:p>
    <w:p>
      <w:pPr>
        <w:spacing w:after="0" w:line="180" w:lineRule="exact"/>
        <w:rPr>
          <w:sz w:val="20"/>
          <w:szCs w:val="20"/>
          <w:color w:val="auto"/>
        </w:rPr>
      </w:pPr>
    </w:p>
    <w:p>
      <w:pPr>
        <w:ind w:left="628" w:right="60" w:hanging="303"/>
        <w:spacing w:after="0" w:line="261" w:lineRule="auto"/>
        <w:tabs>
          <w:tab w:leader="none" w:pos="6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Payments by AbbVie used for (a) direct or indirect lobbying or (b) grassroots lobbying communications, in each case including the amount of the payment and the recipient.</w:t>
      </w:r>
    </w:p>
    <w:p>
      <w:pPr>
        <w:spacing w:after="0" w:line="50" w:lineRule="exact"/>
        <w:rPr>
          <w:rFonts w:ascii="Arial" w:cs="Arial" w:eastAsia="Arial" w:hAnsi="Arial"/>
          <w:sz w:val="17"/>
          <w:szCs w:val="17"/>
          <w:color w:val="auto"/>
        </w:rPr>
      </w:pPr>
    </w:p>
    <w:p>
      <w:pPr>
        <w:ind w:left="628" w:hanging="303"/>
        <w:spacing w:after="0"/>
        <w:tabs>
          <w:tab w:leader="none" w:pos="6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AbbVie’s membership in and payments to any tax-exempt organization that writes and endorses model legislation.</w:t>
      </w:r>
    </w:p>
    <w:p>
      <w:pPr>
        <w:spacing w:after="0" w:line="92" w:lineRule="exact"/>
        <w:rPr>
          <w:rFonts w:ascii="Arial" w:cs="Arial" w:eastAsia="Arial" w:hAnsi="Arial"/>
          <w:sz w:val="17"/>
          <w:szCs w:val="17"/>
          <w:color w:val="auto"/>
        </w:rPr>
      </w:pPr>
    </w:p>
    <w:p>
      <w:pPr>
        <w:ind w:left="628" w:right="120" w:hanging="303"/>
        <w:spacing w:after="0" w:line="261" w:lineRule="auto"/>
        <w:tabs>
          <w:tab w:leader="none" w:pos="62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Description of management’s decision-making process and the Board’s oversight for making payments described in point 2 above.</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w:t>
      </w:r>
    </w:p>
    <w:p>
      <w:pPr>
        <w:spacing w:after="0" w:line="20" w:lineRule="exact"/>
        <w:rPr>
          <w:sz w:val="20"/>
          <w:szCs w:val="20"/>
          <w:color w:val="auto"/>
        </w:rPr>
      </w:pPr>
    </w:p>
    <w:p>
      <w:pPr>
        <w:jc w:val="both"/>
        <w:ind w:left="8" w:right="80" w:hanging="8"/>
        <w:spacing w:after="0" w:line="235" w:lineRule="auto"/>
        <w:tabs>
          <w:tab w:leader="none" w:pos="25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AbbVie is a member. Both “direct and indirect lobbying” and “grassroots lobbying communications” include efforts at the local, state and federal levels.</w:t>
      </w:r>
    </w:p>
    <w:p>
      <w:pPr>
        <w:spacing w:after="0" w:line="132" w:lineRule="exact"/>
        <w:rPr>
          <w:sz w:val="20"/>
          <w:szCs w:val="20"/>
          <w:color w:val="auto"/>
        </w:rPr>
      </w:pPr>
    </w:p>
    <w:p>
      <w:pPr>
        <w:ind w:left="8" w:right="940"/>
        <w:spacing w:after="0" w:line="399" w:lineRule="auto"/>
        <w:rPr>
          <w:sz w:val="20"/>
          <w:szCs w:val="20"/>
          <w:color w:val="auto"/>
        </w:rPr>
      </w:pPr>
      <w:r>
        <w:rPr>
          <w:rFonts w:ascii="Arial" w:cs="Arial" w:eastAsia="Arial" w:hAnsi="Arial"/>
          <w:sz w:val="17"/>
          <w:szCs w:val="17"/>
          <w:color w:val="auto"/>
        </w:rPr>
        <w:t xml:space="preserve">The report shall be presented to the Public Policy and Sustainability Committee and posted on AbbVie’s website. </w:t>
      </w:r>
      <w:r>
        <w:rPr>
          <w:rFonts w:ascii="Arial" w:cs="Arial" w:eastAsia="Arial" w:hAnsi="Arial"/>
          <w:sz w:val="17"/>
          <w:szCs w:val="17"/>
          <w:b w:val="1"/>
          <w:bCs w:val="1"/>
          <w:color w:val="auto"/>
        </w:rPr>
        <w:t>Supporting Statement</w:t>
      </w:r>
    </w:p>
    <w:p>
      <w:pPr>
        <w:spacing w:after="0" w:line="1" w:lineRule="exact"/>
        <w:rPr>
          <w:sz w:val="20"/>
          <w:szCs w:val="20"/>
          <w:color w:val="auto"/>
        </w:rPr>
      </w:pPr>
    </w:p>
    <w:p>
      <w:pPr>
        <w:ind w:left="8" w:right="120"/>
        <w:spacing w:after="0"/>
        <w:rPr>
          <w:sz w:val="20"/>
          <w:szCs w:val="20"/>
          <w:color w:val="auto"/>
        </w:rPr>
      </w:pPr>
      <w:r>
        <w:rPr>
          <w:rFonts w:ascii="Arial" w:cs="Arial" w:eastAsia="Arial" w:hAnsi="Arial"/>
          <w:sz w:val="17"/>
          <w:szCs w:val="17"/>
          <w:color w:val="auto"/>
        </w:rPr>
        <w:t>Full disclosure of AbbVie’s lobbying activities and expenditures is needed to assess whether AbbVie’s lobbying is consistent with its expressed goals and stockholder interests. AbbVie spent $63,850,000 between 2013 – 2022 on federal lobbying. AbbVie lobbies at the state level, spending over $2.5 million on lobbying in California from 2013 – 2022. AbbVie also lobbies abroad, spending between €1,000,000 – 1,249,999 on lobbying in Europe for 2022.</w:t>
      </w:r>
    </w:p>
    <w:p>
      <w:pPr>
        <w:spacing w:after="0" w:line="131" w:lineRule="exact"/>
        <w:rPr>
          <w:sz w:val="20"/>
          <w:szCs w:val="20"/>
          <w:color w:val="auto"/>
        </w:rPr>
      </w:pPr>
    </w:p>
    <w:p>
      <w:pPr>
        <w:ind w:left="8"/>
        <w:spacing w:after="0" w:line="223" w:lineRule="auto"/>
        <w:rPr>
          <w:sz w:val="20"/>
          <w:szCs w:val="20"/>
          <w:color w:val="auto"/>
        </w:rPr>
      </w:pPr>
      <w:r>
        <w:rPr>
          <w:rFonts w:ascii="Arial" w:cs="Arial" w:eastAsia="Arial" w:hAnsi="Arial"/>
          <w:sz w:val="17"/>
          <w:szCs w:val="17"/>
          <w:color w:val="auto"/>
        </w:rPr>
        <w:t>Companies can give unlimited amounts to third party groups that spend millions on lobbying and undisclosed grassroots activity.</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AbbVie reportedly gave nonprofits over $300 million in 2018.</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Unlike many of its peers, AbbVie fails to disclose its payments to trade associations and social welfare groups (SWGs), or the amounts used for lobbying, to stockholders. AbbVie discloses membership in the Chamber of Commerce, which has spent over $1.8 billion on lobbying since 1998. AbbVie’s disclosure omits several trade associations that lobby including the Healthcare Distribution Alliance and Healthcare Institute of New Jersey and all SWGs, including the Alliance for Patient Access.</w:t>
      </w:r>
      <w:r>
        <w:rPr>
          <w:rFonts w:ascii="Arial" w:cs="Arial" w:eastAsia="Arial" w:hAnsi="Arial"/>
          <w:sz w:val="25"/>
          <w:szCs w:val="25"/>
          <w:color w:val="auto"/>
          <w:vertAlign w:val="superscript"/>
        </w:rPr>
        <w:t>3</w:t>
      </w:r>
    </w:p>
    <w:p>
      <w:pPr>
        <w:spacing w:after="0" w:line="28" w:lineRule="exact"/>
        <w:rPr>
          <w:sz w:val="20"/>
          <w:szCs w:val="20"/>
          <w:color w:val="auto"/>
        </w:rPr>
      </w:pPr>
    </w:p>
    <w:p>
      <w:pPr>
        <w:ind w:left="8" w:right="20"/>
        <w:spacing w:after="0" w:line="251" w:lineRule="auto"/>
        <w:rPr>
          <w:sz w:val="20"/>
          <w:szCs w:val="20"/>
          <w:color w:val="auto"/>
        </w:rPr>
      </w:pPr>
      <w:r>
        <w:rPr>
          <w:rFonts w:ascii="Arial" w:cs="Arial" w:eastAsia="Arial" w:hAnsi="Arial"/>
          <w:sz w:val="17"/>
          <w:szCs w:val="17"/>
          <w:color w:val="auto"/>
        </w:rPr>
        <w:t>AbbVie’s lack of disclosure presents reputational risk when its lobbying contradicts company public positions. AbbVie states it supports more affordable medicines yet has drawn scrutiny for lobbying “to kill lower drug prices during pandemic”</w:t>
      </w:r>
      <w:r>
        <w:rPr>
          <w:rFonts w:ascii="Arial" w:cs="Arial" w:eastAsia="Arial" w:hAnsi="Arial"/>
          <w:sz w:val="25"/>
          <w:szCs w:val="25"/>
          <w:color w:val="auto"/>
          <w:vertAlign w:val="superscript"/>
        </w:rPr>
        <w:t>4</w:t>
      </w:r>
      <w:r>
        <w:rPr>
          <w:rFonts w:ascii="Arial" w:cs="Arial" w:eastAsia="Arial" w:hAnsi="Arial"/>
          <w:sz w:val="17"/>
          <w:szCs w:val="17"/>
          <w:color w:val="auto"/>
        </w:rPr>
        <w:t xml:space="preserve"> and funding “ads attacking prescription drug bill — after hiking prices up to 470%.”</w:t>
      </w:r>
      <w:r>
        <w:rPr>
          <w:rFonts w:ascii="Arial" w:cs="Arial" w:eastAsia="Arial" w:hAnsi="Arial"/>
          <w:sz w:val="25"/>
          <w:szCs w:val="25"/>
          <w:color w:val="auto"/>
          <w:vertAlign w:val="superscript"/>
        </w:rPr>
        <w:t>5</w:t>
      </w:r>
    </w:p>
    <w:p>
      <w:pPr>
        <w:spacing w:after="0" w:line="29" w:lineRule="exact"/>
        <w:rPr>
          <w:sz w:val="20"/>
          <w:szCs w:val="20"/>
          <w:color w:val="auto"/>
        </w:rPr>
      </w:pPr>
    </w:p>
    <w:p>
      <w:pPr>
        <w:ind w:left="8" w:right="60"/>
        <w:spacing w:after="0" w:line="218" w:lineRule="auto"/>
        <w:rPr>
          <w:sz w:val="20"/>
          <w:szCs w:val="20"/>
          <w:color w:val="auto"/>
        </w:rPr>
      </w:pPr>
      <w:r>
        <w:rPr>
          <w:rFonts w:ascii="Arial" w:cs="Arial" w:eastAsia="Arial" w:hAnsi="Arial"/>
          <w:sz w:val="17"/>
          <w:szCs w:val="17"/>
          <w:color w:val="auto"/>
        </w:rPr>
        <w:t>AbbVie believes in addressing climate change, yet the Chamber reportedly has been a “central actor” in dissuading climate legislation over a two-decade period.</w:t>
      </w:r>
      <w:r>
        <w:rPr>
          <w:rFonts w:ascii="Arial" w:cs="Arial" w:eastAsia="Arial" w:hAnsi="Arial"/>
          <w:sz w:val="25"/>
          <w:szCs w:val="25"/>
          <w:color w:val="auto"/>
          <w:vertAlign w:val="superscript"/>
        </w:rPr>
        <w:t>6</w:t>
      </w:r>
      <w:r>
        <w:rPr>
          <w:rFonts w:ascii="Arial" w:cs="Arial" w:eastAsia="Arial" w:hAnsi="Arial"/>
          <w:sz w:val="17"/>
          <w:szCs w:val="17"/>
          <w:color w:val="auto"/>
        </w:rPr>
        <w:t xml:space="preserve"> And while AbbVie does not belong to the controversial American Legislative Exchange Council,</w:t>
      </w:r>
      <w:r>
        <w:rPr>
          <w:rFonts w:ascii="Arial" w:cs="Arial" w:eastAsia="Arial" w:hAnsi="Arial"/>
          <w:sz w:val="25"/>
          <w:szCs w:val="25"/>
          <w:color w:val="auto"/>
          <w:vertAlign w:val="superscript"/>
        </w:rPr>
        <w:t>7</w:t>
      </w:r>
      <w:r>
        <w:rPr>
          <w:rFonts w:ascii="Arial" w:cs="Arial" w:eastAsia="Arial" w:hAnsi="Arial"/>
          <w:sz w:val="17"/>
          <w:szCs w:val="17"/>
          <w:color w:val="auto"/>
        </w:rPr>
        <w:t xml:space="preserve"> it is represented by the Chamber, which sits on its Private Enterprise Advisory Council.</w:t>
      </w:r>
      <w:r>
        <w:rPr>
          <w:rFonts w:ascii="Arial" w:cs="Arial" w:eastAsia="Arial" w:hAnsi="Arial"/>
          <w:sz w:val="25"/>
          <w:szCs w:val="25"/>
          <w:color w:val="auto"/>
          <w:vertAlign w:val="superscript"/>
        </w:rPr>
        <w:t>8</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7"/>
          <w:szCs w:val="17"/>
          <w:color w:val="auto"/>
        </w:rPr>
        <w:t>AbbVie should expand its disclosure to benefit investors seeking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14700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76" w:lineRule="exact"/>
        <w:rPr>
          <w:sz w:val="20"/>
          <w:szCs w:val="20"/>
          <w:color w:val="auto"/>
        </w:rPr>
      </w:pPr>
    </w:p>
    <w:p>
      <w:pPr>
        <w:ind w:left="88" w:hanging="88"/>
        <w:spacing w:after="0"/>
        <w:tabs>
          <w:tab w:leader="none" w:pos="88" w:val="left"/>
        </w:tabs>
        <w:numPr>
          <w:ilvl w:val="0"/>
          <w:numId w:val="109"/>
        </w:numPr>
        <w:rPr>
          <w:rFonts w:ascii="Arial" w:cs="Arial" w:eastAsia="Arial" w:hAnsi="Arial"/>
          <w:sz w:val="20"/>
          <w:szCs w:val="20"/>
          <w:color w:val="auto"/>
          <w:vertAlign w:val="superscript"/>
        </w:rPr>
      </w:pPr>
      <w:r>
        <w:rPr>
          <w:rFonts w:ascii="Arial" w:cs="Arial" w:eastAsia="Arial" w:hAnsi="Arial"/>
          <w:sz w:val="13"/>
          <w:szCs w:val="13"/>
          <w:u w:val="single" w:color="auto"/>
          <w:color w:val="auto"/>
        </w:rPr>
        <w:t>https://theintercept.com/2019/08/06/business-group-spending-on-lobbying-in-washington-is-at-least-double-whats-publicly-reported/</w:t>
      </w:r>
      <w:r>
        <w:rPr>
          <w:rFonts w:ascii="Arial" w:cs="Arial" w:eastAsia="Arial" w:hAnsi="Arial"/>
          <w:sz w:val="13"/>
          <w:szCs w:val="13"/>
          <w:color w:val="auto"/>
        </w:rPr>
        <w:t>.</w:t>
      </w:r>
    </w:p>
    <w:p>
      <w:pPr>
        <w:ind w:left="8"/>
        <w:spacing w:after="0" w:line="184"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2</w:t>
      </w:r>
      <w:r>
        <w:rPr>
          <w:rFonts w:ascii="Arial" w:cs="Arial" w:eastAsia="Arial" w:hAnsi="Arial"/>
          <w:sz w:val="12"/>
          <w:szCs w:val="12"/>
          <w:color w:val="auto"/>
        </w:rPr>
        <w:t xml:space="preserve"> </w:t>
      </w:r>
      <w:r>
        <w:rPr>
          <w:rFonts w:ascii="Arial" w:cs="Arial" w:eastAsia="Arial" w:hAnsi="Arial"/>
          <w:sz w:val="12"/>
          <w:szCs w:val="12"/>
          <w:u w:val="single" w:color="auto"/>
          <w:color w:val="auto"/>
        </w:rPr>
        <w:t>https://about.bgov.com/news/abbvie-bristol-myers-among-patient-advocacy-groups-big-backers/</w:t>
      </w:r>
      <w:r>
        <w:rPr>
          <w:rFonts w:ascii="Arial" w:cs="Arial" w:eastAsia="Arial" w:hAnsi="Arial"/>
          <w:sz w:val="12"/>
          <w:szCs w:val="12"/>
          <w:color w:val="auto"/>
        </w:rPr>
        <w:t>.</w:t>
      </w:r>
    </w:p>
    <w:p>
      <w:pPr>
        <w:ind w:left="8"/>
        <w:spacing w:after="0" w:line="184"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3</w:t>
      </w:r>
      <w:r>
        <w:rPr>
          <w:rFonts w:ascii="Arial" w:cs="Arial" w:eastAsia="Arial" w:hAnsi="Arial"/>
          <w:sz w:val="12"/>
          <w:szCs w:val="12"/>
          <w:color w:val="auto"/>
        </w:rPr>
        <w:t xml:space="preserve"> </w:t>
      </w:r>
      <w:r>
        <w:rPr>
          <w:rFonts w:ascii="Arial" w:cs="Arial" w:eastAsia="Arial" w:hAnsi="Arial"/>
          <w:sz w:val="12"/>
          <w:szCs w:val="12"/>
          <w:u w:val="single" w:color="auto"/>
          <w:color w:val="auto"/>
        </w:rPr>
        <w:t>https://prospect.org/power/astroturf-campaign-attacks-discount-drug-program-for-poor/</w:t>
      </w:r>
      <w:r>
        <w:rPr>
          <w:rFonts w:ascii="Arial" w:cs="Arial" w:eastAsia="Arial" w:hAnsi="Arial"/>
          <w:sz w:val="12"/>
          <w:szCs w:val="12"/>
          <w:color w:val="auto"/>
        </w:rPr>
        <w:t>.</w:t>
      </w:r>
    </w:p>
    <w:p>
      <w:pPr>
        <w:ind w:left="8"/>
        <w:spacing w:after="0" w:line="184"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4</w:t>
      </w:r>
      <w:r>
        <w:rPr>
          <w:rFonts w:ascii="Arial" w:cs="Arial" w:eastAsia="Arial" w:hAnsi="Arial"/>
          <w:sz w:val="12"/>
          <w:szCs w:val="12"/>
          <w:color w:val="auto"/>
        </w:rPr>
        <w:t xml:space="preserve"> </w:t>
      </w:r>
      <w:r>
        <w:rPr>
          <w:rFonts w:ascii="Arial" w:cs="Arial" w:eastAsia="Arial" w:hAnsi="Arial"/>
          <w:sz w:val="12"/>
          <w:szCs w:val="12"/>
          <w:u w:val="single" w:color="auto"/>
          <w:color w:val="auto"/>
        </w:rPr>
        <w:t>https://www.commondreams.org/news/2022/07/13/big-pharma-has-spent-147-million-kill-lower-drug-prices-during-pandemic</w:t>
      </w:r>
      <w:r>
        <w:rPr>
          <w:rFonts w:ascii="Arial" w:cs="Arial" w:eastAsia="Arial" w:hAnsi="Arial"/>
          <w:sz w:val="12"/>
          <w:szCs w:val="12"/>
          <w:color w:val="auto"/>
        </w:rPr>
        <w:t>.</w:t>
      </w:r>
    </w:p>
    <w:p>
      <w:pPr>
        <w:ind w:left="8" w:right="1560"/>
        <w:spacing w:after="0" w:line="189"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5</w:t>
      </w:r>
      <w:r>
        <w:rPr>
          <w:rFonts w:ascii="Arial" w:cs="Arial" w:eastAsia="Arial" w:hAnsi="Arial"/>
          <w:sz w:val="13"/>
          <w:szCs w:val="13"/>
          <w:color w:val="auto"/>
        </w:rPr>
        <w:t xml:space="preserve"> </w:t>
      </w:r>
      <w:r>
        <w:rPr>
          <w:rFonts w:ascii="Arial" w:cs="Arial" w:eastAsia="Arial" w:hAnsi="Arial"/>
          <w:sz w:val="13"/>
          <w:szCs w:val="13"/>
          <w:u w:val="single" w:color="auto"/>
          <w:color w:val="auto"/>
        </w:rPr>
        <w:t>https://www.salon.com/2021/05/26/pharma-giant-abbvie-funds-ads-attacking-prescription-drug-bill--after-hiking-prices-up-to-470/</w:t>
      </w:r>
      <w:r>
        <w:rPr>
          <w:rFonts w:ascii="Arial" w:cs="Arial" w:eastAsia="Arial" w:hAnsi="Arial"/>
          <w:sz w:val="13"/>
          <w:szCs w:val="13"/>
          <w:color w:val="auto"/>
        </w:rPr>
        <w:t xml:space="preserve">. </w:t>
      </w:r>
      <w:r>
        <w:rPr>
          <w:rFonts w:ascii="Arial" w:cs="Arial" w:eastAsia="Arial" w:hAnsi="Arial"/>
          <w:sz w:val="20"/>
          <w:szCs w:val="20"/>
          <w:color w:val="auto"/>
          <w:vertAlign w:val="superscript"/>
        </w:rPr>
        <w:t>6</w:t>
      </w:r>
      <w:r>
        <w:rPr>
          <w:rFonts w:ascii="Arial" w:cs="Arial" w:eastAsia="Arial" w:hAnsi="Arial"/>
          <w:sz w:val="13"/>
          <w:szCs w:val="13"/>
          <w:color w:val="auto"/>
        </w:rPr>
        <w:t xml:space="preserve"> </w:t>
      </w:r>
      <w:r>
        <w:rPr>
          <w:rFonts w:ascii="Arial" w:cs="Arial" w:eastAsia="Arial" w:hAnsi="Arial"/>
          <w:sz w:val="13"/>
          <w:szCs w:val="13"/>
          <w:u w:val="single" w:color="auto"/>
          <w:color w:val="auto"/>
        </w:rPr>
        <w:t>https://www.washingtonpost.com/politics/2023/08/02/climate-group-pushes-big-tech-exit-nations-largest-business-lobby/</w:t>
      </w:r>
      <w:r>
        <w:rPr>
          <w:rFonts w:ascii="Arial" w:cs="Arial" w:eastAsia="Arial" w:hAnsi="Arial"/>
          <w:sz w:val="13"/>
          <w:szCs w:val="13"/>
          <w:color w:val="auto"/>
        </w:rPr>
        <w:t>.</w:t>
      </w:r>
    </w:p>
    <w:p>
      <w:pPr>
        <w:spacing w:after="0" w:line="1" w:lineRule="exact"/>
        <w:rPr>
          <w:rFonts w:ascii="Arial" w:cs="Arial" w:eastAsia="Arial" w:hAnsi="Arial"/>
          <w:sz w:val="20"/>
          <w:szCs w:val="20"/>
          <w:color w:val="auto"/>
          <w:vertAlign w:val="superscript"/>
        </w:rPr>
      </w:pPr>
    </w:p>
    <w:p>
      <w:pPr>
        <w:ind w:left="8"/>
        <w:spacing w:after="0" w:line="184" w:lineRule="auto"/>
        <w:rPr>
          <w:rFonts w:ascii="Arial" w:cs="Arial" w:eastAsia="Arial" w:hAnsi="Arial"/>
          <w:sz w:val="20"/>
          <w:szCs w:val="20"/>
          <w:color w:val="auto"/>
          <w:vertAlign w:val="superscript"/>
        </w:rPr>
      </w:pPr>
      <w:r>
        <w:rPr>
          <w:rFonts w:ascii="Arial" w:cs="Arial" w:eastAsia="Arial" w:hAnsi="Arial"/>
          <w:sz w:val="17"/>
          <w:szCs w:val="17"/>
          <w:color w:val="auto"/>
          <w:vertAlign w:val="superscript"/>
        </w:rPr>
        <w:t>7</w:t>
      </w:r>
      <w:r>
        <w:rPr>
          <w:rFonts w:ascii="Arial" w:cs="Arial" w:eastAsia="Arial" w:hAnsi="Arial"/>
          <w:sz w:val="12"/>
          <w:szCs w:val="12"/>
          <w:color w:val="auto"/>
        </w:rPr>
        <w:t xml:space="preserve"> </w:t>
      </w:r>
      <w:r>
        <w:rPr>
          <w:rFonts w:ascii="Arial" w:cs="Arial" w:eastAsia="Arial" w:hAnsi="Arial"/>
          <w:sz w:val="12"/>
          <w:szCs w:val="12"/>
          <w:u w:val="single" w:color="auto"/>
          <w:color w:val="auto"/>
        </w:rPr>
        <w:t>https://www.wbur.org/hereandnow/2023/03/22/esg-investing-fossil-fuels</w:t>
      </w:r>
      <w:r>
        <w:rPr>
          <w:rFonts w:ascii="Arial" w:cs="Arial" w:eastAsia="Arial" w:hAnsi="Arial"/>
          <w:sz w:val="12"/>
          <w:szCs w:val="12"/>
          <w:color w:val="auto"/>
        </w:rPr>
        <w:t>.</w:t>
      </w:r>
    </w:p>
    <w:p>
      <w:pPr>
        <w:ind w:left="8"/>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8</w:t>
      </w:r>
      <w:r>
        <w:rPr>
          <w:rFonts w:ascii="Arial" w:cs="Arial" w:eastAsia="Arial" w:hAnsi="Arial"/>
          <w:sz w:val="13"/>
          <w:szCs w:val="13"/>
          <w:color w:val="auto"/>
        </w:rPr>
        <w:t xml:space="preserve"> </w:t>
      </w:r>
      <w:r>
        <w:rPr>
          <w:rFonts w:ascii="Arial" w:cs="Arial" w:eastAsia="Arial" w:hAnsi="Arial"/>
          <w:sz w:val="13"/>
          <w:szCs w:val="13"/>
          <w:u w:val="single" w:color="auto"/>
          <w:color w:val="auto"/>
        </w:rPr>
        <w:t>https://ohiocapitaljournal.com/2023/09/06/coming-soon-in-ohio-alec-releases-new-raft-of-model-legislation/</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82</w:t>
      </w:r>
      <w:r>
        <w:rPr>
          <w:sz w:val="20"/>
          <w:szCs w:val="20"/>
          <w:color w:val="auto"/>
        </w:rPr>
        <w:tab/>
      </w:r>
      <w:r>
        <w:rPr>
          <w:sz w:val="1"/>
          <w:szCs w:val="1"/>
          <w:color w:val="auto"/>
        </w:rPr>
        <w:drawing>
          <wp:inline distT="0" distB="0" distL="0" distR="0">
            <wp:extent cx="810260" cy="15113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24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87085" cy="24130"/>
                    </a:xfrm>
                    <a:prstGeom prst="rect">
                      <a:avLst/>
                    </a:prstGeom>
                    <a:noFill/>
                  </pic:spPr>
                </pic:pic>
              </a:graphicData>
            </a:graphic>
          </wp:anchor>
        </w:drawing>
      </w:r>
    </w:p>
    <w:p>
      <w:pPr>
        <w:sectPr>
          <w:pgSz w:w="11900" w:h="16838" w:orient="portrait"/>
          <w:cols w:equalWidth="0" w:num="1">
            <w:col w:w="9248"/>
          </w:cols>
          <w:pgMar w:left="1312" w:top="486" w:right="1339" w:bottom="1440" w:gutter="0" w:footer="0" w:header="0"/>
        </w:sectPr>
      </w:pPr>
    </w:p>
    <w:bookmarkStart w:id="85" w:name="page86"/>
    <w:bookmarkEnd w:id="8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STOCKHOLDER PROPOSALS</w:t>
      </w:r>
    </w:p>
    <w:p>
      <w:pPr>
        <w:spacing w:after="0" w:line="182" w:lineRule="exact"/>
        <w:rPr>
          <w:sz w:val="20"/>
          <w:szCs w:val="20"/>
          <w:color w:val="auto"/>
        </w:rPr>
      </w:pPr>
    </w:p>
    <w:p>
      <w:pPr>
        <w:ind w:left="20" w:right="1060"/>
        <w:spacing w:after="0" w:line="280" w:lineRule="auto"/>
        <w:rPr>
          <w:sz w:val="20"/>
          <w:szCs w:val="20"/>
          <w:color w:val="auto"/>
        </w:rPr>
      </w:pPr>
      <w:r>
        <w:rPr>
          <w:rFonts w:ascii="Arial" w:cs="Arial" w:eastAsia="Arial" w:hAnsi="Arial"/>
          <w:sz w:val="30"/>
          <w:szCs w:val="30"/>
          <w:color w:val="071D49"/>
        </w:rPr>
        <w:t>Board of Directors Statement in Opposition to the Stockholder Proposal on Lobbying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w:t>
      </w:r>
    </w:p>
    <w:p>
      <w:pPr>
        <w:spacing w:after="0" w:line="192" w:lineRule="exact"/>
        <w:rPr>
          <w:sz w:val="20"/>
          <w:szCs w:val="20"/>
          <w:color w:val="auto"/>
        </w:rPr>
      </w:pPr>
    </w:p>
    <w:p>
      <w:pPr>
        <w:ind w:left="20" w:right="600"/>
        <w:spacing w:after="0" w:line="271" w:lineRule="auto"/>
        <w:rPr>
          <w:sz w:val="20"/>
          <w:szCs w:val="20"/>
          <w:color w:val="auto"/>
        </w:rPr>
      </w:pPr>
      <w:r>
        <w:rPr>
          <w:rFonts w:ascii="Arial" w:cs="Arial" w:eastAsia="Arial" w:hAnsi="Arial"/>
          <w:sz w:val="17"/>
          <w:szCs w:val="17"/>
          <w:b w:val="1"/>
          <w:bCs w:val="1"/>
          <w:color w:val="auto"/>
        </w:rPr>
        <w:t>AbbVie advocates on topics that advance patient access to innovative new medicines and reward meaningful innovation. This engagement is governed by robust processes and oversight mechanisms.</w:t>
      </w:r>
    </w:p>
    <w:p>
      <w:pPr>
        <w:spacing w:after="0" w:line="122"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As discussed in more detail on our website, AbbVie advocates on a range of issues core to our business, including advancing patient access to innovative new medicines. This advocacy is governed by robust processes and oversight mechanisms, including:</w:t>
      </w:r>
    </w:p>
    <w:p>
      <w:pPr>
        <w:spacing w:after="0" w:line="2" w:lineRule="exact"/>
        <w:rPr>
          <w:sz w:val="20"/>
          <w:szCs w:val="20"/>
          <w:color w:val="auto"/>
        </w:rPr>
      </w:pPr>
    </w:p>
    <w:p>
      <w:pPr>
        <w:ind w:left="640" w:right="300" w:hanging="303"/>
        <w:spacing w:after="0" w:line="230" w:lineRule="auto"/>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The public policy and sustainability committee exercises oversight of AbbVie’s political expenditures and lobbying activities, which are further governed by the committee’s policy on political contributions. The public policy and sustainability committee and AbbVie’s senior management review these activities and expenditures on a regular basis.</w:t>
      </w:r>
    </w:p>
    <w:p>
      <w:pPr>
        <w:ind w:left="640" w:right="80" w:hanging="303"/>
        <w:spacing w:after="0" w:line="230" w:lineRule="auto"/>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The Senior Vice President, Government Affairs reviews and approves all corporate political contributions to ensure these contributions are consistent with the company’s guidelines and in accordance with applicable laws as required by the committee’s policy on political contributions.</w:t>
      </w:r>
    </w:p>
    <w:p>
      <w:pPr>
        <w:ind w:left="640" w:right="780" w:hanging="303"/>
        <w:spacing w:after="0" w:line="229" w:lineRule="auto"/>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An internal Political Action Committee (PAC) Board of Directors comprised of at least twelve senior leaders representing a broad range of functions within AbbVie guides the AbbVie PAC.</w:t>
      </w:r>
    </w:p>
    <w:p>
      <w:pPr>
        <w:spacing w:after="0" w:line="1"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A rigorous internal vetting process is conducted to review each political contribution.</w:t>
      </w:r>
    </w:p>
    <w:p>
      <w:pPr>
        <w:spacing w:after="0" w:line="3" w:lineRule="exact"/>
        <w:rPr>
          <w:rFonts w:ascii="Times New Roman" w:cs="Times New Roman" w:eastAsia="Times New Roman" w:hAnsi="Times New Roman"/>
          <w:sz w:val="17"/>
          <w:szCs w:val="17"/>
          <w:color w:val="auto"/>
        </w:rPr>
      </w:pPr>
    </w:p>
    <w:p>
      <w:pPr>
        <w:ind w:left="640" w:right="340" w:hanging="303"/>
        <w:spacing w:after="0" w:line="229" w:lineRule="auto"/>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The Senior Vice President, Government Affairs exercises oversight of all external vendors that lobby on AbbVie’s behalf.</w:t>
      </w:r>
    </w:p>
    <w:p>
      <w:pPr>
        <w:spacing w:after="0" w:line="1" w:lineRule="exact"/>
        <w:rPr>
          <w:rFonts w:ascii="Times New Roman" w:cs="Times New Roman" w:eastAsia="Times New Roman" w:hAnsi="Times New Roman"/>
          <w:sz w:val="17"/>
          <w:szCs w:val="17"/>
          <w:color w:val="auto"/>
        </w:rPr>
      </w:pPr>
    </w:p>
    <w:p>
      <w:pPr>
        <w:ind w:left="640" w:right="120" w:hanging="303"/>
        <w:spacing w:after="0" w:line="241" w:lineRule="auto"/>
        <w:tabs>
          <w:tab w:leader="none" w:pos="640" w:val="left"/>
        </w:tabs>
        <w:numPr>
          <w:ilvl w:val="0"/>
          <w:numId w:val="110"/>
        </w:numPr>
        <w:rPr>
          <w:rFonts w:ascii="Times New Roman" w:cs="Times New Roman" w:eastAsia="Times New Roman" w:hAnsi="Times New Roman"/>
          <w:sz w:val="17"/>
          <w:szCs w:val="17"/>
          <w:color w:val="auto"/>
        </w:rPr>
      </w:pPr>
      <w:r>
        <w:rPr>
          <w:rFonts w:ascii="Arial" w:cs="Arial" w:eastAsia="Arial" w:hAnsi="Arial"/>
          <w:sz w:val="17"/>
          <w:szCs w:val="17"/>
          <w:color w:val="auto"/>
        </w:rPr>
        <w:t>AbbVie’s Code of Business Conduct sets forth AbbVie’s robust expectations for ethical behavior by all employees in all aspects of our business, including political advocacy.</w:t>
      </w:r>
    </w:p>
    <w:p>
      <w:pPr>
        <w:spacing w:after="0" w:line="154" w:lineRule="exact"/>
        <w:rPr>
          <w:sz w:val="20"/>
          <w:szCs w:val="20"/>
          <w:color w:val="auto"/>
        </w:rPr>
      </w:pPr>
    </w:p>
    <w:p>
      <w:pPr>
        <w:ind w:left="20" w:right="180"/>
        <w:spacing w:after="0" w:line="271" w:lineRule="auto"/>
        <w:rPr>
          <w:sz w:val="20"/>
          <w:szCs w:val="20"/>
          <w:color w:val="auto"/>
        </w:rPr>
      </w:pPr>
      <w:r>
        <w:rPr>
          <w:rFonts w:ascii="Arial" w:cs="Arial" w:eastAsia="Arial" w:hAnsi="Arial"/>
          <w:sz w:val="17"/>
          <w:szCs w:val="17"/>
          <w:b w:val="1"/>
          <w:bCs w:val="1"/>
          <w:color w:val="auto"/>
        </w:rPr>
        <w:t>AbbVie has long been recognized as a leader for robust disclosures related to political and lobbying activities, and we made significant additions to these disclosures on our public website in 2022, 2023, and 2024.</w:t>
      </w:r>
    </w:p>
    <w:p>
      <w:pPr>
        <w:spacing w:after="0" w:line="122"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Since our launch as a new public company in 2013, AbbVie has provided robust transparency related to our political and lobbying activities. As a result of our extensive disclosures, AbbVie has been consistently recognized as a leader in providing the highest level of political transparency and accountability. In 2023, AbbVie was again recognized as a “trendsetter” in this area by the CPA-Zicklin Index, the highest ranking a company can receive. This index, which is produced by the non-profit Center for Political Accountability in conjunction with the Zicklin Center for Business Ethics Research at The Wharton School at the University of Pennsylvania, benchmarks the political disclosure and accountability policies and practices of leading U.S. public companies. AbbVie was also consistently ranked in the top tier of companies from 2014 through 2023.</w:t>
      </w:r>
    </w:p>
    <w:p>
      <w:pPr>
        <w:spacing w:after="0" w:line="149" w:lineRule="exact"/>
        <w:rPr>
          <w:sz w:val="20"/>
          <w:szCs w:val="20"/>
          <w:color w:val="auto"/>
        </w:rPr>
      </w:pPr>
    </w:p>
    <w:p>
      <w:pPr>
        <w:ind w:left="20" w:right="60"/>
        <w:spacing w:after="0"/>
        <w:rPr>
          <w:sz w:val="20"/>
          <w:szCs w:val="20"/>
          <w:color w:val="auto"/>
        </w:rPr>
      </w:pPr>
      <w:r>
        <w:rPr>
          <w:rFonts w:ascii="Arial" w:cs="Arial" w:eastAsia="Arial" w:hAnsi="Arial"/>
          <w:sz w:val="17"/>
          <w:szCs w:val="17"/>
          <w:color w:val="auto"/>
        </w:rPr>
        <w:t>Following our robust investor dialogue throughout 2021, we further strengthened our disclosures in 2022, which can be found at: https://www.abbvie.com/who-we-are/policies-disclosures.html. The changes include:</w:t>
      </w:r>
    </w:p>
    <w:p>
      <w:pPr>
        <w:ind w:left="640" w:hanging="303"/>
        <w:spacing w:after="0"/>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Additional disclosures on the range of issues that AbbVie advocates on</w:t>
      </w:r>
    </w:p>
    <w:p>
      <w:pPr>
        <w:spacing w:after="0" w:line="3"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Significantly more detail on AbbVie’s PAC, including its leadership structure</w:t>
      </w:r>
    </w:p>
    <w:p>
      <w:pPr>
        <w:spacing w:after="0" w:line="3" w:lineRule="exact"/>
        <w:rPr>
          <w:rFonts w:ascii="Times New Roman" w:cs="Times New Roman" w:eastAsia="Times New Roman" w:hAnsi="Times New Roman"/>
          <w:sz w:val="17"/>
          <w:szCs w:val="17"/>
          <w:color w:val="auto"/>
        </w:rPr>
      </w:pPr>
    </w:p>
    <w:p>
      <w:pPr>
        <w:ind w:left="640" w:hanging="303"/>
        <w:spacing w:after="0"/>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A description of the rigorous process used to vet all AbbVie corporate and AbbVie PAC contributions</w:t>
      </w:r>
    </w:p>
    <w:p>
      <w:pPr>
        <w:spacing w:after="0" w:line="3" w:lineRule="exact"/>
        <w:rPr>
          <w:rFonts w:ascii="Times New Roman" w:cs="Times New Roman" w:eastAsia="Times New Roman" w:hAnsi="Times New Roman"/>
          <w:sz w:val="17"/>
          <w:szCs w:val="17"/>
          <w:color w:val="auto"/>
        </w:rPr>
      </w:pPr>
    </w:p>
    <w:p>
      <w:pPr>
        <w:ind w:left="640" w:right="100" w:hanging="303"/>
        <w:spacing w:after="0" w:line="229" w:lineRule="auto"/>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Lowering the threshold for disclosure of our trade association memberships from $50,000 in annual dues to $25,000 in annual dues</w:t>
      </w:r>
    </w:p>
    <w:p>
      <w:pPr>
        <w:spacing w:after="0" w:line="1" w:lineRule="exact"/>
        <w:rPr>
          <w:rFonts w:ascii="Times New Roman" w:cs="Times New Roman" w:eastAsia="Times New Roman" w:hAnsi="Times New Roman"/>
          <w:sz w:val="17"/>
          <w:szCs w:val="17"/>
          <w:color w:val="auto"/>
        </w:rPr>
      </w:pPr>
    </w:p>
    <w:p>
      <w:pPr>
        <w:ind w:left="640" w:right="940" w:hanging="303"/>
        <w:spacing w:after="0" w:line="229" w:lineRule="auto"/>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A description of how AbbVie may choose to convey concerns with any opposing positions taken by trade associations to which we belong</w:t>
      </w:r>
    </w:p>
    <w:p>
      <w:pPr>
        <w:spacing w:after="0" w:line="1" w:lineRule="exact"/>
        <w:rPr>
          <w:rFonts w:ascii="Times New Roman" w:cs="Times New Roman" w:eastAsia="Times New Roman" w:hAnsi="Times New Roman"/>
          <w:sz w:val="17"/>
          <w:szCs w:val="17"/>
          <w:color w:val="auto"/>
        </w:rPr>
      </w:pPr>
    </w:p>
    <w:p>
      <w:pPr>
        <w:ind w:left="640" w:right="580" w:hanging="303"/>
        <w:spacing w:after="0" w:line="241" w:lineRule="auto"/>
        <w:tabs>
          <w:tab w:leader="none" w:pos="640" w:val="left"/>
        </w:tabs>
        <w:numPr>
          <w:ilvl w:val="0"/>
          <w:numId w:val="111"/>
        </w:numPr>
        <w:rPr>
          <w:rFonts w:ascii="Times New Roman" w:cs="Times New Roman" w:eastAsia="Times New Roman" w:hAnsi="Times New Roman"/>
          <w:sz w:val="17"/>
          <w:szCs w:val="17"/>
          <w:color w:val="auto"/>
        </w:rPr>
      </w:pPr>
      <w:r>
        <w:rPr>
          <w:rFonts w:ascii="Arial" w:cs="Arial" w:eastAsia="Arial" w:hAnsi="Arial"/>
          <w:sz w:val="17"/>
          <w:szCs w:val="17"/>
          <w:color w:val="auto"/>
        </w:rPr>
        <w:t>Other details, such as the annual ethics and legal training that all AbbVie federal and state government affairs representatives receive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86" w:name="page87"/>
    <w:bookmarkEnd w:id="86"/>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7"/>
          <w:szCs w:val="17"/>
          <w:color w:val="808080"/>
        </w:rPr>
        <w:t>STOCKHOLDER PROPOSALS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Similarly, after seeking feedback from our investors in 2023, we made additional updates on our website, including:</w:t>
      </w:r>
    </w:p>
    <w:p>
      <w:pPr>
        <w:spacing w:after="0" w:line="8" w:lineRule="exact"/>
        <w:rPr>
          <w:sz w:val="20"/>
          <w:szCs w:val="20"/>
          <w:color w:val="auto"/>
        </w:rPr>
      </w:pPr>
    </w:p>
    <w:p>
      <w:pPr>
        <w:ind w:left="640" w:hanging="303"/>
        <w:spacing w:after="0"/>
        <w:tabs>
          <w:tab w:leader="none" w:pos="64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Additional disclosure on our political activities in Europe, including a link to our EU lobbying reports</w:t>
      </w:r>
    </w:p>
    <w:p>
      <w:pPr>
        <w:spacing w:after="0" w:line="3" w:lineRule="exact"/>
        <w:rPr>
          <w:rFonts w:ascii="Times New Roman" w:cs="Times New Roman" w:eastAsia="Times New Roman" w:hAnsi="Times New Roman"/>
          <w:sz w:val="17"/>
          <w:szCs w:val="17"/>
          <w:color w:val="auto"/>
        </w:rPr>
      </w:pPr>
    </w:p>
    <w:p>
      <w:pPr>
        <w:ind w:left="640" w:right="720" w:hanging="303"/>
        <w:spacing w:after="0" w:line="229" w:lineRule="auto"/>
        <w:tabs>
          <w:tab w:leader="none" w:pos="64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Adding the percentage of trade association dues spent on federal lobbying, in our existing trade association memberships disclosure</w:t>
      </w:r>
    </w:p>
    <w:p>
      <w:pPr>
        <w:spacing w:after="0" w:line="1" w:lineRule="exact"/>
        <w:rPr>
          <w:rFonts w:ascii="Times New Roman" w:cs="Times New Roman" w:eastAsia="Times New Roman" w:hAnsi="Times New Roman"/>
          <w:sz w:val="17"/>
          <w:szCs w:val="17"/>
          <w:color w:val="auto"/>
        </w:rPr>
      </w:pPr>
    </w:p>
    <w:p>
      <w:pPr>
        <w:ind w:left="640" w:right="120" w:hanging="303"/>
        <w:spacing w:after="0" w:line="237" w:lineRule="auto"/>
        <w:tabs>
          <w:tab w:leader="none" w:pos="640" w:val="left"/>
        </w:tabs>
        <w:numPr>
          <w:ilvl w:val="0"/>
          <w:numId w:val="112"/>
        </w:numPr>
        <w:rPr>
          <w:rFonts w:ascii="Times New Roman" w:cs="Times New Roman" w:eastAsia="Times New Roman" w:hAnsi="Times New Roman"/>
          <w:sz w:val="17"/>
          <w:szCs w:val="17"/>
          <w:color w:val="auto"/>
        </w:rPr>
      </w:pPr>
      <w:r>
        <w:rPr>
          <w:rFonts w:ascii="Arial" w:cs="Arial" w:eastAsia="Arial" w:hAnsi="Arial"/>
          <w:sz w:val="17"/>
          <w:szCs w:val="17"/>
          <w:color w:val="auto"/>
        </w:rPr>
        <w:t>Discussing the congruency between AbbVie’s stated political activity priorities (e.g., intellectual property protections, access to health care, and tax) and the advocacy of the largest trade association to which AbbVie belongs (i.e., the U.S. Chamber of Commerce).</w:t>
      </w:r>
    </w:p>
    <w:p>
      <w:pPr>
        <w:spacing w:after="0" w:line="155" w:lineRule="exact"/>
        <w:rPr>
          <w:sz w:val="20"/>
          <w:szCs w:val="20"/>
          <w:color w:val="auto"/>
        </w:rPr>
      </w:pPr>
    </w:p>
    <w:p>
      <w:pPr>
        <w:ind w:left="20" w:right="180"/>
        <w:spacing w:after="0"/>
        <w:rPr>
          <w:sz w:val="20"/>
          <w:szCs w:val="20"/>
          <w:color w:val="auto"/>
        </w:rPr>
      </w:pPr>
      <w:r>
        <w:rPr>
          <w:rFonts w:ascii="Arial" w:cs="Arial" w:eastAsia="Arial" w:hAnsi="Arial"/>
          <w:sz w:val="17"/>
          <w:szCs w:val="17"/>
          <w:color w:val="auto"/>
        </w:rPr>
        <w:t>Finally, in early 2024, we further updated our website to clearly disclose our total federal lobbying spend for the most recent prior year and to provide more detailed tiering for our existing trade association disclosures. These updates from 2022 to 2024 reflect AbbVie’s established history of responsiveness to stockholder feedback. Given this demonstrated commitment to transparency, the report requested in the proposal is unnecessary and would not add value.</w:t>
      </w:r>
    </w:p>
    <w:p>
      <w:pPr>
        <w:spacing w:after="0" w:line="156" w:lineRule="exact"/>
        <w:rPr>
          <w:sz w:val="20"/>
          <w:szCs w:val="20"/>
          <w:color w:val="auto"/>
        </w:rPr>
      </w:pPr>
    </w:p>
    <w:p>
      <w:pPr>
        <w:ind w:left="20" w:right="400"/>
        <w:spacing w:after="0" w:line="261" w:lineRule="auto"/>
        <w:rPr>
          <w:sz w:val="20"/>
          <w:szCs w:val="20"/>
          <w:color w:val="auto"/>
        </w:rPr>
      </w:pPr>
      <w:r>
        <w:rPr>
          <w:rFonts w:ascii="Arial" w:cs="Arial" w:eastAsia="Arial" w:hAnsi="Arial"/>
          <w:sz w:val="17"/>
          <w:szCs w:val="17"/>
          <w:color w:val="auto"/>
        </w:rPr>
        <w:t>The chart below summarizes the disclosures sought by the proposal and provides an explanation of how AbbVie already provides this disclosure or how additional disclosures would not be feasible or valuable.</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90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Proposal Ask</w:t>
            </w:r>
          </w:p>
        </w:tc>
        <w:tc>
          <w:tcPr>
            <w:tcW w:w="1100" w:type="dxa"/>
            <w:vAlign w:val="bottom"/>
            <w:tcBorders>
              <w:top w:val="single" w:sz="8" w:color="auto"/>
              <w:bottom w:val="single" w:sz="8" w:color="auto"/>
              <w:right w:val="single" w:sz="8" w:color="auto"/>
            </w:tcBorders>
          </w:tcPr>
          <w:p>
            <w:pPr>
              <w:spacing w:after="0"/>
              <w:rPr>
                <w:sz w:val="17"/>
                <w:szCs w:val="17"/>
                <w:color w:val="auto"/>
              </w:rPr>
            </w:pPr>
          </w:p>
        </w:tc>
        <w:tc>
          <w:tcPr>
            <w:tcW w:w="62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rPr>
              <w:t>AbbVie Position</w:t>
            </w:r>
          </w:p>
        </w:tc>
      </w:tr>
      <w:tr>
        <w:trPr>
          <w:trHeight w:val="163"/>
        </w:trPr>
        <w:tc>
          <w:tcPr>
            <w:tcW w:w="3000" w:type="dxa"/>
            <w:vAlign w:val="bottom"/>
            <w:tcBorders>
              <w:left w:val="single" w:sz="8" w:color="auto"/>
              <w:right w:val="single" w:sz="8" w:color="auto"/>
            </w:tcBorders>
            <w:gridSpan w:val="2"/>
          </w:tcPr>
          <w:p>
            <w:pPr>
              <w:ind w:left="120"/>
              <w:spacing w:after="0" w:line="163" w:lineRule="exact"/>
              <w:rPr>
                <w:sz w:val="20"/>
                <w:szCs w:val="20"/>
                <w:color w:val="auto"/>
              </w:rPr>
            </w:pPr>
            <w:r>
              <w:rPr>
                <w:rFonts w:ascii="Arial" w:cs="Arial" w:eastAsia="Arial" w:hAnsi="Arial"/>
                <w:sz w:val="17"/>
                <w:szCs w:val="17"/>
                <w:color w:val="auto"/>
              </w:rPr>
              <w:t>Company policy and procedures</w:t>
            </w:r>
          </w:p>
        </w:tc>
        <w:tc>
          <w:tcPr>
            <w:tcW w:w="62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AbbVie’s website includes an extensive discussion of the policy and</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governing both direct and indirect</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procedures we employ for both lobbying and political contributions.</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lobbying, as well as grassroots</w:t>
            </w:r>
          </w:p>
        </w:tc>
        <w:tc>
          <w:tcPr>
            <w:tcW w:w="6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As disclosed on our website, AbbVie does not currently make direct</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lobbying communications</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w w:val="99"/>
              </w:rPr>
              <w:t>expenditures toward U.S. federal or state grassroots lobbying communications</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to the general public. If such a contribution were made, it would be</w:t>
            </w:r>
          </w:p>
        </w:tc>
      </w:tr>
      <w:tr>
        <w:trPr>
          <w:trHeight w:val="204"/>
        </w:trPr>
        <w:tc>
          <w:tcPr>
            <w:tcW w:w="1900" w:type="dxa"/>
            <w:vAlign w:val="bottom"/>
            <w:tcBorders>
              <w:left w:val="single" w:sz="8" w:color="auto"/>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7"/>
                <w:szCs w:val="17"/>
                <w:color w:val="auto"/>
              </w:rPr>
              <w:t>enumerated in AbbVie’s reports on other corporate political contributions.</w:t>
            </w:r>
          </w:p>
        </w:tc>
      </w:tr>
      <w:tr>
        <w:trPr>
          <w:trHeight w:val="163"/>
        </w:trPr>
        <w:tc>
          <w:tcPr>
            <w:tcW w:w="3000" w:type="dxa"/>
            <w:vAlign w:val="bottom"/>
            <w:tcBorders>
              <w:left w:val="single" w:sz="8" w:color="auto"/>
              <w:right w:val="single" w:sz="8" w:color="auto"/>
            </w:tcBorders>
            <w:gridSpan w:val="2"/>
          </w:tcPr>
          <w:p>
            <w:pPr>
              <w:ind w:left="120"/>
              <w:spacing w:after="0" w:line="163" w:lineRule="exact"/>
              <w:rPr>
                <w:sz w:val="20"/>
                <w:szCs w:val="20"/>
                <w:color w:val="auto"/>
              </w:rPr>
            </w:pPr>
            <w:r>
              <w:rPr>
                <w:rFonts w:ascii="Arial" w:cs="Arial" w:eastAsia="Arial" w:hAnsi="Arial"/>
                <w:sz w:val="17"/>
                <w:szCs w:val="17"/>
                <w:color w:val="auto"/>
              </w:rPr>
              <w:t>Payments by AbbVie used for (a)</w:t>
            </w:r>
          </w:p>
        </w:tc>
        <w:tc>
          <w:tcPr>
            <w:tcW w:w="62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AbbVie updated its website in 2024 to directly state the total amount of federal</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direct or indirect lobbying or (b)</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lobbying spend for the most recently completed year. This is in addition to</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grassroots lobbying communications</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providing links to prior years’ federal lobbying reports. It is not feasible to</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provide a similar total disclosure for state lobbying spend, as each state</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defines lobbying spend differently, so the standard is not uniform across all</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states.</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As disclosed on our website, AbbVie does not currently make direct</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w w:val="99"/>
              </w:rPr>
              <w:t>expenditures toward U.S. federal or state grassroots lobbying communications</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to the general public. If such a contribution were made, it would be</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enumerated in AbbVie’s reports on other corporate political contributions.</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Attempting to quantify total indirect lobbying would be difficult to estimate and</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potentially misleading to stockholders as AbbVie is not directing the lobbying</w:t>
            </w:r>
          </w:p>
        </w:tc>
      </w:tr>
      <w:tr>
        <w:trPr>
          <w:trHeight w:val="204"/>
        </w:trPr>
        <w:tc>
          <w:tcPr>
            <w:tcW w:w="1900" w:type="dxa"/>
            <w:vAlign w:val="bottom"/>
            <w:tcBorders>
              <w:left w:val="single" w:sz="8" w:color="auto"/>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7"/>
                <w:szCs w:val="17"/>
                <w:color w:val="auto"/>
              </w:rPr>
              <w:t>activities of trade, civic or patient groups.</w:t>
            </w:r>
          </w:p>
        </w:tc>
      </w:tr>
      <w:tr>
        <w:trPr>
          <w:trHeight w:val="163"/>
        </w:trPr>
        <w:tc>
          <w:tcPr>
            <w:tcW w:w="3000" w:type="dxa"/>
            <w:vAlign w:val="bottom"/>
            <w:tcBorders>
              <w:left w:val="single" w:sz="8" w:color="auto"/>
              <w:right w:val="single" w:sz="8" w:color="auto"/>
            </w:tcBorders>
            <w:gridSpan w:val="2"/>
          </w:tcPr>
          <w:p>
            <w:pPr>
              <w:ind w:left="120"/>
              <w:spacing w:after="0" w:line="163" w:lineRule="exact"/>
              <w:rPr>
                <w:sz w:val="20"/>
                <w:szCs w:val="20"/>
                <w:color w:val="auto"/>
              </w:rPr>
            </w:pPr>
            <w:r>
              <w:rPr>
                <w:rFonts w:ascii="Arial" w:cs="Arial" w:eastAsia="Arial" w:hAnsi="Arial"/>
                <w:sz w:val="17"/>
                <w:szCs w:val="17"/>
                <w:color w:val="auto"/>
              </w:rPr>
              <w:t>AbbVie’s membership in and</w:t>
            </w:r>
          </w:p>
        </w:tc>
        <w:tc>
          <w:tcPr>
            <w:tcW w:w="62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As disclosed on our website, AbbVie does not currently contribute funds</w:t>
            </w:r>
          </w:p>
        </w:tc>
      </w:tr>
      <w:tr>
        <w:trPr>
          <w:trHeight w:val="188"/>
        </w:trPr>
        <w:tc>
          <w:tcPr>
            <w:tcW w:w="1900" w:type="dxa"/>
            <w:vAlign w:val="bottom"/>
            <w:tcBorders>
              <w:left w:val="single" w:sz="8" w:color="auto"/>
            </w:tcBorders>
          </w:tcPr>
          <w:p>
            <w:pPr>
              <w:ind w:left="120"/>
              <w:spacing w:after="0" w:line="188" w:lineRule="exact"/>
              <w:rPr>
                <w:sz w:val="20"/>
                <w:szCs w:val="20"/>
                <w:color w:val="auto"/>
              </w:rPr>
            </w:pPr>
            <w:r>
              <w:rPr>
                <w:rFonts w:ascii="Arial" w:cs="Arial" w:eastAsia="Arial" w:hAnsi="Arial"/>
                <w:sz w:val="17"/>
                <w:szCs w:val="17"/>
                <w:color w:val="auto"/>
                <w:w w:val="96"/>
              </w:rPr>
              <w:t>payments to tax-exempt</w:t>
            </w: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w w:val="99"/>
              </w:rPr>
              <w:t>intended for use in elections to tax-exempt organizations under Section 501(c)</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organizations that write and endorse</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(4) of the Internal Revenue Code. If such a contribution were made, it would</w:t>
            </w:r>
          </w:p>
        </w:tc>
      </w:tr>
      <w:tr>
        <w:trPr>
          <w:trHeight w:val="188"/>
        </w:trPr>
        <w:tc>
          <w:tcPr>
            <w:tcW w:w="1900" w:type="dxa"/>
            <w:vAlign w:val="bottom"/>
            <w:tcBorders>
              <w:left w:val="single" w:sz="8" w:color="auto"/>
            </w:tcBorders>
          </w:tcPr>
          <w:p>
            <w:pPr>
              <w:ind w:left="120"/>
              <w:spacing w:after="0" w:line="188" w:lineRule="exact"/>
              <w:rPr>
                <w:sz w:val="20"/>
                <w:szCs w:val="20"/>
                <w:color w:val="auto"/>
              </w:rPr>
            </w:pPr>
            <w:r>
              <w:rPr>
                <w:rFonts w:ascii="Arial" w:cs="Arial" w:eastAsia="Arial" w:hAnsi="Arial"/>
                <w:sz w:val="17"/>
                <w:szCs w:val="17"/>
                <w:color w:val="auto"/>
              </w:rPr>
              <w:t>model legislation</w:t>
            </w: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be enumerated in AbbVie’s reports on other corporate political contributions.</w:t>
            </w:r>
          </w:p>
        </w:tc>
      </w:tr>
      <w:tr>
        <w:trPr>
          <w:trHeight w:val="188"/>
        </w:trPr>
        <w:tc>
          <w:tcPr>
            <w:tcW w:w="1900" w:type="dxa"/>
            <w:vAlign w:val="bottom"/>
            <w:tcBorders>
              <w:lef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It is difficult for us to determine which third parties may endorse model</w:t>
            </w:r>
          </w:p>
        </w:tc>
      </w:tr>
      <w:tr>
        <w:trPr>
          <w:trHeight w:val="204"/>
        </w:trPr>
        <w:tc>
          <w:tcPr>
            <w:tcW w:w="1900" w:type="dxa"/>
            <w:vAlign w:val="bottom"/>
            <w:tcBorders>
              <w:left w:val="single" w:sz="8" w:color="auto"/>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7"/>
                <w:szCs w:val="17"/>
                <w:color w:val="auto"/>
              </w:rPr>
              <w:t>legislation and whether such activities fall within the proposal’s request.</w:t>
            </w:r>
          </w:p>
        </w:tc>
      </w:tr>
      <w:tr>
        <w:trPr>
          <w:trHeight w:val="163"/>
        </w:trPr>
        <w:tc>
          <w:tcPr>
            <w:tcW w:w="3000" w:type="dxa"/>
            <w:vAlign w:val="bottom"/>
            <w:tcBorders>
              <w:left w:val="single" w:sz="8" w:color="auto"/>
              <w:right w:val="single" w:sz="8" w:color="auto"/>
            </w:tcBorders>
            <w:gridSpan w:val="2"/>
          </w:tcPr>
          <w:p>
            <w:pPr>
              <w:ind w:left="120"/>
              <w:spacing w:after="0" w:line="163" w:lineRule="exact"/>
              <w:rPr>
                <w:sz w:val="20"/>
                <w:szCs w:val="20"/>
                <w:color w:val="auto"/>
              </w:rPr>
            </w:pPr>
            <w:r>
              <w:rPr>
                <w:rFonts w:ascii="Arial" w:cs="Arial" w:eastAsia="Arial" w:hAnsi="Arial"/>
                <w:sz w:val="17"/>
                <w:szCs w:val="17"/>
                <w:color w:val="auto"/>
              </w:rPr>
              <w:t>Description of management’s</w:t>
            </w:r>
          </w:p>
        </w:tc>
        <w:tc>
          <w:tcPr>
            <w:tcW w:w="628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AbbVie’s website includes an extensive discussion of company advocacy</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decision-making process and the</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priorities, as well as the practical steps for how the company allocates</w:t>
            </w:r>
          </w:p>
        </w:tc>
      </w:tr>
      <w:tr>
        <w:trPr>
          <w:trHeight w:val="188"/>
        </w:trPr>
        <w:tc>
          <w:tcPr>
            <w:tcW w:w="300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Arial" w:cs="Arial" w:eastAsia="Arial" w:hAnsi="Arial"/>
                <w:sz w:val="17"/>
                <w:szCs w:val="17"/>
                <w:color w:val="auto"/>
              </w:rPr>
              <w:t>board’s oversight for making lobbying</w:t>
            </w: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lobbying and political contributions spend. The website also discusses</w:t>
            </w:r>
          </w:p>
        </w:tc>
      </w:tr>
      <w:tr>
        <w:trPr>
          <w:trHeight w:val="188"/>
        </w:trPr>
        <w:tc>
          <w:tcPr>
            <w:tcW w:w="1900" w:type="dxa"/>
            <w:vAlign w:val="bottom"/>
            <w:tcBorders>
              <w:left w:val="single" w:sz="8" w:color="auto"/>
            </w:tcBorders>
          </w:tcPr>
          <w:p>
            <w:pPr>
              <w:ind w:left="120"/>
              <w:spacing w:after="0" w:line="188" w:lineRule="exact"/>
              <w:rPr>
                <w:sz w:val="20"/>
                <w:szCs w:val="20"/>
                <w:color w:val="auto"/>
              </w:rPr>
            </w:pPr>
            <w:r>
              <w:rPr>
                <w:rFonts w:ascii="Arial" w:cs="Arial" w:eastAsia="Arial" w:hAnsi="Arial"/>
                <w:sz w:val="17"/>
                <w:szCs w:val="17"/>
                <w:color w:val="auto"/>
              </w:rPr>
              <w:t>payments</w:t>
            </w:r>
          </w:p>
        </w:tc>
        <w:tc>
          <w:tcPr>
            <w:tcW w:w="110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17"/>
                <w:szCs w:val="17"/>
                <w:color w:val="auto"/>
              </w:rPr>
              <w:t>oversight by AbbVie’s board, and more specifically, the public policy and</w:t>
            </w:r>
          </w:p>
        </w:tc>
      </w:tr>
      <w:tr>
        <w:trPr>
          <w:trHeight w:val="204"/>
        </w:trPr>
        <w:tc>
          <w:tcPr>
            <w:tcW w:w="1900" w:type="dxa"/>
            <w:vAlign w:val="bottom"/>
            <w:tcBorders>
              <w:left w:val="single" w:sz="8" w:color="auto"/>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7"/>
                <w:szCs w:val="17"/>
                <w:color w:val="auto"/>
              </w:rPr>
              <w:t>sustainability committee, of the company’s lobbying priorities.</w:t>
            </w:r>
          </w:p>
        </w:tc>
      </w:tr>
      <w:tr>
        <w:trPr>
          <w:trHeight w:val="886"/>
        </w:trPr>
        <w:tc>
          <w:tcPr>
            <w:tcW w:w="1900" w:type="dxa"/>
            <w:vAlign w:val="bottom"/>
          </w:tcPr>
          <w:p>
            <w:pPr>
              <w:ind w:left="20"/>
              <w:spacing w:after="0"/>
              <w:rPr>
                <w:sz w:val="20"/>
                <w:szCs w:val="20"/>
                <w:color w:val="auto"/>
              </w:rPr>
            </w:pPr>
            <w:r>
              <w:rPr>
                <w:rFonts w:ascii="Arial" w:cs="Arial" w:eastAsia="Arial" w:hAnsi="Arial"/>
                <w:sz w:val="17"/>
                <w:szCs w:val="17"/>
                <w:color w:val="auto"/>
              </w:rPr>
              <w:t>84</w:t>
            </w:r>
          </w:p>
        </w:tc>
        <w:tc>
          <w:tcPr>
            <w:tcW w:w="7380" w:type="dxa"/>
            <w:vAlign w:val="bottom"/>
            <w:gridSpan w:val="2"/>
          </w:tcPr>
          <w:p>
            <w:pPr>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i w:val="1"/>
                <w:iCs w:val="1"/>
                <w:color w:val="auto"/>
              </w:rPr>
              <w:t>2024 Proxy Statement</w:t>
            </w:r>
          </w:p>
        </w:tc>
      </w:tr>
      <w:tr>
        <w:trPr>
          <w:trHeight w:val="488"/>
        </w:trPr>
        <w:tc>
          <w:tcPr>
            <w:tcW w:w="1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-499745</wp:posOffset>
            </wp:positionV>
            <wp:extent cx="810260" cy="1511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87" w:name="page88"/>
    <w:bookmarkEnd w:id="8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STOCKHOLDER PROPOSALS</w:t>
      </w:r>
    </w:p>
    <w:p>
      <w:pPr>
        <w:spacing w:after="0" w:line="191" w:lineRule="exact"/>
        <w:rPr>
          <w:sz w:val="20"/>
          <w:szCs w:val="20"/>
          <w:color w:val="auto"/>
        </w:rPr>
      </w:pPr>
    </w:p>
    <w:p>
      <w:pPr>
        <w:ind w:left="20" w:right="580"/>
        <w:spacing w:after="0" w:line="271" w:lineRule="auto"/>
        <w:rPr>
          <w:sz w:val="20"/>
          <w:szCs w:val="20"/>
          <w:color w:val="auto"/>
        </w:rPr>
      </w:pPr>
      <w:r>
        <w:rPr>
          <w:rFonts w:ascii="Arial" w:cs="Arial" w:eastAsia="Arial" w:hAnsi="Arial"/>
          <w:sz w:val="17"/>
          <w:szCs w:val="17"/>
          <w:b w:val="1"/>
          <w:bCs w:val="1"/>
          <w:color w:val="auto"/>
        </w:rPr>
        <w:t>In 2022, AbbVie decided not to renew several large trade associations, which reduces the risk of any potential incongruency.</w:t>
      </w:r>
    </w:p>
    <w:p>
      <w:pPr>
        <w:spacing w:after="0" w:line="122" w:lineRule="exact"/>
        <w:rPr>
          <w:sz w:val="20"/>
          <w:szCs w:val="20"/>
          <w:color w:val="auto"/>
        </w:rPr>
      </w:pPr>
    </w:p>
    <w:p>
      <w:pPr>
        <w:ind w:left="20" w:right="60"/>
        <w:spacing w:after="0" w:line="238" w:lineRule="auto"/>
        <w:rPr>
          <w:sz w:val="20"/>
          <w:szCs w:val="20"/>
          <w:color w:val="auto"/>
        </w:rPr>
      </w:pPr>
      <w:r>
        <w:rPr>
          <w:rFonts w:ascii="Arial" w:cs="Arial" w:eastAsia="Arial" w:hAnsi="Arial"/>
          <w:sz w:val="17"/>
          <w:szCs w:val="17"/>
          <w:color w:val="auto"/>
        </w:rPr>
        <w:t>AbbVie decided not to renew its memberships in four large trade associations (PhRMA, BIO, IFPMA, and the Business Roundtable) in 2022. This decision was made as part of our rigorous annual assessment of our trade association memberships. The proposal cites the purported misalignment between AbbVie and certain trade associations’ positions. Our robust process and ultimate decision not to renew our memberships in four large trade associations reduces the risk of any potential incongruency. Therefore, producing an additional report would be unnecessary and unhelpful.</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The board of directors recommends that you vote AGAINST this proposal.</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30"/>
          <w:szCs w:val="30"/>
          <w:color w:val="808080"/>
        </w:rPr>
        <w:t>Stockholder Proposal on Patent Process</w:t>
      </w:r>
    </w:p>
    <w:p>
      <w:pPr>
        <w:spacing w:after="0" w:line="215" w:lineRule="exact"/>
        <w:rPr>
          <w:sz w:val="20"/>
          <w:szCs w:val="20"/>
          <w:color w:val="auto"/>
        </w:rPr>
      </w:pPr>
    </w:p>
    <w:p>
      <w:pPr>
        <w:ind w:left="20" w:right="100"/>
        <w:spacing w:after="0" w:line="237" w:lineRule="auto"/>
        <w:rPr>
          <w:sz w:val="20"/>
          <w:szCs w:val="20"/>
          <w:color w:val="auto"/>
        </w:rPr>
      </w:pPr>
      <w:r>
        <w:rPr>
          <w:rFonts w:ascii="Arial" w:cs="Arial" w:eastAsia="Arial" w:hAnsi="Arial"/>
          <w:sz w:val="17"/>
          <w:szCs w:val="17"/>
          <w:color w:val="auto"/>
        </w:rPr>
        <w:t>Friends Fiduciary Corporation and co-filers Mercy Investment Services, Inc., Bon Secours Mercy Health, Inc., The Sisters of Charity of Saint Elizabeth, The Sisters of the Order of St. Dominic (Grand Rapids), The Sisters of Charity of the Blessed Virgin Mary, Trinity Health, CommonSpirit Health, NEI Investments, Northwest Women Religious Investment Trust (Sisters of Saint Joseph of Peace), Providence St. Joseph Health, and The Sisters of St. Francis of Philadelphia, and Missionary Oblates of Mary Immaculate, have notified AbbVie that they intend to present the following proposal at the Annual Meeting and that they own the requisite number of AbbVie shares.</w:t>
      </w:r>
    </w:p>
    <w:p>
      <w:pPr>
        <w:spacing w:after="0" w:line="156" w:lineRule="exact"/>
        <w:rPr>
          <w:sz w:val="20"/>
          <w:szCs w:val="20"/>
          <w:color w:val="auto"/>
        </w:rPr>
      </w:pPr>
    </w:p>
    <w:p>
      <w:pPr>
        <w:ind w:left="20" w:right="160" w:firstLine="601"/>
        <w:spacing w:after="0" w:line="234" w:lineRule="auto"/>
        <w:rPr>
          <w:sz w:val="20"/>
          <w:szCs w:val="20"/>
          <w:color w:val="auto"/>
        </w:rPr>
      </w:pPr>
      <w:r>
        <w:rPr>
          <w:rFonts w:ascii="Arial" w:cs="Arial" w:eastAsia="Arial" w:hAnsi="Arial"/>
          <w:sz w:val="17"/>
          <w:szCs w:val="17"/>
          <w:color w:val="auto"/>
        </w:rPr>
        <w:t>RESOLVED, that shareholders of AbbVie Inc. ("AbbVie") ask the Board of Directors to establish and report on a process by which the impact of extended patent exclusivities on product access would be considered in deciding whether to apply for secondary and tertiary patents. Secondary and tertiary patents are patents applied for after the main active ingredient/molecule patent(s) and which relate to the product. The report on the process should be prepared at reasonable cost, omitting confidential and proprietary information, and published on AbbVie's website.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Supporting Statement</w:t>
      </w:r>
    </w:p>
    <w:p>
      <w:pPr>
        <w:spacing w:after="0" w:line="164" w:lineRule="exact"/>
        <w:rPr>
          <w:sz w:val="20"/>
          <w:szCs w:val="20"/>
          <w:color w:val="auto"/>
        </w:rPr>
      </w:pPr>
    </w:p>
    <w:p>
      <w:pPr>
        <w:ind w:left="20" w:right="220" w:firstLine="601"/>
        <w:spacing w:after="0" w:line="246" w:lineRule="auto"/>
        <w:rPr>
          <w:sz w:val="20"/>
          <w:szCs w:val="20"/>
          <w:color w:val="auto"/>
        </w:rPr>
      </w:pPr>
      <w:r>
        <w:rPr>
          <w:rFonts w:ascii="Arial" w:cs="Arial" w:eastAsia="Arial" w:hAnsi="Arial"/>
          <w:sz w:val="17"/>
          <w:szCs w:val="17"/>
          <w:color w:val="auto"/>
        </w:rPr>
        <w:t>Intellectual property protections on branded drugs play an important role in maintaining high prices and impeding access. When patent protection on a drug ends, generic manufacturers can enter the market, reducing prices. But branded drug manufacturers may delay generic competition by extending their exclusivity periods.</w:t>
      </w:r>
    </w:p>
    <w:p>
      <w:pPr>
        <w:spacing w:after="0" w:line="150" w:lineRule="exact"/>
        <w:rPr>
          <w:sz w:val="20"/>
          <w:szCs w:val="20"/>
          <w:color w:val="auto"/>
        </w:rPr>
      </w:pPr>
    </w:p>
    <w:p>
      <w:pPr>
        <w:jc w:val="both"/>
        <w:ind w:left="20" w:right="200" w:firstLine="601"/>
        <w:spacing w:after="0" w:line="221" w:lineRule="auto"/>
        <w:rPr>
          <w:sz w:val="20"/>
          <w:szCs w:val="20"/>
          <w:color w:val="auto"/>
        </w:rPr>
      </w:pPr>
      <w:r>
        <w:rPr>
          <w:rFonts w:ascii="Arial" w:cs="Arial" w:eastAsia="Arial" w:hAnsi="Arial"/>
          <w:sz w:val="17"/>
          <w:szCs w:val="17"/>
          <w:color w:val="auto"/>
        </w:rPr>
        <w:t>Access to medicines, especially costly specialty drugs, is the subject of consistent and widespread public debate in the U.S. A 2021 Rand Corporation analysis concluded that U.S. prices for branded drugs were nearly 3.5 times higher than prices in 32 OECD member countries.</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The Kaiser Family Foundation has "consistently found prescription drug costs to be an important health policy area of public interest and public concern.”</w:t>
      </w:r>
      <w:r>
        <w:rPr>
          <w:rFonts w:ascii="Arial" w:cs="Arial" w:eastAsia="Arial" w:hAnsi="Arial"/>
          <w:sz w:val="25"/>
          <w:szCs w:val="25"/>
          <w:color w:val="auto"/>
          <w:vertAlign w:val="superscript"/>
        </w:rPr>
        <w:t>2</w:t>
      </w:r>
    </w:p>
    <w:p>
      <w:pPr>
        <w:spacing w:after="0" w:line="49" w:lineRule="exact"/>
        <w:rPr>
          <w:sz w:val="20"/>
          <w:szCs w:val="20"/>
          <w:color w:val="auto"/>
        </w:rPr>
      </w:pPr>
    </w:p>
    <w:p>
      <w:pPr>
        <w:ind w:left="20" w:right="100" w:firstLine="601"/>
        <w:spacing w:after="0" w:line="238" w:lineRule="auto"/>
        <w:rPr>
          <w:sz w:val="20"/>
          <w:szCs w:val="20"/>
          <w:color w:val="auto"/>
        </w:rPr>
      </w:pPr>
      <w:r>
        <w:rPr>
          <w:rFonts w:ascii="Arial" w:cs="Arial" w:eastAsia="Arial" w:hAnsi="Arial"/>
          <w:sz w:val="17"/>
          <w:szCs w:val="17"/>
          <w:color w:val="auto"/>
        </w:rPr>
        <w:t>This high level of concern has driven policy responses. The Inflation Reduction Act empowers the federal government to negotiate some drug prices, and in fact some have argued it enacts significant patent reform, specifically around the issue this proposal seeks to understand. This comes from one important provision stating that the only drugs that can be considered for price negotiations are those with no generic competition, thus discouraging extended patent exclusivities.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Additionally, five Senate bipartisan bills aim to speed access to generics:</w:t>
      </w:r>
    </w:p>
    <w:p>
      <w:pPr>
        <w:ind w:left="640" w:hanging="303"/>
        <w:spacing w:after="0"/>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Ensuring Timely Access to Generics Act of 2023 (S. 1067)</w:t>
      </w:r>
    </w:p>
    <w:p>
      <w:pPr>
        <w:ind w:left="640" w:hanging="303"/>
        <w:spacing w:after="0" w:line="230"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Expanding Access to Low-Cost Generics Act of 2023 (S. 1114)</w:t>
      </w:r>
    </w:p>
    <w:p>
      <w:pPr>
        <w:ind w:left="640" w:hanging="303"/>
        <w:spacing w:after="0" w:line="230"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Increasing Transparency in Generic Drug Applications Act of 2023 (S. 775)</w:t>
      </w:r>
    </w:p>
    <w:p>
      <w:pPr>
        <w:ind w:left="640" w:hanging="303"/>
        <w:spacing w:after="0" w:line="230"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Preserve Access to Affordable Generics and Biosimilars Act of 2023 (S. 142)</w:t>
      </w:r>
    </w:p>
    <w:p>
      <w:pPr>
        <w:ind w:left="640" w:hanging="303"/>
        <w:spacing w:after="0"/>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Stop STALLING Act of 2023 (S. 148)</w:t>
      </w:r>
    </w:p>
    <w:p>
      <w:pPr>
        <w:spacing w:after="0" w:line="164" w:lineRule="exact"/>
        <w:rPr>
          <w:sz w:val="20"/>
          <w:szCs w:val="20"/>
          <w:color w:val="auto"/>
        </w:rPr>
      </w:pPr>
    </w:p>
    <w:p>
      <w:pPr>
        <w:jc w:val="both"/>
        <w:ind w:left="20" w:right="360" w:firstLine="601"/>
        <w:spacing w:after="0" w:line="251" w:lineRule="auto"/>
        <w:rPr>
          <w:sz w:val="20"/>
          <w:szCs w:val="20"/>
          <w:color w:val="auto"/>
        </w:rPr>
      </w:pPr>
      <w:r>
        <w:rPr>
          <w:rFonts w:ascii="Arial" w:cs="Arial" w:eastAsia="Arial" w:hAnsi="Arial"/>
          <w:sz w:val="17"/>
          <w:szCs w:val="17"/>
          <w:color w:val="auto"/>
        </w:rPr>
        <w:t>AbbVie also faces potential significant legal risk as one of several companies the Federal Trade Commission has issued letters to claiming the Company "improperly listed patents in the Food and Drug Administration's 'Orange Book' in order to block generic rivals."</w:t>
      </w:r>
      <w:r>
        <w:rPr>
          <w:rFonts w:ascii="Arial" w:cs="Arial" w:eastAsia="Arial" w:hAnsi="Arial"/>
          <w:sz w:val="25"/>
          <w:szCs w:val="25"/>
          <w:color w:val="auto"/>
          <w:vertAlign w:val="superscript"/>
        </w:rPr>
        <w:t>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88" w:name="page89"/>
    <w:bookmarkEnd w:id="88"/>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STOCKHOLDER PROPOSALS</w:t>
      </w:r>
    </w:p>
    <w:p>
      <w:pPr>
        <w:spacing w:after="0" w:line="368" w:lineRule="exact"/>
        <w:rPr>
          <w:sz w:val="20"/>
          <w:szCs w:val="20"/>
          <w:color w:val="auto"/>
        </w:rPr>
      </w:pPr>
    </w:p>
    <w:p>
      <w:pPr>
        <w:jc w:val="both"/>
        <w:ind w:left="8" w:right="20" w:firstLine="601"/>
        <w:spacing w:after="0" w:line="228" w:lineRule="auto"/>
        <w:rPr>
          <w:sz w:val="20"/>
          <w:szCs w:val="20"/>
          <w:color w:val="auto"/>
        </w:rPr>
      </w:pPr>
      <w:r>
        <w:rPr>
          <w:rFonts w:ascii="Arial" w:cs="Arial" w:eastAsia="Arial" w:hAnsi="Arial"/>
          <w:sz w:val="16"/>
          <w:szCs w:val="16"/>
          <w:color w:val="auto"/>
        </w:rPr>
        <w:t>AbbVie has raised the price of Humira, its top-selling drug, 27 times since its launch. One hundred and thirty patents, most of them secondary patents, have been granted on Humira, extending its exclusivity period by 19 years.</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AbbVie touted to investors in a 2015 presentation that challenging any of Humira's patents in litigation would take four to five years.</w:t>
      </w:r>
      <w:r>
        <w:rPr>
          <w:rFonts w:ascii="Arial" w:cs="Arial" w:eastAsia="Arial" w:hAnsi="Arial"/>
          <w:sz w:val="24"/>
          <w:szCs w:val="24"/>
          <w:color w:val="auto"/>
          <w:vertAlign w:val="superscript"/>
        </w:rPr>
        <w:t>5</w:t>
      </w:r>
    </w:p>
    <w:p>
      <w:pPr>
        <w:spacing w:after="0" w:line="52" w:lineRule="exact"/>
        <w:rPr>
          <w:sz w:val="20"/>
          <w:szCs w:val="20"/>
          <w:color w:val="auto"/>
        </w:rPr>
      </w:pPr>
    </w:p>
    <w:p>
      <w:pPr>
        <w:ind w:left="8" w:right="240" w:firstLine="601"/>
        <w:spacing w:after="0" w:line="236" w:lineRule="auto"/>
        <w:rPr>
          <w:sz w:val="20"/>
          <w:szCs w:val="20"/>
          <w:color w:val="auto"/>
        </w:rPr>
      </w:pPr>
      <w:r>
        <w:rPr>
          <w:rFonts w:ascii="Arial" w:cs="Arial" w:eastAsia="Arial" w:hAnsi="Arial"/>
          <w:sz w:val="17"/>
          <w:szCs w:val="17"/>
          <w:color w:val="auto"/>
        </w:rPr>
        <w:t>In our view, a more thoughtful process that considers the impact of extended exclusivity periods on patient access could bolster AbbVie's reputation and help avoid regulatory blowback resulting from high drug prices and perceptions regarding abusive patenting practices.</w:t>
      </w:r>
    </w:p>
    <w:p>
      <w:pPr>
        <w:ind w:left="8"/>
        <w:spacing w:after="0" w:line="230" w:lineRule="auto"/>
        <w:rPr>
          <w:sz w:val="20"/>
          <w:szCs w:val="20"/>
          <w:color w:val="auto"/>
        </w:rPr>
      </w:pPr>
      <w:r>
        <w:rPr>
          <w:rFonts w:ascii="Arial" w:cs="Arial" w:eastAsia="Arial" w:hAnsi="Arial"/>
          <w:sz w:val="17"/>
          <w:szCs w:val="17"/>
          <w:color w:val="auto"/>
        </w:rPr>
        <w:t>_____________________________</w:t>
      </w:r>
    </w:p>
    <w:p>
      <w:pPr>
        <w:ind w:left="128" w:hanging="128"/>
        <w:spacing w:after="0" w:line="189" w:lineRule="auto"/>
        <w:tabs>
          <w:tab w:leader="none" w:pos="128" w:val="left"/>
        </w:tabs>
        <w:numPr>
          <w:ilvl w:val="0"/>
          <w:numId w:val="114"/>
        </w:numPr>
        <w:rPr>
          <w:rFonts w:ascii="Arial" w:cs="Arial" w:eastAsia="Arial" w:hAnsi="Arial"/>
          <w:sz w:val="18"/>
          <w:szCs w:val="18"/>
          <w:color w:val="auto"/>
          <w:vertAlign w:val="superscript"/>
        </w:rPr>
      </w:pPr>
      <w:r>
        <w:rPr>
          <w:rFonts w:ascii="Arial" w:cs="Arial" w:eastAsia="Arial" w:hAnsi="Arial"/>
          <w:sz w:val="12"/>
          <w:szCs w:val="12"/>
          <w:color w:val="auto"/>
        </w:rPr>
        <w:t>https://www.rand.org/news/press/2021/01/28.html</w:t>
      </w:r>
    </w:p>
    <w:p>
      <w:pPr>
        <w:spacing w:after="0" w:line="8" w:lineRule="exact"/>
        <w:rPr>
          <w:sz w:val="20"/>
          <w:szCs w:val="20"/>
          <w:color w:val="auto"/>
        </w:rPr>
      </w:pPr>
    </w:p>
    <w:p>
      <w:pPr>
        <w:ind w:left="8" w:right="3440" w:hanging="8"/>
        <w:spacing w:after="0" w:line="213" w:lineRule="auto"/>
        <w:tabs>
          <w:tab w:leader="none" w:pos="101" w:val="left"/>
        </w:tabs>
        <w:numPr>
          <w:ilvl w:val="0"/>
          <w:numId w:val="115"/>
        </w:numPr>
        <w:rPr>
          <w:rFonts w:ascii="Arial" w:cs="Arial" w:eastAsia="Arial" w:hAnsi="Arial"/>
          <w:sz w:val="20"/>
          <w:szCs w:val="20"/>
          <w:color w:val="auto"/>
          <w:vertAlign w:val="superscript"/>
        </w:rPr>
      </w:pPr>
      <w:r>
        <w:rPr>
          <w:rFonts w:ascii="Arial" w:cs="Arial" w:eastAsia="Arial" w:hAnsi="Arial"/>
          <w:sz w:val="13"/>
          <w:szCs w:val="13"/>
          <w:color w:val="auto"/>
        </w:rPr>
        <w:t xml:space="preserve">https://www.kff.org/health-costs/poll-finding-public-opinion-on-prescription-drugs-and-their-prices/ </w:t>
      </w:r>
      <w:r>
        <w:rPr>
          <w:rFonts w:ascii="Arial" w:cs="Arial" w:eastAsia="Arial" w:hAnsi="Arial"/>
          <w:sz w:val="20"/>
          <w:szCs w:val="20"/>
          <w:color w:val="auto"/>
          <w:vertAlign w:val="superscript"/>
        </w:rPr>
        <w:t>3</w:t>
      </w:r>
      <w:r>
        <w:rPr>
          <w:rFonts w:ascii="Arial" w:cs="Arial" w:eastAsia="Arial" w:hAnsi="Arial"/>
          <w:sz w:val="13"/>
          <w:szCs w:val="13"/>
          <w:color w:val="auto"/>
        </w:rPr>
        <w:t xml:space="preserve"> https://pharmaphorum.com/news/ftc-chaIlenges-dozens-improper-us-drug-patents</w:t>
      </w:r>
    </w:p>
    <w:p>
      <w:pPr>
        <w:ind w:left="8" w:right="600"/>
        <w:spacing w:after="0" w:line="205" w:lineRule="auto"/>
        <w:rPr>
          <w:rFonts w:ascii="Arial" w:cs="Arial" w:eastAsia="Arial" w:hAnsi="Arial"/>
          <w:sz w:val="20"/>
          <w:szCs w:val="20"/>
          <w:color w:val="auto"/>
          <w:vertAlign w:val="superscript"/>
        </w:rPr>
      </w:pPr>
      <w:r>
        <w:rPr>
          <w:rFonts w:ascii="Arial" w:cs="Arial" w:eastAsia="Arial" w:hAnsi="Arial"/>
          <w:sz w:val="20"/>
          <w:szCs w:val="20"/>
          <w:color w:val="auto"/>
          <w:vertAlign w:val="superscript"/>
        </w:rPr>
        <w:t>4</w:t>
      </w:r>
      <w:r>
        <w:rPr>
          <w:rFonts w:ascii="Arial" w:cs="Arial" w:eastAsia="Arial" w:hAnsi="Arial"/>
          <w:sz w:val="13"/>
          <w:szCs w:val="13"/>
          <w:color w:val="auto"/>
        </w:rPr>
        <w:t xml:space="preserve"> https://oversight.house.gov/sites/democrats.oversight.house.gov/files/DRUG%20PRICING%20REPORT%20WIT H%20APPENDIX%20v3.pdf, at ix, 17.</w:t>
      </w:r>
    </w:p>
    <w:p>
      <w:pPr>
        <w:spacing w:after="0" w:line="1" w:lineRule="exact"/>
        <w:rPr>
          <w:rFonts w:ascii="Arial" w:cs="Arial" w:eastAsia="Arial" w:hAnsi="Arial"/>
          <w:sz w:val="20"/>
          <w:szCs w:val="20"/>
          <w:color w:val="auto"/>
          <w:vertAlign w:val="superscript"/>
        </w:rPr>
      </w:pPr>
    </w:p>
    <w:p>
      <w:pPr>
        <w:ind w:left="8"/>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5</w:t>
      </w:r>
      <w:r>
        <w:rPr>
          <w:rFonts w:ascii="Arial" w:cs="Arial" w:eastAsia="Arial" w:hAnsi="Arial"/>
          <w:sz w:val="13"/>
          <w:szCs w:val="13"/>
          <w:color w:val="auto"/>
        </w:rPr>
        <w:t xml:space="preserve">  https://investors.abbvie.com/static-files/af79eef2-5901-4b62-9354-982d2d95404e, slide 16</w:t>
      </w:r>
    </w:p>
    <w:p>
      <w:pPr>
        <w:spacing w:after="0" w:line="227" w:lineRule="exact"/>
        <w:rPr>
          <w:sz w:val="20"/>
          <w:szCs w:val="20"/>
          <w:color w:val="auto"/>
        </w:rPr>
      </w:pPr>
    </w:p>
    <w:p>
      <w:pPr>
        <w:ind w:left="8" w:right="1020"/>
        <w:spacing w:after="0" w:line="280" w:lineRule="auto"/>
        <w:rPr>
          <w:sz w:val="20"/>
          <w:szCs w:val="20"/>
          <w:color w:val="auto"/>
        </w:rPr>
      </w:pPr>
      <w:r>
        <w:rPr>
          <w:rFonts w:ascii="Arial" w:cs="Arial" w:eastAsia="Arial" w:hAnsi="Arial"/>
          <w:sz w:val="30"/>
          <w:szCs w:val="30"/>
          <w:color w:val="071D49"/>
        </w:rPr>
        <w:t>Board of Directors Statement in Opposition to the Stockholder Proposal on Patent Process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w:t>
      </w:r>
    </w:p>
    <w:p>
      <w:pPr>
        <w:spacing w:after="0" w:line="192" w:lineRule="exact"/>
        <w:rPr>
          <w:sz w:val="20"/>
          <w:szCs w:val="20"/>
          <w:color w:val="auto"/>
        </w:rPr>
      </w:pPr>
    </w:p>
    <w:p>
      <w:pPr>
        <w:ind w:left="8" w:right="420"/>
        <w:spacing w:after="0" w:line="271" w:lineRule="auto"/>
        <w:rPr>
          <w:sz w:val="20"/>
          <w:szCs w:val="20"/>
          <w:color w:val="auto"/>
        </w:rPr>
      </w:pPr>
      <w:r>
        <w:rPr>
          <w:rFonts w:ascii="Arial" w:cs="Arial" w:eastAsia="Arial" w:hAnsi="Arial"/>
          <w:sz w:val="17"/>
          <w:szCs w:val="17"/>
          <w:b w:val="1"/>
          <w:bCs w:val="1"/>
          <w:color w:val="auto"/>
        </w:rPr>
        <w:t>AbbVie is committed to patient access and acts responsibly in all aspects of its business, including intellectual property.</w:t>
      </w:r>
    </w:p>
    <w:p>
      <w:pPr>
        <w:spacing w:after="0" w:line="134" w:lineRule="exact"/>
        <w:rPr>
          <w:sz w:val="20"/>
          <w:szCs w:val="20"/>
          <w:color w:val="auto"/>
        </w:rPr>
      </w:pPr>
    </w:p>
    <w:p>
      <w:pPr>
        <w:ind w:left="8"/>
        <w:spacing w:after="0" w:line="237" w:lineRule="auto"/>
        <w:rPr>
          <w:sz w:val="20"/>
          <w:szCs w:val="20"/>
          <w:color w:val="auto"/>
        </w:rPr>
      </w:pPr>
      <w:r>
        <w:rPr>
          <w:rFonts w:ascii="Arial" w:cs="Arial" w:eastAsia="Arial" w:hAnsi="Arial"/>
          <w:sz w:val="17"/>
          <w:szCs w:val="17"/>
          <w:color w:val="auto"/>
        </w:rPr>
        <w:t>Acting with Integrity is one of the five AbbVie Principles, which are foundational to who we are as a company. This includes acting in compliance with all applicable laws and regulations, as well as engaging in conduct consistent with our commitment to honesty, fairness, and integrity, in every aspect of our business. AbbVie’s ethical decision-making extends to protecting our intellectual property, which covers meaningful innovation and investment in our life-changing medicines. Each year, AbbVie’s medicines treat tens of millions of people across over 75 conditions, and since our inception as an independent company in 2013, we have invested over $60 billion in research and development.</w:t>
      </w:r>
    </w:p>
    <w:p>
      <w:pPr>
        <w:spacing w:after="0" w:line="168" w:lineRule="exact"/>
        <w:rPr>
          <w:sz w:val="20"/>
          <w:szCs w:val="20"/>
          <w:color w:val="auto"/>
        </w:rPr>
      </w:pPr>
    </w:p>
    <w:p>
      <w:pPr>
        <w:ind w:left="8" w:right="60"/>
        <w:spacing w:after="0" w:line="234" w:lineRule="auto"/>
        <w:rPr>
          <w:sz w:val="20"/>
          <w:szCs w:val="20"/>
          <w:color w:val="auto"/>
        </w:rPr>
      </w:pPr>
      <w:r>
        <w:rPr>
          <w:rFonts w:ascii="Arial" w:cs="Arial" w:eastAsia="Arial" w:hAnsi="Arial"/>
          <w:sz w:val="17"/>
          <w:szCs w:val="17"/>
          <w:color w:val="auto"/>
        </w:rPr>
        <w:t>AbbVie has numerous mechanisms to ensure access to our innovative medicines, including those that remain exclusive. For example, patients in the United States without insurance or those with limited coverage can receive AbbVie medicines at no cost to them through myAbbVie Assist. The program serves as an important safety net and helps 99% of uninsured patients who seek our assistance. In 2023, the income eligibility requirement for myAbbVie Assist was 600% of the Federal Poverty Level (FPL), or an income of less than $180,000 for a household of four people. In 2023, myAbbVie Assist supported over 218,000 patients in the United States. As another example, within the United States, we provide co-pay assistance, regardless of income, to all patients with commercial insurance; with this assistance, most eligible patients pay $ 5-10 per month for their AbbVie medicines. More than 90% of commercial patients utilize our co-pay assistance program. We also make donations to independent charitable foundations that provide co-pay assistance to patients in need, regardless of what type of therapy they are on.</w:t>
      </w:r>
    </w:p>
    <w:p>
      <w:pPr>
        <w:spacing w:after="0" w:line="171" w:lineRule="exact"/>
        <w:rPr>
          <w:sz w:val="20"/>
          <w:szCs w:val="20"/>
          <w:color w:val="auto"/>
        </w:rPr>
      </w:pPr>
    </w:p>
    <w:p>
      <w:pPr>
        <w:ind w:left="8" w:right="60"/>
        <w:spacing w:after="0" w:line="235" w:lineRule="auto"/>
        <w:rPr>
          <w:sz w:val="20"/>
          <w:szCs w:val="20"/>
          <w:color w:val="auto"/>
        </w:rPr>
      </w:pPr>
      <w:r>
        <w:rPr>
          <w:rFonts w:ascii="Arial" w:cs="Arial" w:eastAsia="Arial" w:hAnsi="Arial"/>
          <w:sz w:val="17"/>
          <w:szCs w:val="17"/>
          <w:color w:val="auto"/>
        </w:rPr>
        <w:t>Outside of the United States, AbbVie’s programs to enhance patient access include our participation in licensing agreements with the Medicines Patent Pool (MPP) to increase access to critical medicines for patients in low- and middle-income countries (LMICs). For example, our MPP agreements span nearly 100 countries for Mavyret, an AbbVie medicine used to treat HCV. To promote access to medicines for those in need with no means of accessing them due to limitations and availability, we host global medicine donation programs. We have seven ongoing medicine donation partnerships with non-governmental organizations providing care in LMICs. To assist with out-of-pocket costs of medicines, AbbVie offers several programs that help to reduce the cost burden for patients to pay for our medicines. Each program is tailored to meet the unique needs of patients and the patient</w:t>
      </w:r>
    </w:p>
    <w:p>
      <w:pPr>
        <w:spacing w:after="0" w:line="36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86</w:t>
      </w:r>
      <w:r>
        <w:rPr>
          <w:sz w:val="20"/>
          <w:szCs w:val="20"/>
          <w:color w:val="auto"/>
        </w:rPr>
        <w:tab/>
      </w:r>
      <w:r>
        <w:rPr>
          <w:sz w:val="1"/>
          <w:szCs w:val="1"/>
          <w:color w:val="auto"/>
        </w:rPr>
        <w:drawing>
          <wp:inline distT="0" distB="0" distL="0" distR="0">
            <wp:extent cx="810260" cy="15113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8"/>
          </w:cols>
          <w:pgMar w:left="1312" w:top="485" w:right="1359" w:bottom="1440" w:gutter="0" w:footer="0" w:header="0"/>
        </w:sectPr>
      </w:pPr>
    </w:p>
    <w:bookmarkStart w:id="89" w:name="page90"/>
    <w:bookmarkEnd w:id="8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6940"/>
        <w:spacing w:after="0"/>
        <w:rPr>
          <w:sz w:val="20"/>
          <w:szCs w:val="20"/>
          <w:color w:val="auto"/>
        </w:rPr>
      </w:pPr>
      <w:r>
        <w:rPr>
          <w:rFonts w:ascii="Arial" w:cs="Arial" w:eastAsia="Arial" w:hAnsi="Arial"/>
          <w:sz w:val="16"/>
          <w:szCs w:val="16"/>
          <w:color w:val="808080"/>
        </w:rPr>
        <w:t>STOCKHOLDER PROPOSALS</w:t>
      </w:r>
    </w:p>
    <w:p>
      <w:pPr>
        <w:spacing w:after="0" w:line="191" w:lineRule="exact"/>
        <w:rPr>
          <w:sz w:val="20"/>
          <w:szCs w:val="20"/>
          <w:color w:val="auto"/>
        </w:rPr>
      </w:pPr>
    </w:p>
    <w:p>
      <w:pPr>
        <w:ind w:left="20" w:right="80"/>
        <w:spacing w:after="0" w:line="261" w:lineRule="auto"/>
        <w:rPr>
          <w:sz w:val="20"/>
          <w:szCs w:val="20"/>
          <w:color w:val="auto"/>
        </w:rPr>
      </w:pPr>
      <w:r>
        <w:rPr>
          <w:rFonts w:ascii="Arial" w:cs="Arial" w:eastAsia="Arial" w:hAnsi="Arial"/>
          <w:sz w:val="17"/>
          <w:szCs w:val="17"/>
          <w:color w:val="auto"/>
        </w:rPr>
        <w:t>communities within the specific geography, disease area, and payer context. Other steps that AbbVie takes to further patient access globally can be found in our annual ESG Action Report.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AbbVie’s existing disclosures address our approach to intellectual property and patient access.</w:t>
      </w:r>
    </w:p>
    <w:p>
      <w:pPr>
        <w:spacing w:after="0" w:line="192" w:lineRule="exact"/>
        <w:rPr>
          <w:sz w:val="20"/>
          <w:szCs w:val="20"/>
          <w:color w:val="auto"/>
        </w:rPr>
      </w:pPr>
    </w:p>
    <w:p>
      <w:pPr>
        <w:ind w:left="20"/>
        <w:spacing w:after="0" w:line="233" w:lineRule="auto"/>
        <w:rPr>
          <w:sz w:val="20"/>
          <w:szCs w:val="20"/>
          <w:color w:val="auto"/>
        </w:rPr>
      </w:pPr>
      <w:r>
        <w:rPr>
          <w:rFonts w:ascii="Arial" w:cs="Arial" w:eastAsia="Arial" w:hAnsi="Arial"/>
          <w:sz w:val="17"/>
          <w:szCs w:val="17"/>
          <w:color w:val="auto"/>
        </w:rPr>
        <w:t>As discussed in more detail on our website (https://www.abbvie.com/who-we-are/policies-disclosures.html) in a document titled “Intellectual Property and Patient Access” that was updated in early 2024, AbbVie has further expanded upon the factors it considers when pursuing patents. Patents are critical to protecting the significant investments that allow AbbVie to solve serious health issues. Patents provide a limited period of exclusivity for our products – allowing AbbVie to recoup its investment not only from the initial discovery of the medicine itself, but also our ongoing investment in that medicine. AbbVie’s R&amp;D does not stop after the initial discovery of an active pharmaceutical ingredient, or after a patent application is filed on that active pharmaceutical ingredient. AbbVie researchers continue to confront complex problems arising from their work in the laboratory to developments in the clinic – leading to groundbreaking innovations and advancements in patient care. These discoveries can include new indications and patient populations, pharmaceutical formulations and methods for drug delivery, and enhanced processes for manufacturing quality pharmaceutical products. AbbVie invests years to refine and validate these scientific discoveries to obtain regulatory approval, before delivering any pharmaceutical product to patients. Patents filed subsequent to the main active ingredient patent ensure that we are able to invest further resources into studying the medicine in new patient populations and diseases over time, optimizing the process used to manufacture the medicine, and improving the formulation of the medicine over time to provide meaningful patient benefits. Patents also allow us to re-invest in developing new medicines, further improving patients’ standards of care over time.</w:t>
      </w:r>
    </w:p>
    <w:p>
      <w:pPr>
        <w:spacing w:after="0" w:line="169" w:lineRule="exact"/>
        <w:rPr>
          <w:sz w:val="20"/>
          <w:szCs w:val="20"/>
          <w:color w:val="auto"/>
        </w:rPr>
      </w:pPr>
    </w:p>
    <w:p>
      <w:pPr>
        <w:ind w:left="20" w:right="260"/>
        <w:spacing w:after="0" w:line="261" w:lineRule="auto"/>
        <w:rPr>
          <w:sz w:val="20"/>
          <w:szCs w:val="20"/>
          <w:color w:val="auto"/>
        </w:rPr>
      </w:pPr>
      <w:r>
        <w:rPr>
          <w:rFonts w:ascii="Arial" w:cs="Arial" w:eastAsia="Arial" w:hAnsi="Arial"/>
          <w:sz w:val="17"/>
          <w:szCs w:val="17"/>
          <w:color w:val="auto"/>
        </w:rPr>
        <w:t>As discussed in our website disclosure, when AbbVie assesses whether to apply for a patent to cover a certain innovation, we consider many factors, such as:</w:t>
      </w:r>
    </w:p>
    <w:p>
      <w:pPr>
        <w:spacing w:after="0" w:line="150" w:lineRule="exact"/>
        <w:rPr>
          <w:sz w:val="20"/>
          <w:szCs w:val="20"/>
          <w:color w:val="auto"/>
        </w:rPr>
      </w:pPr>
    </w:p>
    <w:p>
      <w:pPr>
        <w:ind w:left="680" w:right="300" w:hanging="293"/>
        <w:spacing w:after="0" w:line="235" w:lineRule="auto"/>
        <w:tabs>
          <w:tab w:leader="none" w:pos="68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Science is at the heart of everything we do at AbbVie, including our decisions related to patents. AbbVie pursues patents that reflect meaningful innovation and scientific advancements, including those that have the potential to improve the treatment of patients. Such innovation may improve safety and efficacy of patient care, while other innovations may enhance the quality and efficiency of AbbVie’s manufacturing processes.</w:t>
      </w:r>
    </w:p>
    <w:p>
      <w:pPr>
        <w:ind w:left="680" w:right="280" w:hanging="293"/>
        <w:spacing w:after="0" w:line="229" w:lineRule="auto"/>
        <w:tabs>
          <w:tab w:leader="none" w:pos="68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AbbVie carefully considers the state of the art, how our discovery materially advances the technology, and patent laws of the relevant jurisdiction.</w:t>
      </w:r>
    </w:p>
    <w:p>
      <w:pPr>
        <w:spacing w:after="0" w:line="1" w:lineRule="exact"/>
        <w:rPr>
          <w:rFonts w:ascii="Times New Roman" w:cs="Times New Roman" w:eastAsia="Times New Roman" w:hAnsi="Times New Roman"/>
          <w:sz w:val="17"/>
          <w:szCs w:val="17"/>
          <w:color w:val="auto"/>
        </w:rPr>
      </w:pPr>
    </w:p>
    <w:p>
      <w:pPr>
        <w:ind w:left="680" w:hanging="293"/>
        <w:spacing w:after="0"/>
        <w:tabs>
          <w:tab w:leader="none" w:pos="68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We also consider the value of a public disclosure in advancing science.</w:t>
      </w:r>
    </w:p>
    <w:p>
      <w:pPr>
        <w:spacing w:after="0" w:line="3" w:lineRule="exact"/>
        <w:rPr>
          <w:rFonts w:ascii="Times New Roman" w:cs="Times New Roman" w:eastAsia="Times New Roman" w:hAnsi="Times New Roman"/>
          <w:sz w:val="17"/>
          <w:szCs w:val="17"/>
          <w:color w:val="auto"/>
        </w:rPr>
      </w:pPr>
    </w:p>
    <w:p>
      <w:pPr>
        <w:ind w:left="680" w:hanging="293"/>
        <w:spacing w:after="0"/>
        <w:tabs>
          <w:tab w:leader="none" w:pos="680" w:val="left"/>
        </w:tabs>
        <w:numPr>
          <w:ilvl w:val="0"/>
          <w:numId w:val="116"/>
        </w:numPr>
        <w:rPr>
          <w:rFonts w:ascii="Times New Roman" w:cs="Times New Roman" w:eastAsia="Times New Roman" w:hAnsi="Times New Roman"/>
          <w:sz w:val="17"/>
          <w:szCs w:val="17"/>
          <w:color w:val="auto"/>
        </w:rPr>
      </w:pPr>
      <w:r>
        <w:rPr>
          <w:rFonts w:ascii="Arial" w:cs="Arial" w:eastAsia="Arial" w:hAnsi="Arial"/>
          <w:sz w:val="17"/>
          <w:szCs w:val="17"/>
          <w:color w:val="auto"/>
        </w:rPr>
        <w:t>Finally, we take into account the size of the underlying investment and the potential impact on patient access.</w:t>
      </w:r>
    </w:p>
    <w:p>
      <w:pPr>
        <w:spacing w:after="0" w:line="188" w:lineRule="exact"/>
        <w:rPr>
          <w:sz w:val="20"/>
          <w:szCs w:val="20"/>
          <w:color w:val="auto"/>
        </w:rPr>
      </w:pPr>
    </w:p>
    <w:p>
      <w:pPr>
        <w:ind w:left="20" w:right="40"/>
        <w:spacing w:after="0" w:line="246" w:lineRule="auto"/>
        <w:rPr>
          <w:sz w:val="20"/>
          <w:szCs w:val="20"/>
          <w:color w:val="auto"/>
        </w:rPr>
      </w:pPr>
      <w:r>
        <w:rPr>
          <w:rFonts w:ascii="Arial" w:cs="Arial" w:eastAsia="Arial" w:hAnsi="Arial"/>
          <w:sz w:val="17"/>
          <w:szCs w:val="17"/>
          <w:color w:val="auto"/>
        </w:rPr>
        <w:t>AbbVie’s enhanced website disclosure provides a specific product example to showcase the value that intellectual property provides in terms of driving continued innovation and investment in improving patient care. We also expanded this disclosure to further discuss some of the ways in which AbbVie ensures patient access to its medicines.</w:t>
      </w:r>
    </w:p>
    <w:p>
      <w:pPr>
        <w:spacing w:after="0" w:line="162" w:lineRule="exact"/>
        <w:rPr>
          <w:sz w:val="20"/>
          <w:szCs w:val="20"/>
          <w:color w:val="auto"/>
        </w:rPr>
      </w:pPr>
    </w:p>
    <w:p>
      <w:pPr>
        <w:ind w:left="20" w:right="20"/>
        <w:spacing w:after="0"/>
        <w:rPr>
          <w:sz w:val="20"/>
          <w:szCs w:val="20"/>
          <w:color w:val="auto"/>
        </w:rPr>
      </w:pPr>
      <w:r>
        <w:rPr>
          <w:rFonts w:ascii="Arial" w:cs="Arial" w:eastAsia="Arial" w:hAnsi="Arial"/>
          <w:sz w:val="17"/>
          <w:szCs w:val="17"/>
          <w:color w:val="auto"/>
        </w:rPr>
        <w:t>In the absence of meaningful patent protection, our ability to invest in R&amp;D would be constrained and could limit the creation of promising new medicines for patients. AbbVie also has an established history of granting patent licenses under appropriate circumstances, in order to facilitate broader global access to our medicines. We believe this approach can protect AbbVie’s investments and further patient access to innovative new medicines.</w:t>
      </w:r>
    </w:p>
    <w:p>
      <w:pPr>
        <w:spacing w:after="0" w:line="169" w:lineRule="exact"/>
        <w:rPr>
          <w:sz w:val="20"/>
          <w:szCs w:val="20"/>
          <w:color w:val="auto"/>
        </w:rPr>
      </w:pPr>
    </w:p>
    <w:p>
      <w:pPr>
        <w:ind w:left="20" w:right="20"/>
        <w:spacing w:after="0" w:line="254" w:lineRule="auto"/>
        <w:rPr>
          <w:sz w:val="20"/>
          <w:szCs w:val="20"/>
          <w:color w:val="auto"/>
        </w:rPr>
      </w:pPr>
      <w:r>
        <w:rPr>
          <w:rFonts w:ascii="Arial" w:cs="Arial" w:eastAsia="Arial" w:hAnsi="Arial"/>
          <w:sz w:val="16"/>
          <w:szCs w:val="16"/>
          <w:color w:val="auto"/>
        </w:rPr>
        <w:t>AbbVie obtains these intellectual property rights only by lawful and ethical means. Patent applications undergo rigorous reviews at patent offices around the world and are granted only after meeting all criteria for patentability. AbbVie carefully monitors developments in patent law, including proposed legislation and rulemaking at federal agencies. AbbVie incorporates the analysis of any such new law or regulation when deciding how to protect and enforce our intellectual property. Our website also discloses the oversight of AbbVie’s intellectual property processes by our Executive Vice President, General Counsel and Secretary; Senior Vice President, Chief Patent and Innovation Counsel; and board of directors.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STOCKHOLDER PROPOSALS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Any disclosures beyond AbbVie’s existing disclosures are either not feasible or would be unnecessarily burdensome. It is not feasible to predict, at the time of filing a patent application, what impact that filing will have on a specific outcome on patient access. AbbVie files patent applications when innovations are developed – often many years before AbbVie knows whether a new active ingredient, pharmaceutical formulation, or indication that is the subject of the patent application will receive FDA approval. Thus, the relevance of the filing of any patent application is not known until after the medicine is fully developed and the nature of any competing products is known. Although the proposal states the requested report should exclude confidential information, publishing more detail on AbbVie’s patenting processes (beyond our existing disclosure discussed above) could threaten AbbVie’s competitive interests, given that the patent application filing process is confidential.</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sum, AbbVie already has existing robust disclosures and an additional report would not reveal anything of additional value to investors worthy of the burden it would pose.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that you vote AGAINST this proposal.</w:t>
      </w:r>
    </w:p>
    <w:p>
      <w:pPr>
        <w:spacing w:after="0" w:line="200" w:lineRule="exact"/>
        <w:rPr>
          <w:sz w:val="20"/>
          <w:szCs w:val="20"/>
          <w:color w:val="auto"/>
        </w:rPr>
      </w:pPr>
    </w:p>
    <w:p>
      <w:pPr>
        <w:spacing w:after="0" w:line="372"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88</w:t>
      </w:r>
      <w:r>
        <w:rPr>
          <w:sz w:val="20"/>
          <w:szCs w:val="20"/>
          <w:color w:val="auto"/>
        </w:rPr>
        <w:tab/>
      </w:r>
      <w:r>
        <w:rPr>
          <w:sz w:val="1"/>
          <w:szCs w:val="1"/>
          <w:color w:val="auto"/>
        </w:rPr>
        <w:drawing>
          <wp:inline distT="0" distB="0" distL="0" distR="0">
            <wp:extent cx="810260" cy="15113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0"/>
          </w:cols>
          <w:pgMar w:left="1320" w:top="485" w:right="1359" w:bottom="1440" w:gutter="0" w:footer="0" w:header="0"/>
        </w:sectPr>
      </w:pPr>
    </w:p>
    <w:bookmarkStart w:id="91" w:name="page92"/>
    <w:bookmarkEnd w:id="9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887085" cy="158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Governance Materials</w:t>
      </w:r>
    </w:p>
    <w:p>
      <w:pPr>
        <w:spacing w:after="0" w:line="192"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and sustainability committee charters are all available in the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 We are providing our website address in this proxy statement solely for the information of investors. We do not intend the address to be an active link or to otherwise incorporate the contents of the website, including any materials that are noted in this proxy statement as being posted on the website, into this proxy statement or into any of our other filings with the Securities and Exchange Commission.</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Procedures for Approval of Related Person Transactions</w:t>
      </w:r>
    </w:p>
    <w:p>
      <w:pPr>
        <w:spacing w:after="0" w:line="192" w:lineRule="exact"/>
        <w:rPr>
          <w:sz w:val="20"/>
          <w:szCs w:val="20"/>
          <w:color w:val="auto"/>
        </w:rPr>
      </w:pPr>
    </w:p>
    <w:p>
      <w:pPr>
        <w:ind w:left="20" w:right="160"/>
        <w:spacing w:after="0" w:line="238" w:lineRule="auto"/>
        <w:rPr>
          <w:sz w:val="20"/>
          <w:szCs w:val="20"/>
          <w:color w:val="auto"/>
        </w:rPr>
      </w:pPr>
      <w:r>
        <w:rPr>
          <w:rFonts w:ascii="Arial" w:cs="Arial" w:eastAsia="Arial" w:hAnsi="Arial"/>
          <w:sz w:val="17"/>
          <w:szCs w:val="17"/>
          <w:color w:val="auto"/>
        </w:rPr>
        <w:t>It is AbbVie’s policy that the nominations and governance committee conduct a reasonable prior review and approve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169" w:lineRule="exact"/>
        <w:rPr>
          <w:sz w:val="20"/>
          <w:szCs w:val="20"/>
          <w:color w:val="auto"/>
        </w:rPr>
      </w:pPr>
    </w:p>
    <w:p>
      <w:pPr>
        <w:ind w:left="320" w:hanging="308"/>
        <w:spacing w:after="0"/>
        <w:tabs>
          <w:tab w:leader="none" w:pos="320" w:val="left"/>
        </w:tabs>
        <w:numPr>
          <w:ilvl w:val="0"/>
          <w:numId w:val="117"/>
        </w:numPr>
        <w:rPr>
          <w:rFonts w:ascii="Times New Roman" w:cs="Times New Roman" w:eastAsia="Times New Roman" w:hAnsi="Times New Roman"/>
          <w:sz w:val="17"/>
          <w:szCs w:val="17"/>
          <w:color w:val="071D49"/>
        </w:rPr>
      </w:pPr>
      <w:r>
        <w:rPr>
          <w:rFonts w:ascii="Arial" w:cs="Arial" w:eastAsia="Arial" w:hAnsi="Arial"/>
          <w:sz w:val="17"/>
          <w:szCs w:val="17"/>
          <w:color w:val="auto"/>
        </w:rPr>
        <w:t>questionnaires annually distributed to AbbVie’s directors and executive officers;</w:t>
      </w:r>
    </w:p>
    <w:p>
      <w:pPr>
        <w:spacing w:after="0" w:line="19" w:lineRule="exact"/>
        <w:rPr>
          <w:rFonts w:ascii="Times New Roman" w:cs="Times New Roman" w:eastAsia="Times New Roman" w:hAnsi="Times New Roman"/>
          <w:sz w:val="17"/>
          <w:szCs w:val="17"/>
          <w:color w:val="071D49"/>
        </w:rPr>
      </w:pPr>
    </w:p>
    <w:p>
      <w:pPr>
        <w:ind w:left="320" w:right="80" w:hanging="308"/>
        <w:spacing w:after="0" w:line="229" w:lineRule="auto"/>
        <w:tabs>
          <w:tab w:leader="none" w:pos="320" w:val="left"/>
        </w:tabs>
        <w:numPr>
          <w:ilvl w:val="0"/>
          <w:numId w:val="117"/>
        </w:numPr>
        <w:rPr>
          <w:rFonts w:ascii="Times New Roman" w:cs="Times New Roman" w:eastAsia="Times New Roman" w:hAnsi="Times New Roman"/>
          <w:sz w:val="17"/>
          <w:szCs w:val="17"/>
          <w:color w:val="071D49"/>
        </w:rPr>
      </w:pPr>
      <w:r>
        <w:rPr>
          <w:rFonts w:ascii="Arial" w:cs="Arial" w:eastAsia="Arial" w:hAnsi="Arial"/>
          <w:sz w:val="17"/>
          <w:szCs w:val="17"/>
          <w:color w:val="auto"/>
        </w:rPr>
        <w:t>certifications submitted annually by AbbVie executive officers related to their compliance with AbbVie’s Code of Business Conduct; or</w:t>
      </w:r>
    </w:p>
    <w:p>
      <w:pPr>
        <w:spacing w:after="0" w:line="1"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7"/>
        </w:numPr>
        <w:rPr>
          <w:rFonts w:ascii="Times New Roman" w:cs="Times New Roman" w:eastAsia="Times New Roman" w:hAnsi="Times New Roman"/>
          <w:sz w:val="17"/>
          <w:szCs w:val="17"/>
          <w:color w:val="071D49"/>
        </w:rPr>
      </w:pPr>
      <w:r>
        <w:rPr>
          <w:rFonts w:ascii="Arial" w:cs="Arial" w:eastAsia="Arial" w:hAnsi="Arial"/>
          <w:sz w:val="17"/>
          <w:szCs w:val="17"/>
          <w:color w:val="auto"/>
        </w:rPr>
        <w:t>communications made directly by the related person to the chief financial officer or general counsel.</w:t>
      </w:r>
    </w:p>
    <w:p>
      <w:pPr>
        <w:spacing w:after="0" w:line="188" w:lineRule="exact"/>
        <w:rPr>
          <w:sz w:val="20"/>
          <w:szCs w:val="20"/>
          <w:color w:val="auto"/>
        </w:rPr>
      </w:pPr>
    </w:p>
    <w:p>
      <w:pPr>
        <w:ind w:left="20" w:right="240"/>
        <w:spacing w:after="0" w:line="261" w:lineRule="auto"/>
        <w:rPr>
          <w:sz w:val="20"/>
          <w:szCs w:val="20"/>
          <w:color w:val="auto"/>
        </w:rPr>
      </w:pPr>
      <w:r>
        <w:rPr>
          <w:rFonts w:ascii="Arial" w:cs="Arial" w:eastAsia="Arial" w:hAnsi="Arial"/>
          <w:sz w:val="17"/>
          <w:szCs w:val="17"/>
          <w:color w:val="auto"/>
        </w:rPr>
        <w:t>In determining whether to approve or disapprove a related person transaction, the nominations and governance committee will consider the following items, among others:</w:t>
      </w:r>
    </w:p>
    <w:p>
      <w:pPr>
        <w:spacing w:after="0" w:line="150" w:lineRule="exact"/>
        <w:rPr>
          <w:sz w:val="20"/>
          <w:szCs w:val="20"/>
          <w:color w:val="auto"/>
        </w:rPr>
      </w:pPr>
    </w:p>
    <w:p>
      <w:pPr>
        <w:ind w:left="320" w:hanging="308"/>
        <w:spacing w:after="0"/>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the related person’s relationship to AbbVie and interest in the transaction;</w:t>
      </w:r>
    </w:p>
    <w:p>
      <w:pPr>
        <w:spacing w:after="0" w:line="19" w:lineRule="exact"/>
        <w:rPr>
          <w:rFonts w:ascii="Times New Roman" w:cs="Times New Roman" w:eastAsia="Times New Roman" w:hAnsi="Times New Roman"/>
          <w:sz w:val="17"/>
          <w:szCs w:val="17"/>
          <w:color w:val="071D49"/>
        </w:rPr>
      </w:pPr>
    </w:p>
    <w:p>
      <w:pPr>
        <w:ind w:left="320" w:right="20" w:hanging="308"/>
        <w:spacing w:after="0" w:line="229" w:lineRule="auto"/>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the material facts of the transaction, including the aggregate value of such transaction or, in the case of indebtedness, the amount of principal involved;</w:t>
      </w:r>
    </w:p>
    <w:p>
      <w:pPr>
        <w:spacing w:after="0" w:line="1"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the benefits to AbbVie of the transaction;</w:t>
      </w:r>
    </w:p>
    <w:p>
      <w:pPr>
        <w:spacing w:after="0" w:line="3"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if applicable, the availability of other sources of comparable products or services;</w:t>
      </w:r>
    </w:p>
    <w:p>
      <w:pPr>
        <w:spacing w:after="0" w:line="3" w:lineRule="exact"/>
        <w:rPr>
          <w:rFonts w:ascii="Times New Roman" w:cs="Times New Roman" w:eastAsia="Times New Roman" w:hAnsi="Times New Roman"/>
          <w:sz w:val="17"/>
          <w:szCs w:val="17"/>
          <w:color w:val="071D49"/>
        </w:rPr>
      </w:pPr>
    </w:p>
    <w:p>
      <w:pPr>
        <w:ind w:left="320" w:right="320" w:hanging="308"/>
        <w:spacing w:after="0" w:line="229" w:lineRule="auto"/>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an assessment of whether the transaction is on terms that are comparable to the terms available to an unrelated third party or to employees generally;</w:t>
      </w:r>
    </w:p>
    <w:p>
      <w:pPr>
        <w:spacing w:after="0" w:line="1"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whether a transaction has the potential to impair director independence; and</w:t>
      </w:r>
    </w:p>
    <w:p>
      <w:pPr>
        <w:spacing w:after="0" w:line="3"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8"/>
        </w:numPr>
        <w:rPr>
          <w:rFonts w:ascii="Times New Roman" w:cs="Times New Roman" w:eastAsia="Times New Roman" w:hAnsi="Times New Roman"/>
          <w:sz w:val="17"/>
          <w:szCs w:val="17"/>
          <w:color w:val="071D49"/>
        </w:rPr>
      </w:pPr>
      <w:r>
        <w:rPr>
          <w:rFonts w:ascii="Arial" w:cs="Arial" w:eastAsia="Arial" w:hAnsi="Arial"/>
          <w:sz w:val="17"/>
          <w:szCs w:val="17"/>
          <w:color w:val="auto"/>
        </w:rPr>
        <w:t>whether the transaction constitutes a conflict of interest.</w:t>
      </w:r>
    </w:p>
    <w:p>
      <w:pPr>
        <w:spacing w:after="0" w:line="188" w:lineRule="exact"/>
        <w:rPr>
          <w:sz w:val="20"/>
          <w:szCs w:val="20"/>
          <w:color w:val="auto"/>
        </w:rPr>
      </w:pPr>
    </w:p>
    <w:p>
      <w:pPr>
        <w:ind w:left="20" w:right="920"/>
        <w:spacing w:after="0" w:line="261" w:lineRule="auto"/>
        <w:rPr>
          <w:sz w:val="20"/>
          <w:szCs w:val="20"/>
          <w:color w:val="auto"/>
        </w:rPr>
      </w:pPr>
      <w:r>
        <w:rPr>
          <w:rFonts w:ascii="Arial" w:cs="Arial" w:eastAsia="Arial" w:hAnsi="Arial"/>
          <w:sz w:val="17"/>
          <w:szCs w:val="17"/>
          <w:color w:val="auto"/>
        </w:rPr>
        <w:t xml:space="preserve">This process is included in the nominations and governance committee’s written charter, which is available on the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w:t>
      </w:r>
    </w:p>
    <w:p>
      <w:pPr>
        <w:spacing w:after="0" w:line="150" w:lineRule="exact"/>
        <w:rPr>
          <w:sz w:val="20"/>
          <w:szCs w:val="20"/>
          <w:color w:val="auto"/>
        </w:rPr>
      </w:pPr>
    </w:p>
    <w:p>
      <w:pPr>
        <w:ind w:left="20" w:right="140"/>
        <w:spacing w:after="0" w:line="234" w:lineRule="auto"/>
        <w:rPr>
          <w:sz w:val="20"/>
          <w:szCs w:val="20"/>
          <w:color w:val="auto"/>
        </w:rPr>
      </w:pPr>
      <w:r>
        <w:rPr>
          <w:rFonts w:ascii="Arial" w:cs="Arial" w:eastAsia="Arial" w:hAnsi="Arial"/>
          <w:sz w:val="17"/>
          <w:szCs w:val="17"/>
          <w:color w:val="auto"/>
        </w:rPr>
        <w:t>Nicholas Donoghoe, M.D., Executive Vice President, Chief Business and Strategy Officer, was appointed as an executive officer of AbbVie during 2023. Dr. Donoghoe’s wife, Jessica Heckmann Donoghoe, is a minority equity owner in LaserAway, a chain of aesthetics clinics. Dr. Donoghoe’s brothers-in-law Brock Heckmann, Scott Heckmann, and Todd Heckmann are also equity owners, as well as executives, at LaserAway. LaserAway purchased $ 16.1 million worth of AbbVie products during 2023, including Botox Cosmetic, Juvederm, and Coolsculpting. LaserAway also receives product samples for educational and other training purposes. Dr. Donoghoe does not have any visibility to or control over the terms of the LaserAway transactions, and the LaserAway terms are generally consistent with those of similarly situated customers. LaserAway first became a customer of the Allergan group of companies before AbbVie acquired Allergan in 2020. Our nominations and governance committee, pursuant to its committee charter, has reviewed and approved the foregoing arrangement with LaserAway.</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ADDITIONAL INFORMATION</w:t>
      </w:r>
    </w:p>
    <w:p>
      <w:pPr>
        <w:spacing w:after="0" w:line="18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Alexander Freyman, who is the son of Thomas Freyman, a director of the company, is an employee at AbbVie. Alexander earned $122,327.73 in total compensation in 2023. Thomas Freyman has no role in setting Alexander’s compensation, and Alexander’s compensation is on terms that are comparable to the terms available to similarly situated employees. Our nominations and governance committee, pursuant to its committee charter, has reviewed and approved Alexander’s compensation.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Delinquent Section 16(a) Reports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Section 16(a) of the Exchange Act requires AbbVie’s directors and executive officers, and persons who own more than 10% of a registered class of AbbVie’s equity securities, to file with the SEC initial reports of ownership and reports of changes in beneficial ownership of such equity securities of AbbVie. With the exception of one amended report filed on May 9, 2023 on behalf of a director, which corrected an earlier filing on February 21, 2023 that had omitted the sale of 6,222 additional shares due to administrative error, to AbbVie’s knowledge, no executive officer or director of AbbVie failed to file reports required by Section 16(a) on a timely basis.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9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AbbVie is incorporated in the state of Delaware and Delaware law governs the relationship among its directors, officers, and stockholders (also known as the internal affairs doctrine). To provide for the orderly, efficient and cost-effective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 There is uncertainty as to whether a court would enforce the exclusive forum provision with respect to claims under the federal securities laws. The preceding paragraph is not an exhaustive description.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92"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board of directors knows of no other business to be transacted at the 2024 Annual Meeting of Stockholders, but if any other matters do come before the meeting, it is the intention of the persons named in the accompanying proxy to vote or act with respect to them in accordance with their best judgment.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Deadlines for Notice of Stockholder Actions to be Considered at the 2025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Proposals to be Included in AbbVie’s 2025 Proxy Statement (Rule 14a-8)</w:t>
      </w:r>
    </w:p>
    <w:p>
      <w:pPr>
        <w:spacing w:after="0" w:line="19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Stockholders interested in submitting proposals for inclusion in our proxy materials and for presentation at the 2025 Annual Meeting may do so by following the procedures set forth in Rule 14a-8 under the Exchange Act. In general, to be eligible for inclusion in our proxy materials, Rule 14a-8 shareholder proposals must be received by AbbVie no later than November 18, 2024.</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Nominations to be Included in AbbVie’s 2025 Proxy Statement (“Proxy Access”)</w:t>
      </w:r>
    </w:p>
    <w:p>
      <w:pPr>
        <w:spacing w:after="0" w:line="19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AbbVie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Section 2.13 of AbbVie’s By-Laws. To be timely for the 2025 Annual Meeting, this written notice must be received by AbbVie no earlier than October 19, 2024 and no later than November 18, 2024 and must include the specific information required by, and otherwise comply with the requirements of, our By-Laws.</w:t>
      </w:r>
    </w:p>
    <w:p>
      <w:pPr>
        <w:spacing w:after="0" w:line="200" w:lineRule="exact"/>
        <w:rPr>
          <w:sz w:val="20"/>
          <w:szCs w:val="20"/>
          <w:color w:val="auto"/>
        </w:rPr>
      </w:pPr>
    </w:p>
    <w:p>
      <w:pPr>
        <w:spacing w:after="0" w:line="354"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90</w:t>
      </w:r>
      <w:r>
        <w:rPr>
          <w:sz w:val="20"/>
          <w:szCs w:val="20"/>
          <w:color w:val="auto"/>
        </w:rPr>
        <w:tab/>
      </w:r>
      <w:r>
        <w:rPr>
          <w:sz w:val="1"/>
          <w:szCs w:val="1"/>
          <w:color w:val="auto"/>
        </w:rPr>
        <w:drawing>
          <wp:inline distT="0" distB="0" distL="0" distR="0">
            <wp:extent cx="810260" cy="15113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0"/>
          </w:cols>
          <w:pgMar w:left="1320" w:top="485" w:right="1359" w:bottom="1440" w:gutter="0" w:footer="0" w:header="0"/>
        </w:sectPr>
      </w:pPr>
    </w:p>
    <w:bookmarkStart w:id="93" w:name="page94"/>
    <w:bookmarkEnd w:id="93"/>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7080"/>
        <w:spacing w:after="0"/>
        <w:rPr>
          <w:sz w:val="20"/>
          <w:szCs w:val="20"/>
          <w:color w:val="auto"/>
        </w:rPr>
      </w:pPr>
      <w:r>
        <w:rPr>
          <w:rFonts w:ascii="Arial" w:cs="Arial" w:eastAsia="Arial" w:hAnsi="Arial"/>
          <w:sz w:val="16"/>
          <w:szCs w:val="16"/>
          <w:color w:val="808080"/>
        </w:rPr>
        <w:t>ADDITIONAL INFORMATION</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Stockholder Nominations and Stockholder Proposals for Presentation at AbbVie’s 2025 Annual Meeting</w:t>
      </w:r>
    </w:p>
    <w:p>
      <w:pPr>
        <w:spacing w:after="0" w:line="190" w:lineRule="exact"/>
        <w:rPr>
          <w:sz w:val="20"/>
          <w:szCs w:val="20"/>
          <w:color w:val="auto"/>
        </w:rPr>
      </w:pPr>
    </w:p>
    <w:p>
      <w:pPr>
        <w:ind w:left="20"/>
        <w:spacing w:after="0" w:line="233" w:lineRule="auto"/>
        <w:rPr>
          <w:sz w:val="20"/>
          <w:szCs w:val="20"/>
          <w:color w:val="auto"/>
        </w:rPr>
      </w:pPr>
      <w:r>
        <w:rPr>
          <w:rFonts w:ascii="Arial" w:cs="Arial" w:eastAsia="Arial" w:hAnsi="Arial"/>
          <w:sz w:val="17"/>
          <w:szCs w:val="17"/>
          <w:color w:val="auto"/>
        </w:rPr>
        <w:t>Stockholders who wish to nominate one or more individuals to serve as directors or to bring a proposal of business before the 2025 Annual Meeting (other than nominations pursuant to the “proxy access” provisions of our By-Laws or a stockholder proposal in accordance with Rule 14a-8), must be a stockholder of record and must notify AbbVie and provide the information required by Sections 2.8 and 2.9, if applicable, of our By-Laws. The notice must be delivered to AbbVie no earlier than the close of business on January 3, 2025 and no later than the close of business on January 31, 2025. However, if the date of our 2025 Annual Meeting is more than 30 days before or more than 60 days after the first anniversary of the date of the 2024 Annual Meeting, then such notice must be delivered to AbbVie no earlier than the close of business on the 120th calendar day prior to the date of the 2025 Annual Meeting and not later than the close of business on the later of the 90th calendar day prior to the date of the 2025 Annual Meeting or, if the first public announcement of the date of such annual meeting is less than 100 days prior to the date of the 2025 Annual Meeting, the 10th day following the day on which we first publicly announce the date of such meeting. Any such notice must also comply with the timing, disclosure, procedural and other requirements as set forth in our By-Laws.</w:t>
      </w:r>
    </w:p>
    <w:p>
      <w:pPr>
        <w:spacing w:after="0" w:line="175" w:lineRule="exact"/>
        <w:rPr>
          <w:sz w:val="20"/>
          <w:szCs w:val="20"/>
          <w:color w:val="auto"/>
        </w:rPr>
      </w:pPr>
    </w:p>
    <w:p>
      <w:pPr>
        <w:ind w:left="20" w:right="20"/>
        <w:spacing w:after="0" w:line="236" w:lineRule="auto"/>
        <w:rPr>
          <w:sz w:val="20"/>
          <w:szCs w:val="20"/>
          <w:color w:val="auto"/>
        </w:rPr>
      </w:pPr>
      <w:r>
        <w:rPr>
          <w:rFonts w:ascii="Arial" w:cs="Arial" w:eastAsia="Arial" w:hAnsi="Arial"/>
          <w:sz w:val="17"/>
          <w:szCs w:val="17"/>
          <w:color w:val="auto"/>
        </w:rPr>
        <w:t>In addition to satisfying the requirements under the By-Laws described in the immediately preceding paragraph, to comply with the universal proxy rules under the Exchange Act, any stockholder who intends to solicit proxies in support of director nominees other than the Board’s nominees must provide notice that sets forth the information required by Rule 14a-19 under the Exchange Act no later than March 4, 2025. However, if the date of the 2025 Annual Meeting is more than 30 days before or after the anniversary of the date of the 2024 Annual Meeting, then such notice must be delivered by the later of (x) the 10th day following the day we first publicly announce the date of the 2025 Annual Meeting and (y) the date which is 60 days prior to the date of the 2025 Annual Meeting.</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Householding of Proxy Materials</w:t>
      </w:r>
    </w:p>
    <w:p>
      <w:pPr>
        <w:spacing w:after="0" w:line="192" w:lineRule="exact"/>
        <w:rPr>
          <w:sz w:val="20"/>
          <w:szCs w:val="20"/>
          <w:color w:val="auto"/>
        </w:rPr>
      </w:pPr>
    </w:p>
    <w:p>
      <w:pPr>
        <w:ind w:left="20" w:right="180"/>
        <w:spacing w:after="0" w:line="238" w:lineRule="auto"/>
        <w:rPr>
          <w:sz w:val="20"/>
          <w:szCs w:val="20"/>
          <w:color w:val="auto"/>
        </w:rPr>
      </w:pPr>
      <w:r>
        <w:rPr>
          <w:rFonts w:ascii="Arial" w:cs="Arial" w:eastAsia="Arial" w:hAnsi="Arial"/>
          <w:sz w:val="17"/>
          <w:szCs w:val="17"/>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169" w:lineRule="exact"/>
        <w:rPr>
          <w:sz w:val="20"/>
          <w:szCs w:val="20"/>
          <w:color w:val="auto"/>
        </w:rPr>
      </w:pPr>
    </w:p>
    <w:p>
      <w:pPr>
        <w:ind w:left="20" w:right="40"/>
        <w:spacing w:after="0" w:line="234" w:lineRule="auto"/>
        <w:rPr>
          <w:sz w:val="20"/>
          <w:szCs w:val="20"/>
          <w:color w:val="auto"/>
        </w:rPr>
      </w:pPr>
      <w:r>
        <w:rPr>
          <w:rFonts w:ascii="Arial" w:cs="Arial" w:eastAsia="Arial" w:hAnsi="Arial"/>
          <w:sz w:val="17"/>
          <w:szCs w:val="17"/>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 address, “householding” will continue until you are notified otherwise or until you revoke your consent. If, at any time, you no longer wish to participate in “householding” and you prefer to receive a separate proxy statement, please notify your broker, or 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Annual Report on Form 10-K</w:t>
      </w:r>
    </w:p>
    <w:p>
      <w:pPr>
        <w:spacing w:after="0" w:line="192" w:lineRule="exact"/>
        <w:rPr>
          <w:sz w:val="20"/>
          <w:szCs w:val="20"/>
          <w:color w:val="auto"/>
        </w:rPr>
      </w:pPr>
    </w:p>
    <w:p>
      <w:pPr>
        <w:ind w:left="20" w:right="1200"/>
        <w:spacing w:after="0" w:line="255" w:lineRule="auto"/>
        <w:rPr>
          <w:sz w:val="20"/>
          <w:szCs w:val="20"/>
          <w:color w:val="auto"/>
        </w:rPr>
      </w:pPr>
      <w:r>
        <w:rPr>
          <w:rFonts w:ascii="Arial" w:cs="Arial" w:eastAsia="Arial" w:hAnsi="Arial"/>
          <w:sz w:val="16"/>
          <w:szCs w:val="16"/>
          <w:color w:val="auto"/>
        </w:rPr>
        <w:t>AbbVie filed its Annual Report on Form 10-K for the fiscal year ended December 31, 2023 with the SEC on February 20, 2024. The Annual Report on Form 10-K, including all exhibits, is also available free of charge on</w:t>
      </w:r>
    </w:p>
    <w:p>
      <w:pPr>
        <w:ind w:left="20" w:right="60"/>
        <w:spacing w:after="0" w:line="234" w:lineRule="auto"/>
        <w:rPr>
          <w:sz w:val="20"/>
          <w:szCs w:val="20"/>
          <w:color w:val="auto"/>
        </w:rPr>
      </w:pPr>
      <w:r>
        <w:rPr>
          <w:rFonts w:ascii="Arial" w:cs="Arial" w:eastAsia="Arial" w:hAnsi="Arial"/>
          <w:sz w:val="17"/>
          <w:szCs w:val="17"/>
          <w:color w:val="auto"/>
        </w:rPr>
        <w:t>AbbVie’s investor relations website (</w:t>
      </w:r>
      <w:r>
        <w:rPr>
          <w:rFonts w:ascii="Arial" w:cs="Arial" w:eastAsia="Arial" w:hAnsi="Arial"/>
          <w:sz w:val="17"/>
          <w:szCs w:val="17"/>
          <w:i w:val="1"/>
          <w:iCs w:val="1"/>
          <w:color w:val="auto"/>
        </w:rPr>
        <w:t>www.abbvieinvestor.com</w:t>
      </w:r>
      <w:r>
        <w:rPr>
          <w:rFonts w:ascii="Arial" w:cs="Arial" w:eastAsia="Arial" w:hAnsi="Arial"/>
          <w:sz w:val="17"/>
          <w:szCs w:val="17"/>
          <w:color w:val="auto"/>
        </w:rPr>
        <w:t>). Paper copies of the Annual Report on Form 10-K, including the financial statements and schedules, may be obtained free of charge from AbbVie. Paper copies of exhibits to the Annual Report on Form 10-K are available, but a reasonable fee per page will be charged to the requesting stockholder. Stockholders may make requests in writing to us at Investor Relations, AbbVie Inc., 1 North Waukegan Road, North Chicago, Illinois 60064.</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808080"/>
        </w:rPr>
        <w:t>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19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Some statements in this proxy statement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2023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92"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14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Annual Meeting will be held on Friday, May 3, 2024 at 9:00 a.m. CT. This year’s Annual Meeting will be a virtual meeting of stockholders. It is important to us that our stockholders be able to engage with the company and its executives during the annual meeting. AbbVie held virtual stockholder meetings in recent years and generally received positive feedback from investors. We found that more stockholders were able to attend and our executive leadership team was able to answer more stockholder questions than in prior years, when the company held in-person meetings. A virtual meeting allows more stockholders to attend the meeting equally and without cost, from anywhere around the globe. At the 2024 virtual meeting, stockholders will be able to attend the Annual Meeting, vote, and submit questions via live webcast by visiting www.virtualshareholdermeeting.com/ABBV2024. Consistent with prior practice at our in-person meetings, we will address as many stockholder-submitted question topics as time permits. If we do not have time to address a specific question, a member of our governance team will follow-up with the stockholder(s) after the meeting. The virtual meeting website can be accessed on a computer, tablet, or phone with internet connection. For stockholders without access to the internet, you may listen to the Annual Meeting by telephone at 1-877-328-2502 (USA) or 1-412-317-5419 (International). AbbVie will make any required list of stockholders available during the meeting. Closed captioning will be available on the meeting platform.</w:t>
      </w:r>
    </w:p>
    <w:p>
      <w:pPr>
        <w:spacing w:after="0" w:line="168"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On the day of the Annual Meeting, stockholders may begin to log in to the online virtual annual meeting platform beginning at 8:45 a.m. Central Time, and the meeting will begin promptly at 9:00 a.m. Central Time. Please allow ample time for online login. If you encounter any difficulties accessing the virtual meeting or during the meeting time, please call 1-844-986-0822 (USA) or 1-303-562-9302 (International) for technical support.</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 be admitted to the Annual Meeting at www.virtualshareholdermeeting.com/ABBV2024, you must enter the control number found on your proxy card, voting instruction form or notice you received. You may vote during the Annual Meeting by following the instructions available on the meeting website during the meeting.</w:t>
      </w:r>
    </w:p>
    <w:p>
      <w:pPr>
        <w:spacing w:after="0" w:line="17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By order of the board of directors.</w:t>
      </w:r>
    </w:p>
    <w:p>
      <w:pPr>
        <w:ind w:left="4620"/>
        <w:spacing w:after="0"/>
        <w:rPr>
          <w:sz w:val="20"/>
          <w:szCs w:val="20"/>
          <w:color w:val="auto"/>
        </w:rPr>
      </w:pPr>
      <w:r>
        <w:rPr>
          <w:rFonts w:ascii="Arial" w:cs="Arial" w:eastAsia="Arial" w:hAnsi="Arial"/>
          <w:sz w:val="17"/>
          <w:szCs w:val="17"/>
          <w:color w:val="auto"/>
        </w:rPr>
        <w:t>PERRY C. SIATIS</w:t>
      </w:r>
    </w:p>
    <w:p>
      <w:pPr>
        <w:ind w:left="4620"/>
        <w:spacing w:after="0"/>
        <w:rPr>
          <w:sz w:val="20"/>
          <w:szCs w:val="20"/>
          <w:color w:val="auto"/>
        </w:rPr>
      </w:pPr>
      <w:r>
        <w:rPr>
          <w:rFonts w:ascii="Arial" w:cs="Arial" w:eastAsia="Arial" w:hAnsi="Arial"/>
          <w:sz w:val="17"/>
          <w:szCs w:val="17"/>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343" w:val="left"/>
          <w:tab w:leader="none" w:pos="2140" w:val="left"/>
        </w:tabs>
        <w:rPr>
          <w:sz w:val="20"/>
          <w:szCs w:val="20"/>
          <w:color w:val="auto"/>
        </w:rPr>
      </w:pPr>
      <w:r>
        <w:rPr>
          <w:rFonts w:ascii="Arial" w:cs="Arial" w:eastAsia="Arial" w:hAnsi="Arial"/>
          <w:sz w:val="17"/>
          <w:szCs w:val="17"/>
          <w:color w:val="auto"/>
        </w:rPr>
        <w:t>92</w:t>
      </w:r>
      <w:r>
        <w:rPr>
          <w:sz w:val="20"/>
          <w:szCs w:val="20"/>
          <w:color w:val="auto"/>
        </w:rPr>
        <w:tab/>
      </w:r>
      <w:r>
        <w:rPr>
          <w:sz w:val="1"/>
          <w:szCs w:val="1"/>
          <w:color w:val="auto"/>
        </w:rPr>
        <w:drawing>
          <wp:inline distT="0" distB="0" distL="0" distR="0">
            <wp:extent cx="810260" cy="15113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5887085" cy="158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40"/>
          </w:cols>
          <w:pgMar w:left="1320" w:top="485" w:right="1339" w:bottom="1440" w:gutter="0" w:footer="0" w:header="0"/>
        </w:sectPr>
      </w:pPr>
    </w:p>
    <w:bookmarkStart w:id="95" w:name="page96"/>
    <w:bookmarkEnd w:id="95"/>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33"/>
          <w:szCs w:val="33"/>
          <w:color w:val="071D49"/>
        </w:rPr>
        <w:t>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887085" cy="158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Who Can Vote</w:t>
      </w:r>
    </w:p>
    <w:p>
      <w:pPr>
        <w:spacing w:after="0" w:line="192" w:lineRule="exact"/>
        <w:rPr>
          <w:sz w:val="20"/>
          <w:szCs w:val="20"/>
          <w:color w:val="auto"/>
        </w:rPr>
      </w:pPr>
    </w:p>
    <w:p>
      <w:pPr>
        <w:ind w:left="20" w:right="280"/>
        <w:spacing w:after="0"/>
        <w:rPr>
          <w:sz w:val="20"/>
          <w:szCs w:val="20"/>
          <w:color w:val="auto"/>
        </w:rPr>
      </w:pPr>
      <w:r>
        <w:rPr>
          <w:rFonts w:ascii="Arial" w:cs="Arial" w:eastAsia="Arial" w:hAnsi="Arial"/>
          <w:sz w:val="17"/>
          <w:szCs w:val="17"/>
          <w:color w:val="auto"/>
        </w:rPr>
        <w:t>Stockholders of record at the close of business on March 4, 2024 will be entitled to notice of and to vote during the Annual Meeting. As of March 4, 2024, AbbVie had 1,770,646,983 outstanding shares of common stock, which are AbbVie’s only outstanding voting securities. Each stockholder has one vote per share. Stockholders do not have the right to vote cumulatively in electing directors.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Notice and Access</w:t>
      </w:r>
    </w:p>
    <w:p>
      <w:pPr>
        <w:spacing w:after="0" w:line="192" w:lineRule="exact"/>
        <w:rPr>
          <w:sz w:val="20"/>
          <w:szCs w:val="20"/>
          <w:color w:val="auto"/>
        </w:rPr>
      </w:pPr>
    </w:p>
    <w:p>
      <w:pPr>
        <w:ind w:left="20" w:right="40"/>
        <w:spacing w:after="0" w:line="237" w:lineRule="auto"/>
        <w:rPr>
          <w:sz w:val="20"/>
          <w:szCs w:val="20"/>
          <w:color w:val="auto"/>
        </w:rPr>
      </w:pPr>
      <w:r>
        <w:rPr>
          <w:rFonts w:ascii="Arial" w:cs="Arial" w:eastAsia="Arial" w:hAnsi="Arial"/>
          <w:sz w:val="17"/>
          <w:szCs w:val="17"/>
          <w:color w:val="auto"/>
        </w:rPr>
        <w:t>In accordance with the Securities and Exchange Commission (SEC) e-proxy rules, AbbVie mailed a Notice of Internet Availability of Proxy Materials (the “Notice”) to stockholders on or around March 18, 2024.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Voting by Proxy</w:t>
      </w:r>
    </w:p>
    <w:p>
      <w:pPr>
        <w:spacing w:after="0" w:line="192" w:lineRule="exact"/>
        <w:rPr>
          <w:sz w:val="20"/>
          <w:szCs w:val="20"/>
          <w:color w:val="auto"/>
        </w:rPr>
      </w:pPr>
    </w:p>
    <w:p>
      <w:pPr>
        <w:ind w:left="20" w:right="220"/>
        <w:spacing w:after="0"/>
        <w:rPr>
          <w:sz w:val="20"/>
          <w:szCs w:val="20"/>
          <w:color w:val="auto"/>
        </w:rPr>
      </w:pPr>
      <w:r>
        <w:rPr>
          <w:rFonts w:ascii="Arial" w:cs="Arial" w:eastAsia="Arial" w:hAnsi="Arial"/>
          <w:sz w:val="17"/>
          <w:szCs w:val="17"/>
          <w:color w:val="auto"/>
        </w:rPr>
        <w:t>AbbVie’s stockholders may vote their shares by telephone, the Internet, or during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Revoking a Proxy</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You may revoke your proxy by voting during the Annual Meeting or, at any time prior to the meeting:</w:t>
      </w:r>
    </w:p>
    <w:p>
      <w:pPr>
        <w:spacing w:after="0" w:line="155" w:lineRule="exact"/>
        <w:rPr>
          <w:sz w:val="20"/>
          <w:szCs w:val="20"/>
          <w:color w:val="auto"/>
        </w:rPr>
      </w:pPr>
    </w:p>
    <w:p>
      <w:pPr>
        <w:ind w:left="320" w:hanging="308"/>
        <w:spacing w:after="0"/>
        <w:tabs>
          <w:tab w:leader="none" w:pos="320" w:val="left"/>
        </w:tabs>
        <w:numPr>
          <w:ilvl w:val="0"/>
          <w:numId w:val="119"/>
        </w:numPr>
        <w:rPr>
          <w:rFonts w:ascii="Times New Roman" w:cs="Times New Roman" w:eastAsia="Times New Roman" w:hAnsi="Times New Roman"/>
          <w:sz w:val="17"/>
          <w:szCs w:val="17"/>
          <w:color w:val="071D49"/>
        </w:rPr>
      </w:pPr>
      <w:r>
        <w:rPr>
          <w:rFonts w:ascii="Arial" w:cs="Arial" w:eastAsia="Arial" w:hAnsi="Arial"/>
          <w:sz w:val="17"/>
          <w:szCs w:val="17"/>
          <w:color w:val="auto"/>
        </w:rPr>
        <w:t>by delivering a written notice to the secretary of AbbVie,</w:t>
      </w:r>
    </w:p>
    <w:p>
      <w:pPr>
        <w:spacing w:after="0" w:line="19"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9"/>
        </w:numPr>
        <w:rPr>
          <w:rFonts w:ascii="Times New Roman" w:cs="Times New Roman" w:eastAsia="Times New Roman" w:hAnsi="Times New Roman"/>
          <w:sz w:val="17"/>
          <w:szCs w:val="17"/>
          <w:color w:val="071D49"/>
        </w:rPr>
      </w:pPr>
      <w:r>
        <w:rPr>
          <w:rFonts w:ascii="Arial" w:cs="Arial" w:eastAsia="Arial" w:hAnsi="Arial"/>
          <w:sz w:val="17"/>
          <w:szCs w:val="17"/>
          <w:color w:val="auto"/>
        </w:rPr>
        <w:t>by delivering an authorized proxy with a later date, or</w:t>
      </w:r>
    </w:p>
    <w:p>
      <w:pPr>
        <w:spacing w:after="0" w:line="3" w:lineRule="exact"/>
        <w:rPr>
          <w:rFonts w:ascii="Times New Roman" w:cs="Times New Roman" w:eastAsia="Times New Roman" w:hAnsi="Times New Roman"/>
          <w:sz w:val="17"/>
          <w:szCs w:val="17"/>
          <w:color w:val="071D49"/>
        </w:rPr>
      </w:pPr>
    </w:p>
    <w:p>
      <w:pPr>
        <w:ind w:left="320" w:hanging="308"/>
        <w:spacing w:after="0"/>
        <w:tabs>
          <w:tab w:leader="none" w:pos="320" w:val="left"/>
        </w:tabs>
        <w:numPr>
          <w:ilvl w:val="0"/>
          <w:numId w:val="119"/>
        </w:numPr>
        <w:rPr>
          <w:rFonts w:ascii="Times New Roman" w:cs="Times New Roman" w:eastAsia="Times New Roman" w:hAnsi="Times New Roman"/>
          <w:sz w:val="17"/>
          <w:szCs w:val="17"/>
          <w:color w:val="071D49"/>
        </w:rPr>
      </w:pPr>
      <w:r>
        <w:rPr>
          <w:rFonts w:ascii="Arial" w:cs="Arial" w:eastAsia="Arial" w:hAnsi="Arial"/>
          <w:sz w:val="17"/>
          <w:szCs w:val="17"/>
          <w:color w:val="auto"/>
        </w:rPr>
        <w:t>by voting by telephone or the Internet after you have given your proxy.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Discretionary Voting Authority</w:t>
      </w:r>
    </w:p>
    <w:p>
      <w:pPr>
        <w:spacing w:after="0" w:line="192" w:lineRule="exact"/>
        <w:rPr>
          <w:sz w:val="20"/>
          <w:szCs w:val="20"/>
          <w:color w:val="auto"/>
        </w:rPr>
      </w:pPr>
    </w:p>
    <w:p>
      <w:pPr>
        <w:ind w:left="20" w:right="340"/>
        <w:spacing w:after="0" w:line="260" w:lineRule="auto"/>
        <w:rPr>
          <w:sz w:val="20"/>
          <w:szCs w:val="20"/>
          <w:color w:val="auto"/>
        </w:rPr>
      </w:pPr>
      <w:r>
        <w:rPr>
          <w:rFonts w:ascii="Arial" w:cs="Arial" w:eastAsia="Arial" w:hAnsi="Arial"/>
          <w:sz w:val="16"/>
          <w:szCs w:val="16"/>
          <w:color w:val="auto"/>
        </w:rPr>
        <w:t>Unless otherwise specified in accordance with the instructions on the proxy, the persons named in the proxy will vote the shares of AbbVie common stock covered by proxies they receive to elect the five nominees named in Item 1 on the proxy card. If a nominee becomes unavailable to serve, the shares will be voted for a substitute designated by the board of directors or for fewer than five nominees if, in the judgment of the proxy holders, such action is necessary or desirable.</w:t>
      </w:r>
    </w:p>
    <w:p>
      <w:pPr>
        <w:spacing w:after="0" w:line="154" w:lineRule="exact"/>
        <w:rPr>
          <w:sz w:val="20"/>
          <w:szCs w:val="20"/>
          <w:color w:val="auto"/>
        </w:rPr>
      </w:pPr>
    </w:p>
    <w:p>
      <w:pPr>
        <w:ind w:left="20" w:right="100"/>
        <w:spacing w:after="0" w:line="237" w:lineRule="auto"/>
        <w:rPr>
          <w:sz w:val="20"/>
          <w:szCs w:val="20"/>
          <w:color w:val="auto"/>
        </w:rPr>
      </w:pPr>
      <w:r>
        <w:rPr>
          <w:rFonts w:ascii="Arial" w:cs="Arial" w:eastAsia="Arial" w:hAnsi="Arial"/>
          <w:sz w:val="17"/>
          <w:szCs w:val="17"/>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ONE YEAR for the frequency of future approvals of executive compensation, FOR the management proposal to eliminate supermajority voting, and AGAINST each of the stockholder proposals.</w:t>
      </w:r>
    </w:p>
    <w:p>
      <w:pPr>
        <w:spacing w:after="0" w:line="168" w:lineRule="exact"/>
        <w:rPr>
          <w:sz w:val="20"/>
          <w:szCs w:val="20"/>
          <w:color w:val="auto"/>
        </w:rPr>
      </w:pPr>
    </w:p>
    <w:p>
      <w:pPr>
        <w:ind w:left="20" w:right="220"/>
        <w:spacing w:after="0" w:line="246" w:lineRule="auto"/>
        <w:rPr>
          <w:sz w:val="20"/>
          <w:szCs w:val="20"/>
          <w:color w:val="auto"/>
        </w:rPr>
      </w:pPr>
      <w:r>
        <w:rPr>
          <w:rFonts w:ascii="Arial" w:cs="Arial" w:eastAsia="Arial" w:hAnsi="Arial"/>
          <w:sz w:val="17"/>
          <w:szCs w:val="17"/>
          <w:color w:val="auto"/>
        </w:rPr>
        <w:t>The board of directors is not aware of any other issue that may properly be brought before the meeting. If other matters are properly brought before the meeting, the accompanying proxy will be voted in accordance with the judgment of the proxy holders.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488"/>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-499745</wp:posOffset>
            </wp:positionV>
            <wp:extent cx="810260" cy="151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96" w:name="page97"/>
    <w:bookmarkEnd w:id="96"/>
    <w:p>
      <w:pPr>
        <w:ind w:left="8"/>
        <w:spacing w:after="0"/>
        <w:rPr>
          <w:sz w:val="20"/>
          <w:szCs w:val="20"/>
          <w:color w:val="auto"/>
        </w:rPr>
      </w:pPr>
      <w:r>
        <w:rPr>
          <w:rFonts w:ascii="Arial" w:cs="Arial" w:eastAsia="Arial" w:hAnsi="Arial"/>
          <w:sz w:val="17"/>
          <w:szCs w:val="17"/>
          <w:u w:val="single" w:color="auto"/>
          <w:color w:val="0000EE"/>
        </w:rPr>
        <w:t>Table of Contents</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7"/>
          <w:szCs w:val="17"/>
          <w:color w:val="808080"/>
        </w:rPr>
        <w:t>INFORMATION ABOUT THE ANNUAL MEETING</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Quorum</w:t>
      </w:r>
    </w:p>
    <w:p>
      <w:pPr>
        <w:spacing w:after="0" w:line="155" w:lineRule="exact"/>
        <w:rPr>
          <w:sz w:val="20"/>
          <w:szCs w:val="20"/>
          <w:color w:val="auto"/>
        </w:rPr>
      </w:pPr>
    </w:p>
    <w:p>
      <w:pPr>
        <w:ind w:left="8" w:right="80"/>
        <w:spacing w:after="0" w:line="246" w:lineRule="auto"/>
        <w:rPr>
          <w:sz w:val="20"/>
          <w:szCs w:val="20"/>
          <w:color w:val="auto"/>
        </w:rPr>
      </w:pPr>
      <w:r>
        <w:rPr>
          <w:rFonts w:ascii="Arial" w:cs="Arial" w:eastAsia="Arial" w:hAnsi="Arial"/>
          <w:sz w:val="17"/>
          <w:szCs w:val="17"/>
          <w:color w:val="auto"/>
        </w:rPr>
        <w:t>The presence of the holders of a majority of the outstanding shares entitled to vote generally in the election of directors constitutes a quorum, which is required to hold and conduct business at the Annual Meeting. Shares are counted as present at the Annual Meeting if:</w:t>
      </w:r>
    </w:p>
    <w:p>
      <w:pPr>
        <w:spacing w:after="0" w:line="125" w:lineRule="exact"/>
        <w:rPr>
          <w:sz w:val="20"/>
          <w:szCs w:val="20"/>
          <w:color w:val="auto"/>
        </w:rPr>
      </w:pPr>
    </w:p>
    <w:p>
      <w:pPr>
        <w:ind w:left="308" w:hanging="308"/>
        <w:spacing w:after="0"/>
        <w:tabs>
          <w:tab w:leader="none" w:pos="308" w:val="left"/>
        </w:tabs>
        <w:numPr>
          <w:ilvl w:val="0"/>
          <w:numId w:val="120"/>
        </w:numPr>
        <w:rPr>
          <w:rFonts w:ascii="Times New Roman" w:cs="Times New Roman" w:eastAsia="Times New Roman" w:hAnsi="Times New Roman"/>
          <w:sz w:val="17"/>
          <w:szCs w:val="17"/>
          <w:color w:val="auto"/>
        </w:rPr>
      </w:pPr>
      <w:r>
        <w:rPr>
          <w:rFonts w:ascii="Arial" w:cs="Arial" w:eastAsia="Arial" w:hAnsi="Arial"/>
          <w:sz w:val="17"/>
          <w:szCs w:val="17"/>
          <w:color w:val="auto"/>
        </w:rPr>
        <w:t>You are represented in person at the Annual Meeting; or</w:t>
      </w:r>
    </w:p>
    <w:p>
      <w:pPr>
        <w:spacing w:after="0" w:line="204" w:lineRule="exact"/>
        <w:rPr>
          <w:rFonts w:ascii="Times New Roman" w:cs="Times New Roman" w:eastAsia="Times New Roman" w:hAnsi="Times New Roman"/>
          <w:sz w:val="17"/>
          <w:szCs w:val="17"/>
          <w:color w:val="auto"/>
        </w:rPr>
      </w:pPr>
    </w:p>
    <w:p>
      <w:pPr>
        <w:ind w:left="308" w:right="100" w:hanging="308"/>
        <w:spacing w:after="0" w:line="260" w:lineRule="auto"/>
        <w:tabs>
          <w:tab w:leader="none" w:pos="308" w:val="left"/>
        </w:tabs>
        <w:numPr>
          <w:ilvl w:val="0"/>
          <w:numId w:val="120"/>
        </w:numPr>
        <w:rPr>
          <w:rFonts w:ascii="Times New Roman" w:cs="Times New Roman" w:eastAsia="Times New Roman" w:hAnsi="Times New Roman"/>
          <w:sz w:val="17"/>
          <w:szCs w:val="17"/>
          <w:color w:val="auto"/>
        </w:rPr>
      </w:pPr>
      <w:r>
        <w:rPr>
          <w:rFonts w:ascii="Arial" w:cs="Arial" w:eastAsia="Arial" w:hAnsi="Arial"/>
          <w:sz w:val="17"/>
          <w:szCs w:val="17"/>
          <w:color w:val="auto"/>
        </w:rPr>
        <w:t>Your shares are represented by a properly authorized and submitted proxy (submitted by mail, by telephone, or over the internet)</w:t>
      </w:r>
    </w:p>
    <w:p>
      <w:pPr>
        <w:spacing w:after="0" w:line="151" w:lineRule="exact"/>
        <w:rPr>
          <w:sz w:val="20"/>
          <w:szCs w:val="20"/>
          <w:color w:val="auto"/>
        </w:rPr>
      </w:pPr>
    </w:p>
    <w:p>
      <w:pPr>
        <w:ind w:left="8" w:right="20"/>
        <w:spacing w:after="0" w:line="246" w:lineRule="auto"/>
        <w:rPr>
          <w:sz w:val="20"/>
          <w:szCs w:val="20"/>
          <w:color w:val="auto"/>
        </w:rPr>
      </w:pPr>
      <w:r>
        <w:rPr>
          <w:rFonts w:ascii="Arial" w:cs="Arial" w:eastAsia="Arial" w:hAnsi="Arial"/>
          <w:sz w:val="17"/>
          <w:szCs w:val="17"/>
          <w:color w:val="auto"/>
        </w:rPr>
        <w:t>Abstentions and broker non-votes will count towards shares present at the Annual Meeting for the purpose of determining a quorum. In the absence of a quorum, the Annual Meeting may be adjourned, from time to time, by the Chairman of the Board of Directors or the President, but no other business shall be transacted at such meeting.</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Votes Required for Each Item</w:t>
      </w:r>
    </w:p>
    <w:p>
      <w:pPr>
        <w:spacing w:after="0" w:line="155" w:lineRule="exact"/>
        <w:rPr>
          <w:sz w:val="20"/>
          <w:szCs w:val="20"/>
          <w:color w:val="auto"/>
        </w:rPr>
      </w:pPr>
    </w:p>
    <w:p>
      <w:pPr>
        <w:ind w:left="8" w:right="160" w:hanging="8"/>
        <w:spacing w:after="0" w:line="238" w:lineRule="auto"/>
        <w:tabs>
          <w:tab w:leader="none" w:pos="193" w:val="left"/>
        </w:tabs>
        <w:numPr>
          <w:ilvl w:val="0"/>
          <w:numId w:val="12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In uncontested elections such as this one, the affirmative vote of a majority of the votes cast is required to elect each director. This means that the number of votes cast “FOR” a director’s election exceeds 50% of the number of votes cast with respect to that director’s election. Abstentions and broker non-votes will not be counted as a vote cast either “FOR” or “AGAINST” with respect to the director or directors indicated and therefore will have no effect on this proposal. Brokers do not have discretionary authority to vote on this proposal.</w:t>
      </w:r>
    </w:p>
    <w:p>
      <w:pPr>
        <w:spacing w:after="0" w:line="131" w:lineRule="exact"/>
        <w:rPr>
          <w:rFonts w:ascii="Arial" w:cs="Arial" w:eastAsia="Arial" w:hAnsi="Arial"/>
          <w:sz w:val="17"/>
          <w:szCs w:val="17"/>
          <w:u w:val="single" w:color="auto"/>
          <w:color w:val="auto"/>
        </w:rPr>
      </w:pPr>
    </w:p>
    <w:p>
      <w:pPr>
        <w:ind w:left="8" w:right="120" w:hanging="8"/>
        <w:spacing w:after="0" w:line="238" w:lineRule="auto"/>
        <w:tabs>
          <w:tab w:leader="none" w:pos="193" w:val="left"/>
        </w:tabs>
        <w:numPr>
          <w:ilvl w:val="0"/>
          <w:numId w:val="12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Ratification of Independent Auditor</w:t>
      </w:r>
      <w:r>
        <w:rPr>
          <w:rFonts w:ascii="Arial" w:cs="Arial" w:eastAsia="Arial" w:hAnsi="Arial"/>
          <w:sz w:val="17"/>
          <w:szCs w:val="17"/>
          <w:color w:val="auto"/>
        </w:rPr>
        <w:t>: The affirmative vote of a majority of shares present in person or by proxy and entitled to vote on the matter is required for the ratification of the appointment of Ernst &amp; Young LLP as AbbVie’s independent registered public accounting firm. Abstentions will be counted as votes “AGAINST” this proposal. A broker or other nominee may generally vote on routine matters such as this one, and therefore no broker non-votes are expected to exist in connection with this proposal.</w:t>
      </w:r>
    </w:p>
    <w:p>
      <w:pPr>
        <w:spacing w:after="0" w:line="144" w:lineRule="exact"/>
        <w:rPr>
          <w:rFonts w:ascii="Arial" w:cs="Arial" w:eastAsia="Arial" w:hAnsi="Arial"/>
          <w:sz w:val="17"/>
          <w:szCs w:val="17"/>
          <w:u w:val="single" w:color="auto"/>
          <w:color w:val="auto"/>
        </w:rPr>
      </w:pPr>
    </w:p>
    <w:p>
      <w:pPr>
        <w:jc w:val="both"/>
        <w:ind w:left="8" w:right="180" w:hanging="8"/>
        <w:spacing w:after="0" w:line="251" w:lineRule="auto"/>
        <w:tabs>
          <w:tab w:leader="none" w:pos="193" w:val="left"/>
        </w:tabs>
        <w:numPr>
          <w:ilvl w:val="0"/>
          <w:numId w:val="12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Say on Pay: Advisory Vote on Executive Compensation</w:t>
      </w:r>
      <w:r>
        <w:rPr>
          <w:rFonts w:ascii="Arial" w:cs="Arial" w:eastAsia="Arial" w:hAnsi="Arial"/>
          <w:sz w:val="16"/>
          <w:szCs w:val="16"/>
          <w:color w:val="auto"/>
        </w:rPr>
        <w:t>: The affirmative vote of a majority of shares present in person or by proxy and entitled to vote on the matter is required for the approval of the advisory vote to approve the compensation of AbbVie’s named executive officers. Because your vote is advisory, it will not be binding upon AbbVie’s Board of Directors.</w:t>
      </w:r>
    </w:p>
    <w:p>
      <w:pPr>
        <w:spacing w:after="0" w:line="1" w:lineRule="exact"/>
        <w:rPr>
          <w:rFonts w:ascii="Arial" w:cs="Arial" w:eastAsia="Arial" w:hAnsi="Arial"/>
          <w:sz w:val="16"/>
          <w:szCs w:val="16"/>
          <w:u w:val="single" w:color="auto"/>
          <w:color w:val="auto"/>
        </w:rPr>
      </w:pPr>
    </w:p>
    <w:p>
      <w:pPr>
        <w:ind w:left="8" w:right="400"/>
        <w:spacing w:after="0" w:line="242" w:lineRule="auto"/>
        <w:rPr>
          <w:rFonts w:ascii="Arial" w:cs="Arial" w:eastAsia="Arial" w:hAnsi="Arial"/>
          <w:sz w:val="16"/>
          <w:szCs w:val="16"/>
          <w:u w:val="single" w:color="auto"/>
          <w:color w:val="auto"/>
        </w:rPr>
      </w:pPr>
      <w:r>
        <w:rPr>
          <w:rFonts w:ascii="Arial" w:cs="Arial" w:eastAsia="Arial" w:hAnsi="Arial"/>
          <w:sz w:val="17"/>
          <w:szCs w:val="17"/>
          <w:color w:val="auto"/>
        </w:rPr>
        <w:t>Abstentions will be counted as votes “AGAINST” this proposal and broker non-votes will have no effect on this proposal. Brokers do not have discretionary authority to vote on this proposal.</w:t>
      </w:r>
    </w:p>
    <w:p>
      <w:pPr>
        <w:spacing w:after="0" w:line="127" w:lineRule="exact"/>
        <w:rPr>
          <w:rFonts w:ascii="Arial" w:cs="Arial" w:eastAsia="Arial" w:hAnsi="Arial"/>
          <w:sz w:val="16"/>
          <w:szCs w:val="16"/>
          <w:u w:val="single" w:color="auto"/>
          <w:color w:val="auto"/>
        </w:rPr>
      </w:pPr>
    </w:p>
    <w:p>
      <w:pPr>
        <w:ind w:left="8" w:hanging="8"/>
        <w:spacing w:after="0" w:line="237" w:lineRule="auto"/>
        <w:tabs>
          <w:tab w:leader="none" w:pos="193" w:val="left"/>
        </w:tabs>
        <w:numPr>
          <w:ilvl w:val="0"/>
          <w:numId w:val="12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Say When on Pay: Advisory Vote on the Frequency of the Advisory Vote on Executive Compensation</w:t>
      </w:r>
      <w:r>
        <w:rPr>
          <w:rFonts w:ascii="Arial" w:cs="Arial" w:eastAsia="Arial" w:hAnsi="Arial"/>
          <w:sz w:val="17"/>
          <w:szCs w:val="17"/>
          <w:color w:val="auto"/>
        </w:rPr>
        <w:t>: The affirmative vote of a majority of shares present in person or by proxy and entitled to vote on the matter is required for the approval of the advisory vote to approve the frequency of the advisory vote to approve the compensation of AbbVie’s named executive officers. Because your vote is advisory, it will not be binding upon AbbVie’s Board of Directors. Abstentions will be counted as votes “AGAINST” this proposal and broker non-votes will have no effect on this proposal. Brokers do not have discretionary authority to vote on this proposal.</w:t>
      </w:r>
    </w:p>
    <w:p>
      <w:pPr>
        <w:spacing w:after="0" w:line="156" w:lineRule="exact"/>
        <w:rPr>
          <w:sz w:val="20"/>
          <w:szCs w:val="20"/>
          <w:color w:val="auto"/>
        </w:rPr>
      </w:pPr>
    </w:p>
    <w:p>
      <w:pPr>
        <w:ind w:left="8" w:right="140"/>
        <w:spacing w:after="0" w:line="246" w:lineRule="auto"/>
        <w:rPr>
          <w:sz w:val="20"/>
          <w:szCs w:val="20"/>
          <w:color w:val="auto"/>
        </w:rPr>
      </w:pPr>
      <w:r>
        <w:rPr>
          <w:rFonts w:ascii="Arial" w:cs="Arial" w:eastAsia="Arial" w:hAnsi="Arial"/>
          <w:sz w:val="17"/>
          <w:szCs w:val="17"/>
          <w:color w:val="auto"/>
        </w:rPr>
        <w:t>If no frequency receives the affirmative vote of a majority of shares present in person or by proxy and entitled to vote on the matter, then we will consider the option that receives the highest number of votes to be the frequency recommended by stockholders.</w:t>
      </w:r>
    </w:p>
    <w:p>
      <w:pPr>
        <w:spacing w:after="0" w:line="125" w:lineRule="exact"/>
        <w:rPr>
          <w:sz w:val="20"/>
          <w:szCs w:val="20"/>
          <w:color w:val="auto"/>
        </w:rPr>
      </w:pPr>
    </w:p>
    <w:p>
      <w:pPr>
        <w:ind w:left="8" w:right="120" w:hanging="8"/>
        <w:spacing w:after="0" w:line="238" w:lineRule="auto"/>
        <w:tabs>
          <w:tab w:leader="none" w:pos="193" w:val="left"/>
        </w:tabs>
        <w:numPr>
          <w:ilvl w:val="0"/>
          <w:numId w:val="12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Management Proposal to Eliminate Supermajority Voting</w:t>
      </w:r>
      <w:r>
        <w:rPr>
          <w:rFonts w:ascii="Arial" w:cs="Arial" w:eastAsia="Arial" w:hAnsi="Arial"/>
          <w:sz w:val="17"/>
          <w:szCs w:val="17"/>
          <w:color w:val="auto"/>
        </w:rPr>
        <w:t>: The affirmative vote of shares representing not less than eighty percent (80%) of the outstanding shares of capital stock of AbbVie entitled to vote generally in the election of directors is required for the approval of the management proposal to eliminate supermajority voting pursuant to Article XI of AbbVie’s Amended and Restated Certificate of Incorporation. Abstentions and broker non-votes will be counted as votes “AGAINST” this proposal. Brokers do not have discretionary authority to vote on this proposal.</w:t>
      </w:r>
    </w:p>
    <w:p>
      <w:pPr>
        <w:spacing w:after="0" w:line="144" w:lineRule="exact"/>
        <w:rPr>
          <w:sz w:val="20"/>
          <w:szCs w:val="20"/>
          <w:color w:val="auto"/>
        </w:rPr>
      </w:pPr>
    </w:p>
    <w:p>
      <w:pPr>
        <w:ind w:left="8" w:right="60"/>
        <w:spacing w:after="0" w:line="261" w:lineRule="auto"/>
        <w:rPr>
          <w:sz w:val="20"/>
          <w:szCs w:val="20"/>
          <w:color w:val="auto"/>
        </w:rPr>
      </w:pPr>
      <w:r>
        <w:rPr>
          <w:rFonts w:ascii="Arial" w:cs="Arial" w:eastAsia="Arial" w:hAnsi="Arial"/>
          <w:sz w:val="17"/>
          <w:szCs w:val="17"/>
          <w:u w:val="single" w:color="auto"/>
          <w:color w:val="auto"/>
        </w:rPr>
        <w:t>6–8. Stockholder Proposals</w:t>
      </w:r>
      <w:r>
        <w:rPr>
          <w:rFonts w:ascii="Arial" w:cs="Arial" w:eastAsia="Arial" w:hAnsi="Arial"/>
          <w:sz w:val="17"/>
          <w:szCs w:val="17"/>
          <w:color w:val="auto"/>
        </w:rPr>
        <w:t>: The affirmative vote of a majority of shares present in person or by proxy and entitled to vote on the matter is required for the approval of the stockholder proposals presented at the meeting.</w:t>
      </w:r>
    </w:p>
    <w:p>
      <w:pPr>
        <w:spacing w:after="0" w:line="342" w:lineRule="exact"/>
        <w:rPr>
          <w:sz w:val="20"/>
          <w:szCs w:val="20"/>
          <w:color w:val="auto"/>
        </w:rPr>
      </w:pPr>
    </w:p>
    <w:p>
      <w:pPr>
        <w:ind w:left="8"/>
        <w:spacing w:after="0"/>
        <w:tabs>
          <w:tab w:leader="none" w:pos="351" w:val="left"/>
          <w:tab w:leader="none" w:pos="2148" w:val="left"/>
        </w:tabs>
        <w:rPr>
          <w:sz w:val="20"/>
          <w:szCs w:val="20"/>
          <w:color w:val="auto"/>
        </w:rPr>
      </w:pPr>
      <w:r>
        <w:rPr>
          <w:rFonts w:ascii="Arial" w:cs="Arial" w:eastAsia="Arial" w:hAnsi="Arial"/>
          <w:sz w:val="17"/>
          <w:szCs w:val="17"/>
          <w:color w:val="auto"/>
        </w:rPr>
        <w:t>94</w:t>
      </w:r>
      <w:r>
        <w:rPr>
          <w:sz w:val="20"/>
          <w:szCs w:val="20"/>
          <w:color w:val="auto"/>
        </w:rPr>
        <w:tab/>
      </w:r>
      <w:r>
        <w:rPr>
          <w:sz w:val="1"/>
          <w:szCs w:val="1"/>
          <w:color w:val="auto"/>
        </w:rPr>
        <w:drawing>
          <wp:inline distT="0" distB="0" distL="0" distR="0">
            <wp:extent cx="810260" cy="15113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887085" cy="158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28"/>
          </w:cols>
          <w:pgMar w:left="1312" w:top="485" w:right="1359" w:bottom="1440" w:gutter="0" w:footer="0" w:header="0"/>
        </w:sectPr>
      </w:pPr>
    </w:p>
    <w:bookmarkStart w:id="97" w:name="page98"/>
    <w:bookmarkEnd w:id="97"/>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5600"/>
        <w:spacing w:after="0"/>
        <w:rPr>
          <w:sz w:val="20"/>
          <w:szCs w:val="20"/>
          <w:color w:val="auto"/>
        </w:rPr>
      </w:pPr>
      <w:r>
        <w:rPr>
          <w:rFonts w:ascii="Arial" w:cs="Arial" w:eastAsia="Arial" w:hAnsi="Arial"/>
          <w:sz w:val="16"/>
          <w:szCs w:val="16"/>
          <w:color w:val="808080"/>
        </w:rPr>
        <w:t>INFORMATION ABOUT THE ANNUAL MEETING</w:t>
      </w:r>
    </w:p>
    <w:p>
      <w:pPr>
        <w:spacing w:after="0" w:line="204" w:lineRule="exact"/>
        <w:rPr>
          <w:sz w:val="20"/>
          <w:szCs w:val="20"/>
          <w:color w:val="auto"/>
        </w:rPr>
      </w:pPr>
    </w:p>
    <w:p>
      <w:pPr>
        <w:ind w:left="20" w:right="780"/>
        <w:spacing w:after="0" w:line="261" w:lineRule="auto"/>
        <w:rPr>
          <w:sz w:val="20"/>
          <w:szCs w:val="20"/>
          <w:color w:val="auto"/>
        </w:rPr>
      </w:pPr>
      <w:r>
        <w:rPr>
          <w:rFonts w:ascii="Arial" w:cs="Arial" w:eastAsia="Arial" w:hAnsi="Arial"/>
          <w:sz w:val="17"/>
          <w:szCs w:val="17"/>
          <w:color w:val="auto"/>
        </w:rPr>
        <w:t>Abstentions will be counted as votes “AGAINST” these proposals and broker non-votes will have no effect on these proposals. Brokers do not have discretionary authority to vote on these proposals.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Inspectors of Election</w:t>
      </w:r>
    </w:p>
    <w:p>
      <w:pPr>
        <w:spacing w:after="0" w:line="192" w:lineRule="exact"/>
        <w:rPr>
          <w:sz w:val="20"/>
          <w:szCs w:val="20"/>
          <w:color w:val="auto"/>
        </w:rPr>
      </w:pPr>
    </w:p>
    <w:p>
      <w:pPr>
        <w:ind w:left="20" w:right="540"/>
        <w:spacing w:after="0" w:line="261" w:lineRule="auto"/>
        <w:rPr>
          <w:sz w:val="20"/>
          <w:szCs w:val="20"/>
          <w:color w:val="auto"/>
        </w:rPr>
      </w:pPr>
      <w:r>
        <w:rPr>
          <w:rFonts w:ascii="Arial" w:cs="Arial" w:eastAsia="Arial" w:hAnsi="Arial"/>
          <w:sz w:val="17"/>
          <w:szCs w:val="17"/>
          <w:color w:val="auto"/>
        </w:rPr>
        <w:t>The inspectors of election and the tabulators of all proxies, ballots, and voting tabulations that identify stockholders are independent and are not AbbVie employees.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Cost of Soliciting Proxies</w:t>
      </w:r>
    </w:p>
    <w:p>
      <w:pPr>
        <w:spacing w:after="0" w:line="192" w:lineRule="exact"/>
        <w:rPr>
          <w:sz w:val="20"/>
          <w:szCs w:val="20"/>
          <w:color w:val="auto"/>
        </w:rPr>
      </w:pPr>
    </w:p>
    <w:p>
      <w:pPr>
        <w:ind w:left="20" w:right="20"/>
        <w:spacing w:after="0" w:line="246" w:lineRule="auto"/>
        <w:rPr>
          <w:sz w:val="20"/>
          <w:szCs w:val="20"/>
          <w:color w:val="auto"/>
        </w:rPr>
      </w:pPr>
      <w:r>
        <w:rPr>
          <w:rFonts w:ascii="Arial" w:cs="Arial" w:eastAsia="Arial" w:hAnsi="Arial"/>
          <w:sz w:val="17"/>
          <w:szCs w:val="17"/>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162" w:lineRule="exact"/>
        <w:rPr>
          <w:sz w:val="20"/>
          <w:szCs w:val="20"/>
          <w:color w:val="auto"/>
        </w:rPr>
      </w:pPr>
    </w:p>
    <w:p>
      <w:pPr>
        <w:ind w:left="20" w:right="820"/>
        <w:spacing w:after="0" w:line="261" w:lineRule="auto"/>
        <w:rPr>
          <w:sz w:val="20"/>
          <w:szCs w:val="20"/>
          <w:color w:val="auto"/>
        </w:rPr>
      </w:pPr>
      <w:r>
        <w:rPr>
          <w:rFonts w:ascii="Arial" w:cs="Arial" w:eastAsia="Arial" w:hAnsi="Arial"/>
          <w:sz w:val="17"/>
          <w:szCs w:val="17"/>
          <w:color w:val="auto"/>
        </w:rPr>
        <w:t>AbbVie has retained Alliance Advisors LLC to aid in the solicitation of proxies, at an estimated cost of $20,500 plus reimbursement for reasonable out-of-pocket expenses.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AbbVie Savings Plan</w:t>
      </w:r>
    </w:p>
    <w:p>
      <w:pPr>
        <w:spacing w:after="0" w:line="192" w:lineRule="exact"/>
        <w:rPr>
          <w:sz w:val="20"/>
          <w:szCs w:val="20"/>
          <w:color w:val="auto"/>
        </w:rPr>
      </w:pPr>
    </w:p>
    <w:p>
      <w:pPr>
        <w:ind w:left="20" w:right="240"/>
        <w:spacing w:after="0" w:line="236" w:lineRule="auto"/>
        <w:rPr>
          <w:sz w:val="20"/>
          <w:szCs w:val="20"/>
          <w:color w:val="auto"/>
        </w:rPr>
      </w:pPr>
      <w:r>
        <w:rPr>
          <w:rFonts w:ascii="Arial" w:cs="Arial" w:eastAsia="Arial" w:hAnsi="Arial"/>
          <w:sz w:val="17"/>
          <w:szCs w:val="17"/>
          <w:color w:val="auto"/>
        </w:rPr>
        <w:t>Participants in the AbbVie Savings Plan will receive voting instructions for their shares of AbbVie common stock held in the AbbVie Savings Plan Trust. The Trust is administered by both a trustee and an investment committee. The trustee is Empower Trust Company, LLC. The members of the investment committee are Demetris Crum, Stefan Geldmeyer, and Andrew Shafer, employees of AbbVie. The voting power with respect to the shares is held by and shared between the investment committee and the participants. The investment committee must solicit voting instructions from the participants and follow the voting instructions it receives. The investment committee may use its own discretion with respect to those shares of AbbVie common stock for which no voting instructions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240" w:type="dxa"/>
            <w:vAlign w:val="bottom"/>
          </w:tcPr>
          <w:p>
            <w:pPr>
              <w:ind w:left="544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501"/>
        </w:trPr>
        <w:tc>
          <w:tcPr>
            <w:tcW w:w="8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-508000</wp:posOffset>
            </wp:positionV>
            <wp:extent cx="810260" cy="1511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98" w:name="page99"/>
    <w:bookmarkEnd w:id="98"/>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ind w:left="8420"/>
        <w:spacing w:after="0"/>
        <w:rPr>
          <w:sz w:val="20"/>
          <w:szCs w:val="20"/>
          <w:color w:val="auto"/>
        </w:rPr>
      </w:pPr>
      <w:r>
        <w:rPr>
          <w:rFonts w:ascii="Arial" w:cs="Arial" w:eastAsia="Arial" w:hAnsi="Arial"/>
          <w:sz w:val="16"/>
          <w:szCs w:val="16"/>
          <w:color w:val="FFFFFF"/>
          <w:shd w:val="clear" w:color="auto" w:fill="454968"/>
        </w:rPr>
        <w:t>Appendix A</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Proposed Certificate of Amendment to the Amended and Restated Certificate of Incorporation of AbbVie Inc.</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text of the proposed amendment is marked to reflect the proposed changes.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AbbVie Inc., a corporation organized and existing under and by virtue of the General Corporation Law of the State of</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Articles VIII and XI of AbbVie’s Amended and Restated Certificate of Incorporation are amended to read as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AMENDMENTS TO BY-LAWS</w:t>
      </w:r>
    </w:p>
    <w:p>
      <w:pPr>
        <w:spacing w:after="0" w:line="89" w:lineRule="exact"/>
        <w:rPr>
          <w:sz w:val="20"/>
          <w:szCs w:val="20"/>
          <w:color w:val="auto"/>
        </w:rPr>
      </w:pPr>
    </w:p>
    <w:p>
      <w:pPr>
        <w:ind w:left="20" w:right="220" w:firstLine="601"/>
        <w:spacing w:after="0" w:line="255" w:lineRule="auto"/>
        <w:rPr>
          <w:sz w:val="20"/>
          <w:szCs w:val="20"/>
          <w:color w:val="auto"/>
        </w:rPr>
      </w:pPr>
      <w:r>
        <w:rPr>
          <w:rFonts w:ascii="Arial" w:cs="Arial" w:eastAsia="Arial" w:hAnsi="Arial"/>
          <w:sz w:val="16"/>
          <w:szCs w:val="16"/>
          <w:color w:val="auto"/>
        </w:rPr>
        <w:t>In furtherance and not in limitation of the powers conferred by the laws of the State of Delaware, the By-laws of the Corporation (the “</w:t>
      </w:r>
      <w:r>
        <w:rPr>
          <w:rFonts w:ascii="Arial" w:cs="Arial" w:eastAsia="Arial" w:hAnsi="Arial"/>
          <w:sz w:val="16"/>
          <w:szCs w:val="16"/>
          <w:u w:val="single" w:color="auto"/>
          <w:color w:val="auto"/>
        </w:rPr>
        <w:t>By-laws</w:t>
      </w:r>
      <w:r>
        <w:rPr>
          <w:rFonts w:ascii="Arial" w:cs="Arial" w:eastAsia="Arial" w:hAnsi="Arial"/>
          <w:sz w:val="16"/>
          <w:szCs w:val="16"/>
          <w:color w:val="auto"/>
        </w:rPr>
        <w:t>”) may be altered, amended or repealed, in whole or in part, and new By-laws may be adopted,</w:t>
      </w:r>
    </w:p>
    <w:p>
      <w:pPr>
        <w:ind w:left="20" w:right="20" w:hanging="8"/>
        <w:spacing w:after="0" w:line="232" w:lineRule="auto"/>
        <w:tabs>
          <w:tab w:leader="none" w:pos="21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by the affirmative vote of shares representing a majority of the outstanding shares of capital stock of the Corporation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color w:val="auto"/>
          <w:strike w:val="1"/>
        </w:rPr>
        <w:t>that any proposed alteration, amendment or repeal</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of, or the adoption of any By-law inconsistent with, Sections 2.2, 2.12, 3.2, 3.3, 3.10 or 3.11, Article VII or Article X of the By-laws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 and provided further, however, that in the case of any such stockholder action at a meeting of stockholders, notice of the proposed alteration, amendment, repeal or adoption of the new By-law or By-laws must be contained in the notice of such meeting, or (ii) by action of the Board of Directors of the Corporation; </w:t>
      </w:r>
      <w:r>
        <w:rPr>
          <w:rFonts w:ascii="Arial" w:cs="Arial" w:eastAsia="Arial" w:hAnsi="Arial"/>
          <w:sz w:val="17"/>
          <w:szCs w:val="17"/>
          <w:u w:val="single" w:color="auto"/>
          <w:color w:val="auto"/>
          <w:strike w:val="1"/>
        </w:rPr>
        <w:t>provided</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however</w:t>
      </w:r>
      <w:r>
        <w:rPr>
          <w:rFonts w:ascii="Arial" w:cs="Arial" w:eastAsia="Arial" w:hAnsi="Arial"/>
          <w:sz w:val="17"/>
          <w:szCs w:val="17"/>
          <w:color w:val="auto"/>
          <w:strike w:val="1"/>
        </w:rPr>
        <w:t>, that the case of any such action at a meeting of the Board of Directors, notice of the proposed alteration, amendment, repeal or adoption of the new By-law or By-laws must be given not less than two days prior to the meeting.</w:t>
      </w:r>
    </w:p>
    <w:p>
      <w:pPr>
        <w:spacing w:after="0" w:line="9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 * *</w:t>
      </w:r>
    </w:p>
    <w:p>
      <w:pPr>
        <w:spacing w:after="0" w:line="105"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AMENDMENTS</w:t>
      </w:r>
    </w:p>
    <w:p>
      <w:pPr>
        <w:spacing w:after="0" w:line="89" w:lineRule="exact"/>
        <w:rPr>
          <w:sz w:val="20"/>
          <w:szCs w:val="20"/>
          <w:color w:val="auto"/>
        </w:rPr>
      </w:pPr>
    </w:p>
    <w:p>
      <w:pPr>
        <w:ind w:left="20" w:right="40" w:firstLine="601"/>
        <w:spacing w:after="0" w:line="234" w:lineRule="auto"/>
        <w:rPr>
          <w:sz w:val="20"/>
          <w:szCs w:val="20"/>
          <w:color w:val="auto"/>
        </w:rPr>
      </w:pPr>
      <w:r>
        <w:rPr>
          <w:rFonts w:ascii="Arial" w:cs="Arial" w:eastAsia="Arial" w:hAnsi="Arial"/>
          <w:sz w:val="17"/>
          <w:szCs w:val="17"/>
          <w:u w:val="single" w:color="auto"/>
          <w:color w:val="auto"/>
        </w:rPr>
        <w:t>The Corporation reserves the right to amend, alter or repeal any provision contained in this Amended and Restated Certificate of Incorporation, in the manner now or hereafter prescribed by statute, and all rights conferred upon stockholders herein are subject to this reservation</w:t>
      </w:r>
      <w:r>
        <w:rPr>
          <w:rFonts w:ascii="Arial" w:cs="Arial" w:eastAsia="Arial" w:hAnsi="Arial"/>
          <w:sz w:val="17"/>
          <w:szCs w:val="17"/>
          <w:color w:val="auto"/>
        </w:rPr>
        <w:t xml:space="preserve">. </w:t>
      </w:r>
      <w:r>
        <w:rPr>
          <w:rFonts w:ascii="Arial" w:cs="Arial" w:eastAsia="Arial" w:hAnsi="Arial"/>
          <w:sz w:val="17"/>
          <w:szCs w:val="17"/>
          <w:color w:val="auto"/>
          <w:strike w:val="1"/>
        </w:rPr>
        <w:t>In furtherance and not in limitation of the powers conferred by the laws of the State of</w:t>
      </w:r>
      <w:r>
        <w:rPr>
          <w:rFonts w:ascii="Arial" w:cs="Arial" w:eastAsia="Arial" w:hAnsi="Arial"/>
          <w:sz w:val="17"/>
          <w:szCs w:val="17"/>
          <w:color w:val="auto"/>
        </w:rPr>
        <w:t xml:space="preserve"> </w:t>
      </w:r>
      <w:r>
        <w:rPr>
          <w:rFonts w:ascii="Arial" w:cs="Arial" w:eastAsia="Arial" w:hAnsi="Arial"/>
          <w:sz w:val="17"/>
          <w:szCs w:val="17"/>
          <w:color w:val="auto"/>
          <w:strike w:val="1"/>
        </w:rPr>
        <w:t>Delaware as they presently exist or may hereafter be amended, subject to any limitations contained elsewhere in this Amended and Restated Certificate of Incorporation, the Corporation may from time to time adopt, amend or repeal any provisions of this Amended and Restated Certificate of Incorporation; provided, however, that any proposed alteration, amendment or repeal of, or the adoption of any provision inconsistent with, Article VI and Article VII of this Amended and Restated Certificate of Incorporation (in each case, as in effect on the date hereof), or the alteration, amendment or repeal of, or the adoption of any provision inconsistent with this sentence, may only be made by the affirmative vote of shares representing not less than eighty percent (80%) of the outstanding shares of capital stock of the Corporation entitled to vote generally in the election of directors.</w:t>
      </w:r>
    </w:p>
    <w:p>
      <w:pPr>
        <w:spacing w:after="0" w:line="93" w:lineRule="exact"/>
        <w:rPr>
          <w:sz w:val="20"/>
          <w:szCs w:val="20"/>
          <w:color w:val="auto"/>
        </w:rPr>
      </w:pPr>
    </w:p>
    <w:p>
      <w:pPr>
        <w:ind w:left="20" w:right="100" w:hanging="8"/>
        <w:spacing w:after="0" w:line="261" w:lineRule="auto"/>
        <w:tabs>
          <w:tab w:leader="none" w:pos="25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foregoing amendment to the Amended and Restated Certificate of Incorporation of the Corporation was duly adopted in accordance with the provisions of Section 242 of the Delaware General Corporation Law.</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Corporation has caused this Certificate of Amendment to the Amended and Restated</w:t>
      </w:r>
    </w:p>
    <w:p>
      <w:pPr>
        <w:spacing w:after="0" w:line="8" w:lineRule="exact"/>
        <w:rPr>
          <w:sz w:val="20"/>
          <w:szCs w:val="20"/>
          <w:color w:val="auto"/>
        </w:rPr>
      </w:pPr>
    </w:p>
    <w:p>
      <w:pPr>
        <w:ind w:left="20"/>
        <w:spacing w:after="0"/>
        <w:tabs>
          <w:tab w:leader="none" w:pos="7280" w:val="left"/>
          <w:tab w:leader="none" w:pos="8200" w:val="left"/>
        </w:tabs>
        <w:rPr>
          <w:sz w:val="20"/>
          <w:szCs w:val="20"/>
          <w:color w:val="auto"/>
        </w:rPr>
      </w:pPr>
      <w:r>
        <w:rPr>
          <w:rFonts w:ascii="Arial" w:cs="Arial" w:eastAsia="Arial" w:hAnsi="Arial"/>
          <w:sz w:val="17"/>
          <w:szCs w:val="17"/>
          <w:color w:val="auto"/>
        </w:rPr>
        <w:t>Certificate of Incorporation to be executed by the undersigned officer, duly authorized, as of the</w:t>
      </w:r>
      <w:r>
        <w:rPr>
          <w:sz w:val="20"/>
          <w:szCs w:val="20"/>
          <w:color w:val="auto"/>
        </w:rPr>
        <w:tab/>
      </w:r>
      <w:r>
        <w:rPr>
          <w:rFonts w:ascii="Arial" w:cs="Arial" w:eastAsia="Arial" w:hAnsi="Arial"/>
          <w:sz w:val="17"/>
          <w:szCs w:val="17"/>
          <w:color w:val="auto"/>
        </w:rPr>
        <w:t>day of</w:t>
      </w:r>
      <w:r>
        <w:rPr>
          <w:sz w:val="20"/>
          <w:szCs w:val="20"/>
          <w:color w:val="auto"/>
        </w:rPr>
        <w:tab/>
      </w:r>
      <w:r>
        <w:rPr>
          <w:rFonts w:ascii="Arial" w:cs="Arial" w:eastAsia="Arial" w:hAnsi="Arial"/>
          <w:sz w:val="15"/>
          <w:szCs w:val="15"/>
          <w:color w:val="auto"/>
        </w:rPr>
        <w:t>2024.</w:t>
      </w:r>
    </w:p>
    <w:p>
      <w:pPr>
        <w:spacing w:after="0" w:line="126"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AbbVie Inc.</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5715</wp:posOffset>
            </wp:positionV>
            <wp:extent cx="25266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7"/>
          <w:szCs w:val="17"/>
          <w:color w:val="auto"/>
        </w:rPr>
        <w:t>Name:</w:t>
      </w:r>
    </w:p>
    <w:p>
      <w:pPr>
        <w:ind w:left="47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8160" w:type="dxa"/>
            <w:vAlign w:val="bottom"/>
          </w:tcPr>
          <w:p>
            <w:pPr>
              <w:ind w:left="538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i w:val="1"/>
                <w:iCs w:val="1"/>
                <w:color w:val="auto"/>
              </w:rPr>
              <w:t>|</w:t>
            </w:r>
          </w:p>
        </w:tc>
        <w:tc>
          <w:tcPr>
            <w:tcW w:w="1120" w:type="dxa"/>
            <w:vAlign w:val="bottom"/>
          </w:tcPr>
          <w:p>
            <w:pPr>
              <w:ind w:left="860"/>
              <w:spacing w:after="0"/>
              <w:rPr>
                <w:sz w:val="20"/>
                <w:szCs w:val="20"/>
                <w:color w:val="auto"/>
              </w:rPr>
            </w:pPr>
            <w:r>
              <w:rPr>
                <w:rFonts w:ascii="Arial" w:cs="Arial" w:eastAsia="Arial" w:hAnsi="Arial"/>
                <w:sz w:val="17"/>
                <w:szCs w:val="17"/>
                <w:color w:val="auto"/>
                <w:w w:val="90"/>
              </w:rPr>
              <w:t>A-1</w:t>
            </w:r>
          </w:p>
        </w:tc>
      </w:tr>
      <w:tr>
        <w:trPr>
          <w:trHeight w:val="501"/>
        </w:trPr>
        <w:tc>
          <w:tcPr>
            <w:tcW w:w="8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-508000</wp:posOffset>
            </wp:positionV>
            <wp:extent cx="810260" cy="151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6" w:right="1319" w:bottom="1440" w:gutter="0" w:footer="0" w:header="0"/>
        </w:sectPr>
      </w:pPr>
    </w:p>
    <w:bookmarkStart w:id="99" w:name="page100"/>
    <w:bookmarkEnd w:id="99"/>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FFFFFF"/>
          <w:shd w:val="clear" w:color="auto" w:fill="454968"/>
        </w:rPr>
        <w:t>Appendix B</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AbbVie Inc.</w:t>
      </w:r>
    </w:p>
    <w:p>
      <w:pPr>
        <w:jc w:val="center"/>
        <w:spacing w:after="0"/>
        <w:rPr>
          <w:sz w:val="20"/>
          <w:szCs w:val="20"/>
          <w:color w:val="auto"/>
        </w:rPr>
      </w:pPr>
      <w:r>
        <w:rPr>
          <w:rFonts w:ascii="Arial" w:cs="Arial" w:eastAsia="Arial" w:hAnsi="Arial"/>
          <w:sz w:val="17"/>
          <w:szCs w:val="17"/>
          <w:b w:val="1"/>
          <w:bCs w:val="1"/>
          <w:color w:val="auto"/>
        </w:rPr>
        <w:t>Reconciliation of GAAP Reported to Non-GAAP Adjusted Information</w:t>
      </w:r>
    </w:p>
    <w:p>
      <w:pPr>
        <w:jc w:val="center"/>
        <w:spacing w:after="0" w:line="230" w:lineRule="auto"/>
        <w:rPr>
          <w:sz w:val="20"/>
          <w:szCs w:val="20"/>
          <w:color w:val="auto"/>
        </w:rPr>
      </w:pPr>
      <w:r>
        <w:rPr>
          <w:rFonts w:ascii="Arial" w:cs="Arial" w:eastAsia="Arial" w:hAnsi="Arial"/>
          <w:sz w:val="17"/>
          <w:szCs w:val="17"/>
          <w:b w:val="1"/>
          <w:bCs w:val="1"/>
          <w:color w:val="auto"/>
        </w:rPr>
        <w:t>Year Ended December 31, 2023</w:t>
      </w:r>
    </w:p>
    <w:p>
      <w:pPr>
        <w:jc w:val="center"/>
        <w:spacing w:after="0"/>
        <w:rPr>
          <w:sz w:val="20"/>
          <w:szCs w:val="20"/>
          <w:color w:val="auto"/>
        </w:rPr>
      </w:pPr>
      <w:r>
        <w:rPr>
          <w:rFonts w:ascii="Arial" w:cs="Arial" w:eastAsia="Arial" w:hAnsi="Arial"/>
          <w:sz w:val="17"/>
          <w:szCs w:val="17"/>
          <w:b w:val="1"/>
          <w:bCs w:val="1"/>
          <w:color w:val="auto"/>
        </w:rPr>
        <w:t>(Unaudited) (In millions, except per share data)</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Non-GAAP Financial Results</w:t>
      </w:r>
    </w:p>
    <w:p>
      <w:pPr>
        <w:spacing w:after="0" w:line="180" w:lineRule="exact"/>
        <w:rPr>
          <w:sz w:val="20"/>
          <w:szCs w:val="20"/>
          <w:color w:val="auto"/>
        </w:rPr>
      </w:pPr>
    </w:p>
    <w:p>
      <w:pPr>
        <w:ind w:left="20" w:right="100"/>
        <w:spacing w:after="0" w:line="236" w:lineRule="auto"/>
        <w:rPr>
          <w:sz w:val="20"/>
          <w:szCs w:val="20"/>
          <w:color w:val="auto"/>
        </w:rPr>
      </w:pPr>
      <w:r>
        <w:rPr>
          <w:rFonts w:ascii="Arial" w:cs="Arial" w:eastAsia="Arial" w:hAnsi="Arial"/>
          <w:sz w:val="17"/>
          <w:szCs w:val="17"/>
          <w:color w:val="auto"/>
        </w:rPr>
        <w:t>Financial results are presented on both a reported and a non-GAAP basis. Reported results were prepared in accordance with GAAP and include all revenues and expenses recognized during the period. Non-GAAP results adjust for certain non-cash items and for factors that are unusual or unpredictable, and exclude those costs, expenses, and other specified items.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Business Performance Highlights Reconciliations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540" w:type="dxa"/>
            <w:vAlign w:val="bottom"/>
          </w:tcPr>
          <w:p>
            <w:pPr>
              <w:spacing w:after="0"/>
              <w:rPr>
                <w:sz w:val="20"/>
                <w:szCs w:val="20"/>
                <w:color w:val="auto"/>
              </w:rPr>
            </w:pPr>
            <w:r>
              <w:rPr>
                <w:rFonts w:ascii="Arial" w:cs="Arial" w:eastAsia="Arial" w:hAnsi="Arial"/>
                <w:sz w:val="17"/>
                <w:szCs w:val="17"/>
                <w:color w:val="auto"/>
              </w:rPr>
              <w:t>1.</w:t>
            </w:r>
          </w:p>
        </w:tc>
        <w:tc>
          <w:tcPr>
            <w:tcW w:w="4180" w:type="dxa"/>
            <w:vAlign w:val="bottom"/>
          </w:tcPr>
          <w:p>
            <w:pPr>
              <w:ind w:left="60"/>
              <w:spacing w:after="0"/>
              <w:rPr>
                <w:sz w:val="20"/>
                <w:szCs w:val="20"/>
                <w:color w:val="auto"/>
              </w:rPr>
            </w:pPr>
            <w:r>
              <w:rPr>
                <w:rFonts w:ascii="Arial" w:cs="Arial" w:eastAsia="Arial" w:hAnsi="Arial"/>
                <w:sz w:val="17"/>
                <w:szCs w:val="17"/>
                <w:color w:val="auto"/>
              </w:rPr>
              <w:t>Diluted Earnings Per Share since 2020</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4"/>
        </w:trPr>
        <w:tc>
          <w:tcPr>
            <w:tcW w:w="5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454968"/>
              </w:rPr>
              <w:t>2023</w:t>
            </w: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454968"/>
              </w:rPr>
              <w:t>2022</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454968"/>
              </w:rPr>
              <w:t>2021</w:t>
            </w: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2020</w:t>
            </w:r>
          </w:p>
        </w:tc>
      </w:tr>
      <w:tr>
        <w:trPr>
          <w:trHeight w:val="168"/>
        </w:trPr>
        <w:tc>
          <w:tcPr>
            <w:tcW w:w="4720" w:type="dxa"/>
            <w:vAlign w:val="bottom"/>
            <w:gridSpan w:val="2"/>
            <w:shd w:val="clear" w:color="auto" w:fill="E7E7E7"/>
          </w:tcPr>
          <w:p>
            <w:pPr>
              <w:spacing w:after="0" w:line="168" w:lineRule="exact"/>
              <w:rPr>
                <w:sz w:val="20"/>
                <w:szCs w:val="20"/>
                <w:color w:val="auto"/>
              </w:rPr>
            </w:pPr>
            <w:r>
              <w:rPr>
                <w:rFonts w:ascii="Arial" w:cs="Arial" w:eastAsia="Arial" w:hAnsi="Arial"/>
                <w:sz w:val="15"/>
                <w:szCs w:val="15"/>
                <w:b w:val="1"/>
                <w:bCs w:val="1"/>
                <w:color w:val="auto"/>
              </w:rPr>
              <w:t>As reported (GAAP)</w:t>
            </w:r>
          </w:p>
        </w:tc>
        <w:tc>
          <w:tcPr>
            <w:tcW w:w="1100" w:type="dxa"/>
            <w:vAlign w:val="bottom"/>
            <w:shd w:val="clear" w:color="auto" w:fill="E7E7E7"/>
          </w:tcPr>
          <w:p>
            <w:pPr>
              <w:jc w:val="right"/>
              <w:ind w:right="105"/>
              <w:spacing w:after="0" w:line="168" w:lineRule="exact"/>
              <w:rPr>
                <w:sz w:val="20"/>
                <w:szCs w:val="20"/>
                <w:color w:val="auto"/>
              </w:rPr>
            </w:pPr>
            <w:r>
              <w:rPr>
                <w:rFonts w:ascii="Arial" w:cs="Arial" w:eastAsia="Arial" w:hAnsi="Arial"/>
                <w:sz w:val="15"/>
                <w:szCs w:val="15"/>
                <w:color w:val="auto"/>
              </w:rPr>
              <w:t>$</w:t>
            </w:r>
          </w:p>
        </w:tc>
        <w:tc>
          <w:tcPr>
            <w:tcW w:w="620" w:type="dxa"/>
            <w:vAlign w:val="bottom"/>
            <w:shd w:val="clear" w:color="auto" w:fill="E7E7E7"/>
          </w:tcPr>
          <w:p>
            <w:pPr>
              <w:jc w:val="right"/>
              <w:ind w:right="6"/>
              <w:spacing w:after="0" w:line="168" w:lineRule="exact"/>
              <w:rPr>
                <w:sz w:val="20"/>
                <w:szCs w:val="20"/>
                <w:color w:val="auto"/>
              </w:rPr>
            </w:pPr>
            <w:r>
              <w:rPr>
                <w:rFonts w:ascii="Arial" w:cs="Arial" w:eastAsia="Arial" w:hAnsi="Arial"/>
                <w:sz w:val="15"/>
                <w:szCs w:val="15"/>
                <w:color w:val="auto"/>
              </w:rPr>
              <w:t>2.72</w:t>
            </w:r>
          </w:p>
        </w:tc>
        <w:tc>
          <w:tcPr>
            <w:tcW w:w="300" w:type="dxa"/>
            <w:vAlign w:val="bottom"/>
            <w:shd w:val="clear" w:color="auto" w:fill="E7E7E7"/>
          </w:tcPr>
          <w:p>
            <w:pPr>
              <w:jc w:val="right"/>
              <w:ind w:right="85"/>
              <w:spacing w:after="0" w:line="168" w:lineRule="exact"/>
              <w:rPr>
                <w:sz w:val="20"/>
                <w:szCs w:val="20"/>
                <w:color w:val="auto"/>
              </w:rPr>
            </w:pPr>
            <w:r>
              <w:rPr>
                <w:rFonts w:ascii="Arial" w:cs="Arial" w:eastAsia="Arial" w:hAnsi="Arial"/>
                <w:sz w:val="15"/>
                <w:szCs w:val="15"/>
                <w:color w:val="auto"/>
              </w:rPr>
              <w:t>$</w:t>
            </w:r>
          </w:p>
        </w:tc>
        <w:tc>
          <w:tcPr>
            <w:tcW w:w="640" w:type="dxa"/>
            <w:vAlign w:val="bottom"/>
            <w:shd w:val="clear" w:color="auto" w:fill="E7E7E7"/>
          </w:tcPr>
          <w:p>
            <w:pPr>
              <w:jc w:val="right"/>
              <w:ind w:right="26"/>
              <w:spacing w:after="0" w:line="168" w:lineRule="exact"/>
              <w:rPr>
                <w:sz w:val="20"/>
                <w:szCs w:val="20"/>
                <w:color w:val="auto"/>
              </w:rPr>
            </w:pPr>
            <w:r>
              <w:rPr>
                <w:rFonts w:ascii="Arial" w:cs="Arial" w:eastAsia="Arial" w:hAnsi="Arial"/>
                <w:sz w:val="15"/>
                <w:szCs w:val="15"/>
                <w:color w:val="auto"/>
              </w:rPr>
              <w:t>6.63</w:t>
            </w:r>
          </w:p>
        </w:tc>
        <w:tc>
          <w:tcPr>
            <w:tcW w:w="320" w:type="dxa"/>
            <w:vAlign w:val="bottom"/>
            <w:shd w:val="clear" w:color="auto" w:fill="E7E7E7"/>
          </w:tcPr>
          <w:p>
            <w:pPr>
              <w:jc w:val="right"/>
              <w:ind w:right="105"/>
              <w:spacing w:after="0" w:line="168" w:lineRule="exact"/>
              <w:rPr>
                <w:sz w:val="20"/>
                <w:szCs w:val="20"/>
                <w:color w:val="auto"/>
              </w:rPr>
            </w:pPr>
            <w:r>
              <w:rPr>
                <w:rFonts w:ascii="Arial" w:cs="Arial" w:eastAsia="Arial" w:hAnsi="Arial"/>
                <w:sz w:val="15"/>
                <w:szCs w:val="15"/>
                <w:color w:val="auto"/>
              </w:rPr>
              <w:t>$</w:t>
            </w:r>
          </w:p>
        </w:tc>
        <w:tc>
          <w:tcPr>
            <w:tcW w:w="640" w:type="dxa"/>
            <w:vAlign w:val="bottom"/>
            <w:shd w:val="clear" w:color="auto" w:fill="E7E7E7"/>
          </w:tcPr>
          <w:p>
            <w:pPr>
              <w:jc w:val="right"/>
              <w:ind w:right="26"/>
              <w:spacing w:after="0" w:line="168" w:lineRule="exact"/>
              <w:rPr>
                <w:sz w:val="20"/>
                <w:szCs w:val="20"/>
                <w:color w:val="auto"/>
              </w:rPr>
            </w:pPr>
            <w:r>
              <w:rPr>
                <w:rFonts w:ascii="Arial" w:cs="Arial" w:eastAsia="Arial" w:hAnsi="Arial"/>
                <w:sz w:val="15"/>
                <w:szCs w:val="15"/>
                <w:color w:val="auto"/>
              </w:rPr>
              <w:t>6.45</w:t>
            </w:r>
          </w:p>
        </w:tc>
        <w:tc>
          <w:tcPr>
            <w:tcW w:w="320" w:type="dxa"/>
            <w:vAlign w:val="bottom"/>
            <w:shd w:val="clear" w:color="auto" w:fill="E7E7E7"/>
          </w:tcPr>
          <w:p>
            <w:pPr>
              <w:jc w:val="right"/>
              <w:ind w:right="125"/>
              <w:spacing w:after="0" w:line="168" w:lineRule="exact"/>
              <w:rPr>
                <w:sz w:val="20"/>
                <w:szCs w:val="20"/>
                <w:color w:val="auto"/>
              </w:rPr>
            </w:pPr>
            <w:r>
              <w:rPr>
                <w:rFonts w:ascii="Arial" w:cs="Arial" w:eastAsia="Arial" w:hAnsi="Arial"/>
                <w:sz w:val="15"/>
                <w:szCs w:val="15"/>
                <w:color w:val="auto"/>
              </w:rPr>
              <w:t>$</w:t>
            </w:r>
          </w:p>
        </w:tc>
        <w:tc>
          <w:tcPr>
            <w:tcW w:w="600" w:type="dxa"/>
            <w:vAlign w:val="bottom"/>
            <w:shd w:val="clear" w:color="auto" w:fill="E7E7E7"/>
          </w:tcPr>
          <w:p>
            <w:pPr>
              <w:jc w:val="right"/>
              <w:spacing w:after="0" w:line="168" w:lineRule="exact"/>
              <w:rPr>
                <w:sz w:val="20"/>
                <w:szCs w:val="20"/>
                <w:color w:val="auto"/>
              </w:rPr>
            </w:pPr>
            <w:r>
              <w:rPr>
                <w:rFonts w:ascii="Arial" w:cs="Arial" w:eastAsia="Arial" w:hAnsi="Arial"/>
                <w:sz w:val="15"/>
                <w:szCs w:val="15"/>
                <w:color w:val="auto"/>
              </w:rPr>
              <w:t>2.72</w:t>
            </w:r>
          </w:p>
        </w:tc>
      </w:tr>
      <w:tr>
        <w:trPr>
          <w:trHeight w:val="175"/>
        </w:trPr>
        <w:tc>
          <w:tcPr>
            <w:tcW w:w="4720" w:type="dxa"/>
            <w:vAlign w:val="bottom"/>
            <w:gridSpan w:val="2"/>
          </w:tcPr>
          <w:p>
            <w:pPr>
              <w:spacing w:after="0"/>
              <w:rPr>
                <w:sz w:val="20"/>
                <w:szCs w:val="20"/>
                <w:color w:val="auto"/>
              </w:rPr>
            </w:pPr>
            <w:r>
              <w:rPr>
                <w:rFonts w:ascii="Arial" w:cs="Arial" w:eastAsia="Arial" w:hAnsi="Arial"/>
                <w:sz w:val="15"/>
                <w:szCs w:val="15"/>
                <w:color w:val="auto"/>
              </w:rPr>
              <w:t>Adjusted for specified items:</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5"/>
        </w:trPr>
        <w:tc>
          <w:tcPr>
            <w:tcW w:w="4720" w:type="dxa"/>
            <w:vAlign w:val="bottom"/>
            <w:gridSpan w:val="2"/>
            <w:shd w:val="clear" w:color="auto" w:fill="E7E7E7"/>
          </w:tcPr>
          <w:p>
            <w:pPr>
              <w:ind w:left="100"/>
              <w:spacing w:after="0"/>
              <w:rPr>
                <w:sz w:val="20"/>
                <w:szCs w:val="20"/>
                <w:color w:val="auto"/>
              </w:rPr>
            </w:pPr>
            <w:r>
              <w:rPr>
                <w:rFonts w:ascii="Arial" w:cs="Arial" w:eastAsia="Arial" w:hAnsi="Arial"/>
                <w:sz w:val="15"/>
                <w:szCs w:val="15"/>
                <w:color w:val="auto"/>
              </w:rPr>
              <w:t>Intangible asset amortization</w:t>
            </w:r>
          </w:p>
        </w:tc>
        <w:tc>
          <w:tcPr>
            <w:tcW w:w="1100" w:type="dxa"/>
            <w:vAlign w:val="bottom"/>
            <w:shd w:val="clear" w:color="auto" w:fill="E7E7E7"/>
          </w:tcPr>
          <w:p>
            <w:pPr>
              <w:spacing w:after="0"/>
              <w:rPr>
                <w:sz w:val="15"/>
                <w:szCs w:val="15"/>
                <w:color w:val="auto"/>
              </w:rPr>
            </w:pPr>
          </w:p>
        </w:tc>
        <w:tc>
          <w:tcPr>
            <w:tcW w:w="620" w:type="dxa"/>
            <w:vAlign w:val="bottom"/>
            <w:shd w:val="clear" w:color="auto" w:fill="E7E7E7"/>
          </w:tcPr>
          <w:p>
            <w:pPr>
              <w:jc w:val="right"/>
              <w:ind w:right="6"/>
              <w:spacing w:after="0"/>
              <w:rPr>
                <w:sz w:val="20"/>
                <w:szCs w:val="20"/>
                <w:color w:val="auto"/>
              </w:rPr>
            </w:pPr>
            <w:r>
              <w:rPr>
                <w:rFonts w:ascii="Arial" w:cs="Arial" w:eastAsia="Arial" w:hAnsi="Arial"/>
                <w:sz w:val="15"/>
                <w:szCs w:val="15"/>
                <w:color w:val="auto"/>
              </w:rPr>
              <w:t>3.76</w:t>
            </w:r>
          </w:p>
        </w:tc>
        <w:tc>
          <w:tcPr>
            <w:tcW w:w="30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3.61</w:t>
            </w:r>
          </w:p>
        </w:tc>
        <w:tc>
          <w:tcPr>
            <w:tcW w:w="32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3.60</w:t>
            </w:r>
          </w:p>
        </w:tc>
        <w:tc>
          <w:tcPr>
            <w:tcW w:w="320" w:type="dxa"/>
            <w:vAlign w:val="bottom"/>
            <w:shd w:val="clear" w:color="auto" w:fill="E7E7E7"/>
          </w:tcPr>
          <w:p>
            <w:pPr>
              <w:spacing w:after="0"/>
              <w:rPr>
                <w:sz w:val="15"/>
                <w:szCs w:val="15"/>
                <w:color w:val="auto"/>
              </w:rPr>
            </w:pPr>
          </w:p>
        </w:tc>
        <w:tc>
          <w:tcPr>
            <w:tcW w:w="6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2.87</w:t>
            </w:r>
          </w:p>
        </w:tc>
      </w:tr>
      <w:tr>
        <w:trPr>
          <w:trHeight w:val="175"/>
        </w:trPr>
        <w:tc>
          <w:tcPr>
            <w:tcW w:w="4720" w:type="dxa"/>
            <w:vAlign w:val="bottom"/>
            <w:gridSpan w:val="2"/>
          </w:tcPr>
          <w:p>
            <w:pPr>
              <w:ind w:left="100"/>
              <w:spacing w:after="0"/>
              <w:rPr>
                <w:sz w:val="20"/>
                <w:szCs w:val="20"/>
                <w:color w:val="auto"/>
              </w:rPr>
            </w:pPr>
            <w:r>
              <w:rPr>
                <w:rFonts w:ascii="Arial" w:cs="Arial" w:eastAsia="Arial" w:hAnsi="Arial"/>
                <w:sz w:val="15"/>
                <w:szCs w:val="15"/>
                <w:color w:val="auto"/>
              </w:rPr>
              <w:t>Pylera Divestiture</w:t>
            </w:r>
          </w:p>
        </w:tc>
        <w:tc>
          <w:tcPr>
            <w:tcW w:w="110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(0.07)</w:t>
            </w:r>
          </w:p>
        </w:tc>
        <w:tc>
          <w:tcPr>
            <w:tcW w:w="3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4720" w:type="dxa"/>
            <w:vAlign w:val="bottom"/>
            <w:gridSpan w:val="2"/>
            <w:shd w:val="clear" w:color="auto" w:fill="E7E7E7"/>
          </w:tcPr>
          <w:p>
            <w:pPr>
              <w:ind w:left="100"/>
              <w:spacing w:after="0"/>
              <w:rPr>
                <w:sz w:val="20"/>
                <w:szCs w:val="20"/>
                <w:color w:val="auto"/>
              </w:rPr>
            </w:pPr>
            <w:r>
              <w:rPr>
                <w:rFonts w:ascii="Arial" w:cs="Arial" w:eastAsia="Arial" w:hAnsi="Arial"/>
                <w:sz w:val="15"/>
                <w:szCs w:val="15"/>
                <w:color w:val="auto"/>
              </w:rPr>
              <w:t>Acquisition related costs</w:t>
            </w:r>
          </w:p>
        </w:tc>
        <w:tc>
          <w:tcPr>
            <w:tcW w:w="1100" w:type="dxa"/>
            <w:vAlign w:val="bottom"/>
            <w:shd w:val="clear" w:color="auto" w:fill="E7E7E7"/>
          </w:tcPr>
          <w:p>
            <w:pPr>
              <w:spacing w:after="0"/>
              <w:rPr>
                <w:sz w:val="15"/>
                <w:szCs w:val="15"/>
                <w:color w:val="auto"/>
              </w:rPr>
            </w:pPr>
          </w:p>
        </w:tc>
        <w:tc>
          <w:tcPr>
            <w:tcW w:w="620" w:type="dxa"/>
            <w:vAlign w:val="bottom"/>
            <w:shd w:val="clear" w:color="auto" w:fill="E7E7E7"/>
          </w:tcPr>
          <w:p>
            <w:pPr>
              <w:jc w:val="right"/>
              <w:ind w:right="6"/>
              <w:spacing w:after="0"/>
              <w:rPr>
                <w:sz w:val="20"/>
                <w:szCs w:val="20"/>
                <w:color w:val="auto"/>
              </w:rPr>
            </w:pPr>
            <w:r>
              <w:rPr>
                <w:rFonts w:ascii="Arial" w:cs="Arial" w:eastAsia="Arial" w:hAnsi="Arial"/>
                <w:sz w:val="15"/>
                <w:szCs w:val="15"/>
                <w:color w:val="auto"/>
              </w:rPr>
              <w:t>0.07</w:t>
            </w:r>
          </w:p>
        </w:tc>
        <w:tc>
          <w:tcPr>
            <w:tcW w:w="30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0.43</w:t>
            </w:r>
          </w:p>
        </w:tc>
        <w:tc>
          <w:tcPr>
            <w:tcW w:w="32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0.12</w:t>
            </w:r>
          </w:p>
        </w:tc>
        <w:tc>
          <w:tcPr>
            <w:tcW w:w="320" w:type="dxa"/>
            <w:vAlign w:val="bottom"/>
            <w:shd w:val="clear" w:color="auto" w:fill="E7E7E7"/>
          </w:tcPr>
          <w:p>
            <w:pPr>
              <w:spacing w:after="0"/>
              <w:rPr>
                <w:sz w:val="15"/>
                <w:szCs w:val="15"/>
                <w:color w:val="auto"/>
              </w:rPr>
            </w:pPr>
          </w:p>
        </w:tc>
        <w:tc>
          <w:tcPr>
            <w:tcW w:w="6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1.81</w:t>
            </w:r>
          </w:p>
        </w:tc>
      </w:tr>
      <w:tr>
        <w:trPr>
          <w:trHeight w:val="175"/>
        </w:trPr>
        <w:tc>
          <w:tcPr>
            <w:tcW w:w="4720" w:type="dxa"/>
            <w:vAlign w:val="bottom"/>
            <w:gridSpan w:val="2"/>
          </w:tcPr>
          <w:p>
            <w:pPr>
              <w:ind w:left="100"/>
              <w:spacing w:after="0"/>
              <w:rPr>
                <w:sz w:val="20"/>
                <w:szCs w:val="20"/>
                <w:color w:val="auto"/>
              </w:rPr>
            </w:pPr>
            <w:r>
              <w:rPr>
                <w:rFonts w:ascii="Arial" w:cs="Arial" w:eastAsia="Arial" w:hAnsi="Arial"/>
                <w:sz w:val="15"/>
                <w:szCs w:val="15"/>
                <w:color w:val="auto"/>
              </w:rPr>
              <w:t>Change in fair value of contingent consideration</w:t>
            </w:r>
          </w:p>
        </w:tc>
        <w:tc>
          <w:tcPr>
            <w:tcW w:w="110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5"/>
                <w:szCs w:val="15"/>
                <w:color w:val="auto"/>
              </w:rPr>
              <w:t>2.81</w:t>
            </w:r>
          </w:p>
        </w:tc>
        <w:tc>
          <w:tcPr>
            <w:tcW w:w="3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1.55</w:t>
            </w:r>
          </w:p>
        </w:tc>
        <w:tc>
          <w:tcPr>
            <w:tcW w:w="3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1.50</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3.43</w:t>
            </w:r>
          </w:p>
        </w:tc>
      </w:tr>
      <w:tr>
        <w:trPr>
          <w:trHeight w:val="175"/>
        </w:trPr>
        <w:tc>
          <w:tcPr>
            <w:tcW w:w="4720" w:type="dxa"/>
            <w:vAlign w:val="bottom"/>
            <w:gridSpan w:val="2"/>
            <w:shd w:val="clear" w:color="auto" w:fill="E7E7E7"/>
          </w:tcPr>
          <w:p>
            <w:pPr>
              <w:ind w:left="100"/>
              <w:spacing w:after="0"/>
              <w:rPr>
                <w:sz w:val="20"/>
                <w:szCs w:val="20"/>
                <w:color w:val="auto"/>
              </w:rPr>
            </w:pPr>
            <w:r>
              <w:rPr>
                <w:rFonts w:ascii="Arial" w:cs="Arial" w:eastAsia="Arial" w:hAnsi="Arial"/>
                <w:sz w:val="15"/>
                <w:szCs w:val="15"/>
                <w:color w:val="auto"/>
              </w:rPr>
              <w:t>Litigation matters</w:t>
            </w:r>
          </w:p>
        </w:tc>
        <w:tc>
          <w:tcPr>
            <w:tcW w:w="1100" w:type="dxa"/>
            <w:vAlign w:val="bottom"/>
            <w:shd w:val="clear" w:color="auto" w:fill="E7E7E7"/>
          </w:tcPr>
          <w:p>
            <w:pPr>
              <w:spacing w:after="0"/>
              <w:rPr>
                <w:sz w:val="15"/>
                <w:szCs w:val="15"/>
                <w:color w:val="auto"/>
              </w:rPr>
            </w:pPr>
          </w:p>
        </w:tc>
        <w:tc>
          <w:tcPr>
            <w:tcW w:w="6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(0.22)</w:t>
            </w:r>
          </w:p>
        </w:tc>
        <w:tc>
          <w:tcPr>
            <w:tcW w:w="30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1.13</w:t>
            </w:r>
          </w:p>
        </w:tc>
        <w:tc>
          <w:tcPr>
            <w:tcW w:w="320" w:type="dxa"/>
            <w:vAlign w:val="bottom"/>
            <w:shd w:val="clear" w:color="auto" w:fill="E7E7E7"/>
          </w:tcPr>
          <w:p>
            <w:pPr>
              <w:spacing w:after="0"/>
              <w:rPr>
                <w:sz w:val="15"/>
                <w:szCs w:val="15"/>
                <w:color w:val="auto"/>
              </w:rPr>
            </w:pPr>
          </w:p>
        </w:tc>
        <w:tc>
          <w:tcPr>
            <w:tcW w:w="640" w:type="dxa"/>
            <w:vAlign w:val="bottom"/>
            <w:shd w:val="clear" w:color="auto" w:fill="E7E7E7"/>
          </w:tcPr>
          <w:p>
            <w:pPr>
              <w:jc w:val="right"/>
              <w:ind w:right="26"/>
              <w:spacing w:after="0"/>
              <w:rPr>
                <w:sz w:val="20"/>
                <w:szCs w:val="20"/>
                <w:color w:val="auto"/>
              </w:rPr>
            </w:pPr>
            <w:r>
              <w:rPr>
                <w:rFonts w:ascii="Arial" w:cs="Arial" w:eastAsia="Arial" w:hAnsi="Arial"/>
                <w:sz w:val="15"/>
                <w:szCs w:val="15"/>
                <w:color w:val="auto"/>
              </w:rPr>
              <w:t>0.14</w:t>
            </w:r>
          </w:p>
        </w:tc>
        <w:tc>
          <w:tcPr>
            <w:tcW w:w="320" w:type="dxa"/>
            <w:vAlign w:val="bottom"/>
            <w:shd w:val="clear" w:color="auto" w:fill="E7E7E7"/>
          </w:tcPr>
          <w:p>
            <w:pPr>
              <w:spacing w:after="0"/>
              <w:rPr>
                <w:sz w:val="15"/>
                <w:szCs w:val="15"/>
                <w:color w:val="auto"/>
              </w:rPr>
            </w:pPr>
          </w:p>
        </w:tc>
        <w:tc>
          <w:tcPr>
            <w:tcW w:w="6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4720" w:type="dxa"/>
            <w:vAlign w:val="bottom"/>
            <w:gridSpan w:val="2"/>
          </w:tcPr>
          <w:p>
            <w:pPr>
              <w:ind w:left="100"/>
              <w:spacing w:after="0"/>
              <w:rPr>
                <w:sz w:val="20"/>
                <w:szCs w:val="20"/>
                <w:color w:val="auto"/>
              </w:rPr>
            </w:pPr>
            <w:r>
              <w:rPr>
                <w:rFonts w:ascii="Arial" w:cs="Arial" w:eastAsia="Arial" w:hAnsi="Arial"/>
                <w:sz w:val="15"/>
                <w:szCs w:val="15"/>
                <w:color w:val="auto"/>
              </w:rPr>
              <w:t>Intangible asset impairment</w:t>
            </w:r>
          </w:p>
        </w:tc>
        <w:tc>
          <w:tcPr>
            <w:tcW w:w="1100" w:type="dxa"/>
            <w:vAlign w:val="bottom"/>
          </w:tcPr>
          <w:p>
            <w:pPr>
              <w:spacing w:after="0"/>
              <w:rPr>
                <w:sz w:val="15"/>
                <w:szCs w:val="15"/>
                <w:color w:val="auto"/>
              </w:rPr>
            </w:pPr>
          </w:p>
        </w:tc>
        <w:tc>
          <w:tcPr>
            <w:tcW w:w="620" w:type="dxa"/>
            <w:vAlign w:val="bottom"/>
          </w:tcPr>
          <w:p>
            <w:pPr>
              <w:jc w:val="right"/>
              <w:ind w:right="6"/>
              <w:spacing w:after="0"/>
              <w:rPr>
                <w:sz w:val="20"/>
                <w:szCs w:val="20"/>
                <w:color w:val="auto"/>
              </w:rPr>
            </w:pPr>
            <w:r>
              <w:rPr>
                <w:rFonts w:ascii="Arial" w:cs="Arial" w:eastAsia="Arial" w:hAnsi="Arial"/>
                <w:sz w:val="15"/>
                <w:szCs w:val="15"/>
                <w:color w:val="auto"/>
              </w:rPr>
              <w:t>1.96</w:t>
            </w:r>
          </w:p>
        </w:tc>
        <w:tc>
          <w:tcPr>
            <w:tcW w:w="30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0.34</w:t>
            </w:r>
          </w:p>
        </w:tc>
        <w:tc>
          <w:tcPr>
            <w:tcW w:w="320" w:type="dxa"/>
            <w:vAlign w:val="bottom"/>
          </w:tcPr>
          <w:p>
            <w:pPr>
              <w:spacing w:after="0"/>
              <w:rPr>
                <w:sz w:val="15"/>
                <w:szCs w:val="15"/>
                <w:color w:val="auto"/>
              </w:rPr>
            </w:pPr>
          </w:p>
        </w:tc>
        <w:tc>
          <w:tcPr>
            <w:tcW w:w="6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4720" w:type="dxa"/>
            <w:vAlign w:val="bottom"/>
            <w:gridSpan w:val="2"/>
            <w:shd w:val="clear" w:color="auto" w:fill="E7E7E7"/>
          </w:tcPr>
          <w:p>
            <w:pPr>
              <w:ind w:left="100"/>
              <w:spacing w:after="0"/>
              <w:rPr>
                <w:sz w:val="20"/>
                <w:szCs w:val="20"/>
                <w:color w:val="auto"/>
              </w:rPr>
            </w:pPr>
            <w:r>
              <w:rPr>
                <w:rFonts w:ascii="Arial" w:cs="Arial" w:eastAsia="Arial" w:hAnsi="Arial"/>
                <w:sz w:val="15"/>
                <w:szCs w:val="15"/>
                <w:color w:val="auto"/>
              </w:rPr>
              <w:t>Impacts related to tax law changes and audit settlements</w:t>
            </w:r>
          </w:p>
        </w:tc>
        <w:tc>
          <w:tcPr>
            <w:tcW w:w="1100" w:type="dxa"/>
            <w:vAlign w:val="bottom"/>
            <w:shd w:val="clear" w:color="auto" w:fill="E7E7E7"/>
          </w:tcPr>
          <w:p>
            <w:pPr>
              <w:spacing w:after="0"/>
              <w:rPr>
                <w:sz w:val="15"/>
                <w:szCs w:val="15"/>
                <w:color w:val="auto"/>
              </w:rPr>
            </w:pPr>
          </w:p>
        </w:tc>
        <w:tc>
          <w:tcPr>
            <w:tcW w:w="620" w:type="dxa"/>
            <w:vAlign w:val="bottom"/>
            <w:shd w:val="clear" w:color="auto" w:fill="E7E7E7"/>
          </w:tcPr>
          <w:p>
            <w:pPr>
              <w:jc w:val="right"/>
              <w:ind w:right="6"/>
              <w:spacing w:after="0"/>
              <w:rPr>
                <w:sz w:val="20"/>
                <w:szCs w:val="20"/>
                <w:color w:val="auto"/>
              </w:rPr>
            </w:pPr>
            <w:r>
              <w:rPr>
                <w:rFonts w:ascii="Arial" w:cs="Arial" w:eastAsia="Arial" w:hAnsi="Arial"/>
                <w:sz w:val="15"/>
                <w:szCs w:val="15"/>
                <w:color w:val="auto"/>
              </w:rPr>
              <w:t>—</w:t>
            </w:r>
          </w:p>
        </w:tc>
        <w:tc>
          <w:tcPr>
            <w:tcW w:w="300" w:type="dxa"/>
            <w:vAlign w:val="bottom"/>
            <w:shd w:val="clear" w:color="auto" w:fill="E7E7E7"/>
          </w:tcPr>
          <w:p>
            <w:pPr>
              <w:spacing w:after="0"/>
              <w:rPr>
                <w:sz w:val="15"/>
                <w:szCs w:val="15"/>
                <w:color w:val="auto"/>
              </w:rPr>
            </w:pPr>
          </w:p>
        </w:tc>
        <w:tc>
          <w:tcPr>
            <w:tcW w:w="6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(0.18)</w:t>
            </w:r>
          </w:p>
        </w:tc>
        <w:tc>
          <w:tcPr>
            <w:tcW w:w="320" w:type="dxa"/>
            <w:vAlign w:val="bottom"/>
            <w:shd w:val="clear" w:color="auto" w:fill="E7E7E7"/>
          </w:tcPr>
          <w:p>
            <w:pPr>
              <w:spacing w:after="0"/>
              <w:rPr>
                <w:sz w:val="15"/>
                <w:szCs w:val="15"/>
                <w:color w:val="auto"/>
              </w:rPr>
            </w:pPr>
          </w:p>
        </w:tc>
        <w:tc>
          <w:tcPr>
            <w:tcW w:w="6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(0.15)</w:t>
            </w:r>
          </w:p>
        </w:tc>
        <w:tc>
          <w:tcPr>
            <w:tcW w:w="320" w:type="dxa"/>
            <w:vAlign w:val="bottom"/>
            <w:shd w:val="clear" w:color="auto" w:fill="E7E7E7"/>
          </w:tcPr>
          <w:p>
            <w:pPr>
              <w:spacing w:after="0"/>
              <w:rPr>
                <w:sz w:val="15"/>
                <w:szCs w:val="15"/>
                <w:color w:val="auto"/>
              </w:rPr>
            </w:pPr>
          </w:p>
        </w:tc>
        <w:tc>
          <w:tcPr>
            <w:tcW w:w="6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(1.14)</w:t>
            </w:r>
          </w:p>
        </w:tc>
      </w:tr>
      <w:tr>
        <w:trPr>
          <w:trHeight w:val="175"/>
        </w:trPr>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w:t>
            </w:r>
          </w:p>
        </w:tc>
        <w:tc>
          <w:tcPr>
            <w:tcW w:w="4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0.01</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0.33</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0.17</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0.07</w:t>
            </w:r>
          </w:p>
        </w:tc>
      </w:tr>
      <w:tr>
        <w:trPr>
          <w:trHeight w:val="180"/>
        </w:trPr>
        <w:tc>
          <w:tcPr>
            <w:tcW w:w="4720" w:type="dxa"/>
            <w:vAlign w:val="bottom"/>
            <w:tcBorders>
              <w:bottom w:val="single" w:sz="8" w:color="auto"/>
            </w:tcBorders>
            <w:gridSpan w:val="2"/>
            <w:shd w:val="clear" w:color="auto" w:fill="E7E7E7"/>
          </w:tcPr>
          <w:p>
            <w:pPr>
              <w:spacing w:after="0" w:line="173" w:lineRule="exact"/>
              <w:rPr>
                <w:sz w:val="20"/>
                <w:szCs w:val="20"/>
                <w:color w:val="auto"/>
              </w:rPr>
            </w:pPr>
            <w:r>
              <w:rPr>
                <w:rFonts w:ascii="Arial" w:cs="Arial" w:eastAsia="Arial" w:hAnsi="Arial"/>
                <w:sz w:val="15"/>
                <w:szCs w:val="15"/>
                <w:b w:val="1"/>
                <w:bCs w:val="1"/>
                <w:color w:val="auto"/>
              </w:rPr>
              <w:t>As adjusted (non</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GAAP)</w:t>
            </w:r>
          </w:p>
        </w:tc>
        <w:tc>
          <w:tcPr>
            <w:tcW w:w="1100" w:type="dxa"/>
            <w:vAlign w:val="bottom"/>
            <w:tcBorders>
              <w:bottom w:val="single" w:sz="8" w:color="auto"/>
            </w:tcBorders>
            <w:shd w:val="clear" w:color="auto" w:fill="E7E7E7"/>
          </w:tcPr>
          <w:p>
            <w:pPr>
              <w:jc w:val="right"/>
              <w:ind w:right="105"/>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E7E7E7"/>
          </w:tcPr>
          <w:p>
            <w:pPr>
              <w:jc w:val="right"/>
              <w:ind w:right="6"/>
              <w:spacing w:after="0"/>
              <w:rPr>
                <w:sz w:val="20"/>
                <w:szCs w:val="20"/>
                <w:color w:val="auto"/>
              </w:rPr>
            </w:pPr>
            <w:r>
              <w:rPr>
                <w:rFonts w:ascii="Arial" w:cs="Arial" w:eastAsia="Arial" w:hAnsi="Arial"/>
                <w:sz w:val="15"/>
                <w:szCs w:val="15"/>
                <w:color w:val="auto"/>
              </w:rPr>
              <w:t>11.11</w:t>
            </w:r>
          </w:p>
        </w:tc>
        <w:tc>
          <w:tcPr>
            <w:tcW w:w="300" w:type="dxa"/>
            <w:vAlign w:val="bottom"/>
            <w:tcBorders>
              <w:bottom w:val="single" w:sz="8" w:color="auto"/>
            </w:tcBorders>
            <w:shd w:val="clear" w:color="auto" w:fill="E7E7E7"/>
          </w:tcPr>
          <w:p>
            <w:pPr>
              <w:jc w:val="right"/>
              <w:ind w:right="8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E7E7E7"/>
          </w:tcPr>
          <w:p>
            <w:pPr>
              <w:jc w:val="right"/>
              <w:ind w:right="26"/>
              <w:spacing w:after="0"/>
              <w:rPr>
                <w:sz w:val="20"/>
                <w:szCs w:val="20"/>
                <w:color w:val="auto"/>
              </w:rPr>
            </w:pPr>
            <w:r>
              <w:rPr>
                <w:rFonts w:ascii="Arial" w:cs="Arial" w:eastAsia="Arial" w:hAnsi="Arial"/>
                <w:sz w:val="15"/>
                <w:szCs w:val="15"/>
                <w:color w:val="auto"/>
              </w:rPr>
              <w:t>13.77</w:t>
            </w:r>
          </w:p>
        </w:tc>
        <w:tc>
          <w:tcPr>
            <w:tcW w:w="320" w:type="dxa"/>
            <w:vAlign w:val="bottom"/>
            <w:tcBorders>
              <w:bottom w:val="single" w:sz="8" w:color="auto"/>
            </w:tcBorders>
            <w:shd w:val="clear" w:color="auto" w:fill="E7E7E7"/>
          </w:tcPr>
          <w:p>
            <w:pPr>
              <w:jc w:val="right"/>
              <w:ind w:right="105"/>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E7E7E7"/>
          </w:tcPr>
          <w:p>
            <w:pPr>
              <w:jc w:val="right"/>
              <w:ind w:right="26"/>
              <w:spacing w:after="0"/>
              <w:rPr>
                <w:sz w:val="20"/>
                <w:szCs w:val="20"/>
                <w:color w:val="auto"/>
              </w:rPr>
            </w:pPr>
            <w:r>
              <w:rPr>
                <w:rFonts w:ascii="Arial" w:cs="Arial" w:eastAsia="Arial" w:hAnsi="Arial"/>
                <w:sz w:val="15"/>
                <w:szCs w:val="15"/>
                <w:color w:val="auto"/>
              </w:rPr>
              <w:t>11.83</w:t>
            </w:r>
          </w:p>
        </w:tc>
        <w:tc>
          <w:tcPr>
            <w:tcW w:w="320" w:type="dxa"/>
            <w:vAlign w:val="bottom"/>
            <w:tcBorders>
              <w:bottom w:val="single" w:sz="8" w:color="auto"/>
            </w:tcBorders>
            <w:shd w:val="clear" w:color="auto" w:fill="E7E7E7"/>
          </w:tcPr>
          <w:p>
            <w:pPr>
              <w:jc w:val="right"/>
              <w:ind w:right="125"/>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9.76</w:t>
            </w:r>
          </w:p>
        </w:tc>
      </w:tr>
    </w:tbl>
    <w:p>
      <w:pPr>
        <w:spacing w:after="0" w:line="359" w:lineRule="exact"/>
        <w:rPr>
          <w:sz w:val="20"/>
          <w:szCs w:val="20"/>
          <w:color w:val="auto"/>
        </w:rPr>
      </w:pPr>
    </w:p>
    <w:p>
      <w:pPr>
        <w:ind w:left="620" w:hanging="608"/>
        <w:spacing w:after="0"/>
        <w:tabs>
          <w:tab w:leader="none" w:pos="6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R&amp;D Expense since 2013 Inception</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2023</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2022</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2021</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2020</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2019</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2018</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2017</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2016</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2015</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454968"/>
              </w:rPr>
              <w:t>2014</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2013</w:t>
            </w:r>
          </w:p>
        </w:tc>
        <w:tc>
          <w:tcPr>
            <w:tcW w:w="20" w:type="dxa"/>
            <w:vAlign w:val="bottom"/>
          </w:tcPr>
          <w:p>
            <w:pPr>
              <w:spacing w:after="0"/>
              <w:rPr>
                <w:sz w:val="13"/>
                <w:szCs w:val="13"/>
                <w:color w:val="auto"/>
              </w:rPr>
            </w:pPr>
          </w:p>
        </w:tc>
      </w:tr>
      <w:tr>
        <w:trPr>
          <w:trHeight w:val="155"/>
        </w:trPr>
        <w:tc>
          <w:tcPr>
            <w:tcW w:w="1340" w:type="dxa"/>
            <w:vAlign w:val="bottom"/>
            <w:shd w:val="clear" w:color="auto" w:fill="E7E7E7"/>
          </w:tcPr>
          <w:p>
            <w:pPr>
              <w:ind w:left="20"/>
              <w:spacing w:after="0" w:line="156" w:lineRule="exact"/>
              <w:rPr>
                <w:sz w:val="20"/>
                <w:szCs w:val="20"/>
                <w:color w:val="auto"/>
              </w:rPr>
            </w:pPr>
            <w:r>
              <w:rPr>
                <w:rFonts w:ascii="Arial" w:cs="Arial" w:eastAsia="Arial" w:hAnsi="Arial"/>
                <w:sz w:val="15"/>
                <w:szCs w:val="15"/>
                <w:b w:val="1"/>
                <w:bCs w:val="1"/>
                <w:color w:val="auto"/>
              </w:rPr>
              <w:t>As reported</w:t>
            </w:r>
          </w:p>
        </w:tc>
        <w:tc>
          <w:tcPr>
            <w:tcW w:w="42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0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560" w:type="dxa"/>
            <w:vAlign w:val="bottom"/>
            <w:shd w:val="clear" w:color="auto" w:fill="E7E7E7"/>
          </w:tcPr>
          <w:p>
            <w:pPr>
              <w:spacing w:after="0"/>
              <w:rPr>
                <w:sz w:val="13"/>
                <w:szCs w:val="13"/>
                <w:color w:val="auto"/>
              </w:rPr>
            </w:pPr>
          </w:p>
        </w:tc>
        <w:tc>
          <w:tcPr>
            <w:tcW w:w="140" w:type="dxa"/>
            <w:vAlign w:val="bottom"/>
            <w:shd w:val="clear" w:color="auto" w:fill="E7E7E7"/>
          </w:tcPr>
          <w:p>
            <w:pPr>
              <w:spacing w:after="0"/>
              <w:rPr>
                <w:sz w:val="13"/>
                <w:szCs w:val="13"/>
                <w:color w:val="auto"/>
              </w:rPr>
            </w:pPr>
          </w:p>
        </w:tc>
        <w:tc>
          <w:tcPr>
            <w:tcW w:w="58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2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00" w:type="dxa"/>
            <w:vAlign w:val="bottom"/>
            <w:shd w:val="clear" w:color="auto" w:fill="E7E7E7"/>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1340" w:type="dxa"/>
            <w:vAlign w:val="bottom"/>
            <w:shd w:val="clear" w:color="auto" w:fill="E7E7E7"/>
          </w:tcPr>
          <w:p>
            <w:pPr>
              <w:ind w:left="20"/>
              <w:spacing w:after="0"/>
              <w:rPr>
                <w:sz w:val="20"/>
                <w:szCs w:val="20"/>
                <w:color w:val="auto"/>
              </w:rPr>
            </w:pPr>
            <w:r>
              <w:rPr>
                <w:rFonts w:ascii="Arial" w:cs="Arial" w:eastAsia="Arial" w:hAnsi="Arial"/>
                <w:sz w:val="15"/>
                <w:szCs w:val="15"/>
                <w:b w:val="1"/>
                <w:bCs w:val="1"/>
                <w:color w:val="auto"/>
              </w:rPr>
              <w:t>(GAAP)</w:t>
            </w:r>
          </w:p>
        </w:tc>
        <w:tc>
          <w:tcPr>
            <w:tcW w:w="4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7,675</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6,510</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6,922</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6,379</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6,302</w:t>
            </w:r>
          </w:p>
        </w:tc>
        <w:tc>
          <w:tcPr>
            <w:tcW w:w="140" w:type="dxa"/>
            <w:vAlign w:val="bottom"/>
            <w:shd w:val="clear" w:color="auto" w:fill="E7E7E7"/>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10,192</w:t>
            </w:r>
          </w:p>
        </w:tc>
        <w:tc>
          <w:tcPr>
            <w:tcW w:w="1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4,864</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4,305</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4,155</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E7E7E7"/>
          </w:tcPr>
          <w:p>
            <w:pPr>
              <w:jc w:val="right"/>
              <w:ind w:right="7"/>
              <w:spacing w:after="0"/>
              <w:rPr>
                <w:sz w:val="20"/>
                <w:szCs w:val="20"/>
                <w:color w:val="auto"/>
              </w:rPr>
            </w:pPr>
            <w:r>
              <w:rPr>
                <w:rFonts w:ascii="Arial" w:cs="Arial" w:eastAsia="Arial" w:hAnsi="Arial"/>
                <w:sz w:val="15"/>
                <w:szCs w:val="15"/>
                <w:color w:val="auto"/>
              </w:rPr>
              <w:t>3,257</w:t>
            </w:r>
          </w:p>
        </w:tc>
        <w:tc>
          <w:tcPr>
            <w:tcW w:w="180" w:type="dxa"/>
            <w:vAlign w:val="bottom"/>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2,855</w:t>
            </w:r>
          </w:p>
        </w:tc>
        <w:tc>
          <w:tcPr>
            <w:tcW w:w="20" w:type="dxa"/>
            <w:vAlign w:val="bottom"/>
          </w:tcPr>
          <w:p>
            <w:pPr>
              <w:spacing w:after="0"/>
              <w:rPr>
                <w:sz w:val="16"/>
                <w:szCs w:val="16"/>
                <w:color w:val="auto"/>
              </w:rPr>
            </w:pPr>
          </w:p>
        </w:tc>
      </w:tr>
      <w:tr>
        <w:trPr>
          <w:trHeight w:val="163"/>
        </w:trPr>
        <w:tc>
          <w:tcPr>
            <w:tcW w:w="1340" w:type="dxa"/>
            <w:vAlign w:val="bottom"/>
          </w:tcPr>
          <w:p>
            <w:pPr>
              <w:ind w:left="20"/>
              <w:spacing w:after="0" w:line="163" w:lineRule="exact"/>
              <w:rPr>
                <w:sz w:val="20"/>
                <w:szCs w:val="20"/>
                <w:color w:val="auto"/>
              </w:rPr>
            </w:pPr>
            <w:r>
              <w:rPr>
                <w:rFonts w:ascii="Arial" w:cs="Arial" w:eastAsia="Arial" w:hAnsi="Arial"/>
                <w:sz w:val="15"/>
                <w:szCs w:val="15"/>
                <w:color w:val="auto"/>
              </w:rPr>
              <w:t>Adjusted for</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1340" w:type="dxa"/>
            <w:vAlign w:val="bottom"/>
          </w:tcPr>
          <w:p>
            <w:pPr>
              <w:ind w:left="20"/>
              <w:spacing w:after="0"/>
              <w:rPr>
                <w:sz w:val="20"/>
                <w:szCs w:val="20"/>
                <w:color w:val="auto"/>
              </w:rPr>
            </w:pPr>
            <w:r>
              <w:rPr>
                <w:rFonts w:ascii="Arial" w:cs="Arial" w:eastAsia="Arial" w:hAnsi="Arial"/>
                <w:sz w:val="15"/>
                <w:szCs w:val="15"/>
                <w:color w:val="auto"/>
              </w:rPr>
              <w:t>specified items:</w:t>
            </w:r>
          </w:p>
        </w:tc>
        <w:tc>
          <w:tcPr>
            <w:tcW w:w="4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(646)</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(404)</w:t>
            </w: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(549)</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(1,313)</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(5,099)</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(538)</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130"/>
        </w:trPr>
        <w:tc>
          <w:tcPr>
            <w:tcW w:w="1340" w:type="dxa"/>
            <w:vAlign w:val="bottom"/>
            <w:tcBorders>
              <w:top w:val="single" w:sz="8" w:color="auto"/>
            </w:tcBorders>
            <w:shd w:val="clear" w:color="auto" w:fill="E7E7E7"/>
          </w:tcPr>
          <w:p>
            <w:pPr>
              <w:ind w:left="20"/>
              <w:spacing w:after="0" w:line="131" w:lineRule="exact"/>
              <w:rPr>
                <w:sz w:val="20"/>
                <w:szCs w:val="20"/>
                <w:color w:val="auto"/>
              </w:rPr>
            </w:pPr>
            <w:r>
              <w:rPr>
                <w:rFonts w:ascii="Arial" w:cs="Arial" w:eastAsia="Arial" w:hAnsi="Arial"/>
                <w:sz w:val="15"/>
                <w:szCs w:val="15"/>
                <w:b w:val="1"/>
                <w:bCs w:val="1"/>
                <w:color w:val="auto"/>
              </w:rPr>
              <w:t>As adjusted</w:t>
            </w:r>
          </w:p>
        </w:tc>
        <w:tc>
          <w:tcPr>
            <w:tcW w:w="42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6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00" w:type="dxa"/>
            <w:vAlign w:val="bottom"/>
            <w:tcBorders>
              <w:top w:val="single" w:sz="8" w:color="auto"/>
            </w:tcBorders>
            <w:shd w:val="clear" w:color="auto" w:fill="E7E7E7"/>
          </w:tcPr>
          <w:p>
            <w:pPr>
              <w:spacing w:after="0"/>
              <w:rPr>
                <w:sz w:val="11"/>
                <w:szCs w:val="11"/>
                <w:color w:val="auto"/>
              </w:rPr>
            </w:pPr>
          </w:p>
        </w:tc>
        <w:tc>
          <w:tcPr>
            <w:tcW w:w="160" w:type="dxa"/>
            <w:vAlign w:val="bottom"/>
            <w:tcBorders>
              <w:top w:val="single" w:sz="8" w:color="auto"/>
            </w:tcBorders>
            <w:shd w:val="clear" w:color="auto" w:fill="E7E7E7"/>
          </w:tcPr>
          <w:p>
            <w:pPr>
              <w:spacing w:after="0"/>
              <w:rPr>
                <w:sz w:val="11"/>
                <w:szCs w:val="11"/>
                <w:color w:val="auto"/>
              </w:rPr>
            </w:pPr>
          </w:p>
        </w:tc>
        <w:tc>
          <w:tcPr>
            <w:tcW w:w="560" w:type="dxa"/>
            <w:vAlign w:val="bottom"/>
            <w:tcBorders>
              <w:top w:val="single" w:sz="8" w:color="auto"/>
            </w:tcBorders>
            <w:shd w:val="clear" w:color="auto" w:fill="E7E7E7"/>
          </w:tcPr>
          <w:p>
            <w:pPr>
              <w:spacing w:after="0"/>
              <w:rPr>
                <w:sz w:val="11"/>
                <w:szCs w:val="11"/>
                <w:color w:val="auto"/>
              </w:rPr>
            </w:pPr>
          </w:p>
        </w:tc>
        <w:tc>
          <w:tcPr>
            <w:tcW w:w="140" w:type="dxa"/>
            <w:vAlign w:val="bottom"/>
            <w:tcBorders>
              <w:top w:val="single" w:sz="8" w:color="auto"/>
            </w:tcBorders>
            <w:shd w:val="clear" w:color="auto" w:fill="E7E7E7"/>
          </w:tcPr>
          <w:p>
            <w:pPr>
              <w:spacing w:after="0"/>
              <w:rPr>
                <w:sz w:val="11"/>
                <w:szCs w:val="11"/>
                <w:color w:val="auto"/>
              </w:rPr>
            </w:pPr>
          </w:p>
        </w:tc>
        <w:tc>
          <w:tcPr>
            <w:tcW w:w="58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20" w:type="dxa"/>
            <w:vAlign w:val="bottom"/>
            <w:tcBorders>
              <w:top w:val="single" w:sz="8" w:color="auto"/>
            </w:tcBorders>
            <w:shd w:val="clear" w:color="auto" w:fill="E7E7E7"/>
          </w:tcPr>
          <w:p>
            <w:pPr>
              <w:spacing w:after="0"/>
              <w:rPr>
                <w:sz w:val="11"/>
                <w:szCs w:val="11"/>
                <w:color w:val="auto"/>
              </w:rPr>
            </w:pPr>
          </w:p>
        </w:tc>
        <w:tc>
          <w:tcPr>
            <w:tcW w:w="180" w:type="dxa"/>
            <w:vAlign w:val="bottom"/>
            <w:tcBorders>
              <w:top w:val="single" w:sz="8" w:color="auto"/>
            </w:tcBorders>
            <w:shd w:val="clear" w:color="auto" w:fill="E7E7E7"/>
          </w:tcPr>
          <w:p>
            <w:pPr>
              <w:spacing w:after="0"/>
              <w:rPr>
                <w:sz w:val="11"/>
                <w:szCs w:val="11"/>
                <w:color w:val="auto"/>
              </w:rPr>
            </w:pPr>
          </w:p>
        </w:tc>
        <w:tc>
          <w:tcPr>
            <w:tcW w:w="500" w:type="dxa"/>
            <w:vAlign w:val="bottom"/>
            <w:tcBorders>
              <w:top w:val="single" w:sz="8" w:color="auto"/>
            </w:tcBorders>
            <w:shd w:val="clear" w:color="auto" w:fill="E7E7E7"/>
          </w:tcPr>
          <w:p>
            <w:pPr>
              <w:spacing w:after="0"/>
              <w:rPr>
                <w:sz w:val="11"/>
                <w:szCs w:val="11"/>
                <w:color w:val="auto"/>
              </w:rPr>
            </w:pPr>
          </w:p>
        </w:tc>
        <w:tc>
          <w:tcPr>
            <w:tcW w:w="20" w:type="dxa"/>
            <w:vAlign w:val="bottom"/>
          </w:tcPr>
          <w:p>
            <w:pPr>
              <w:spacing w:after="0"/>
              <w:rPr>
                <w:sz w:val="11"/>
                <w:szCs w:val="11"/>
                <w:color w:val="auto"/>
              </w:rPr>
            </w:pPr>
          </w:p>
        </w:tc>
      </w:tr>
      <w:tr>
        <w:trPr>
          <w:trHeight w:val="225"/>
        </w:trPr>
        <w:tc>
          <w:tcPr>
            <w:tcW w:w="1340" w:type="dxa"/>
            <w:vAlign w:val="bottom"/>
            <w:tcBorders>
              <w:bottom w:val="single" w:sz="8" w:color="auto"/>
            </w:tcBorders>
            <w:shd w:val="clear" w:color="auto" w:fill="E7E7E7"/>
          </w:tcPr>
          <w:p>
            <w:pPr>
              <w:ind w:left="20"/>
              <w:spacing w:after="0" w:line="173" w:lineRule="exact"/>
              <w:rPr>
                <w:sz w:val="20"/>
                <w:szCs w:val="20"/>
                <w:color w:val="auto"/>
              </w:rPr>
            </w:pPr>
            <w:r>
              <w:rPr>
                <w:rFonts w:ascii="Arial" w:cs="Arial" w:eastAsia="Arial" w:hAnsi="Arial"/>
                <w:sz w:val="15"/>
                <w:szCs w:val="15"/>
                <w:b w:val="1"/>
                <w:bCs w:val="1"/>
                <w:color w:val="auto"/>
              </w:rPr>
              <w:t>(non</w:t>
            </w:r>
            <w:r>
              <w:rPr>
                <w:rFonts w:ascii="MS PGothic" w:cs="MS PGothic" w:eastAsia="MS PGothic" w:hAnsi="MS PGothic"/>
                <w:sz w:val="15"/>
                <w:szCs w:val="15"/>
                <w:color w:val="auto"/>
                <w:strike w:val="1"/>
              </w:rPr>
              <w:t>‑</w:t>
            </w:r>
            <w:r>
              <w:rPr>
                <w:rFonts w:ascii="Arial" w:cs="Arial" w:eastAsia="Arial" w:hAnsi="Arial"/>
                <w:sz w:val="15"/>
                <w:szCs w:val="15"/>
                <w:b w:val="1"/>
                <w:bCs w:val="1"/>
                <w:color w:val="auto"/>
              </w:rPr>
              <w:t>GAAP)</w:t>
            </w:r>
          </w:p>
        </w:tc>
        <w:tc>
          <w:tcPr>
            <w:tcW w:w="4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7,029</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6,435</w:t>
            </w:r>
          </w:p>
        </w:tc>
        <w:tc>
          <w:tcPr>
            <w:tcW w:w="1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6,518</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5,830</w:t>
            </w:r>
          </w:p>
        </w:tc>
        <w:tc>
          <w:tcPr>
            <w:tcW w:w="1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4,989</w:t>
            </w:r>
          </w:p>
        </w:tc>
        <w:tc>
          <w:tcPr>
            <w:tcW w:w="1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5,093</w:t>
            </w:r>
          </w:p>
        </w:tc>
        <w:tc>
          <w:tcPr>
            <w:tcW w:w="1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4,854</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4,171</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3,617</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E7E7E7"/>
          </w:tcPr>
          <w:p>
            <w:pPr>
              <w:jc w:val="right"/>
              <w:ind w:right="7"/>
              <w:spacing w:after="0"/>
              <w:rPr>
                <w:sz w:val="20"/>
                <w:szCs w:val="20"/>
                <w:color w:val="auto"/>
              </w:rPr>
            </w:pPr>
            <w:r>
              <w:rPr>
                <w:rFonts w:ascii="Arial" w:cs="Arial" w:eastAsia="Arial" w:hAnsi="Arial"/>
                <w:sz w:val="15"/>
                <w:szCs w:val="15"/>
                <w:color w:val="auto"/>
              </w:rPr>
              <w:t>3,252</w:t>
            </w:r>
          </w:p>
        </w:tc>
        <w:tc>
          <w:tcPr>
            <w:tcW w:w="180" w:type="dxa"/>
            <w:vAlign w:val="bottom"/>
            <w:tcBorders>
              <w:bottom w:val="single" w:sz="8" w:color="auto"/>
            </w:tcBorders>
            <w:shd w:val="clear" w:color="auto" w:fill="E7E7E7"/>
          </w:tcPr>
          <w:p>
            <w:pPr>
              <w:jc w:val="right"/>
              <w:ind w:right="5"/>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2,831</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160" w:type="dxa"/>
            <w:vAlign w:val="bottom"/>
          </w:tcPr>
          <w:p>
            <w:pPr>
              <w:ind w:left="538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120" w:type="dxa"/>
            <w:vAlign w:val="bottom"/>
          </w:tcPr>
          <w:p>
            <w:pPr>
              <w:ind w:left="860"/>
              <w:spacing w:after="0"/>
              <w:rPr>
                <w:sz w:val="20"/>
                <w:szCs w:val="20"/>
                <w:color w:val="auto"/>
              </w:rPr>
            </w:pPr>
            <w:r>
              <w:rPr>
                <w:rFonts w:ascii="Arial" w:cs="Arial" w:eastAsia="Arial" w:hAnsi="Arial"/>
                <w:sz w:val="17"/>
                <w:szCs w:val="17"/>
                <w:color w:val="auto"/>
                <w:w w:val="90"/>
              </w:rPr>
              <w:t>B-1</w:t>
            </w:r>
          </w:p>
        </w:tc>
      </w:tr>
      <w:tr>
        <w:trPr>
          <w:trHeight w:val="501"/>
        </w:trPr>
        <w:tc>
          <w:tcPr>
            <w:tcW w:w="8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-508000</wp:posOffset>
            </wp:positionV>
            <wp:extent cx="810260" cy="1511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100" w:name="page101"/>
    <w:bookmarkEnd w:id="100"/>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ind w:left="620" w:hanging="608"/>
        <w:spacing w:after="0"/>
        <w:tabs>
          <w:tab w:leader="none" w:pos="6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Adjusted R&amp;D Investment since 2013 Inception</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2023</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2022</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2021</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2020</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2019</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2018</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2017</w:t>
            </w: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2016</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2015</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2014</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2013</w:t>
            </w: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454968"/>
              </w:rPr>
              <w:t>Total</w:t>
            </w:r>
          </w:p>
        </w:tc>
      </w:tr>
      <w:tr>
        <w:trPr>
          <w:trHeight w:val="155"/>
        </w:trPr>
        <w:tc>
          <w:tcPr>
            <w:tcW w:w="1740" w:type="dxa"/>
            <w:vAlign w:val="bottom"/>
            <w:shd w:val="clear" w:color="auto" w:fill="E7E7E7"/>
          </w:tcPr>
          <w:p>
            <w:pPr>
              <w:ind w:left="20"/>
              <w:spacing w:after="0" w:line="156" w:lineRule="exact"/>
              <w:rPr>
                <w:sz w:val="20"/>
                <w:szCs w:val="20"/>
                <w:color w:val="auto"/>
              </w:rPr>
            </w:pPr>
            <w:r>
              <w:rPr>
                <w:rFonts w:ascii="Arial" w:cs="Arial" w:eastAsia="Arial" w:hAnsi="Arial"/>
                <w:sz w:val="15"/>
                <w:szCs w:val="15"/>
                <w:b w:val="1"/>
                <w:bCs w:val="1"/>
                <w:color w:val="auto"/>
              </w:rPr>
              <w:t>R&amp;D Expense as</w:t>
            </w:r>
          </w:p>
        </w:tc>
        <w:tc>
          <w:tcPr>
            <w:tcW w:w="28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6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40" w:type="dxa"/>
            <w:vAlign w:val="bottom"/>
            <w:shd w:val="clear" w:color="auto" w:fill="E7E7E7"/>
          </w:tcPr>
          <w:p>
            <w:pPr>
              <w:spacing w:after="0"/>
              <w:rPr>
                <w:sz w:val="13"/>
                <w:szCs w:val="13"/>
                <w:color w:val="auto"/>
              </w:rPr>
            </w:pPr>
          </w:p>
        </w:tc>
        <w:tc>
          <w:tcPr>
            <w:tcW w:w="160" w:type="dxa"/>
            <w:vAlign w:val="bottom"/>
            <w:shd w:val="clear" w:color="auto" w:fill="E7E7E7"/>
          </w:tcPr>
          <w:p>
            <w:pPr>
              <w:spacing w:after="0"/>
              <w:rPr>
                <w:sz w:val="13"/>
                <w:szCs w:val="13"/>
                <w:color w:val="auto"/>
              </w:rPr>
            </w:pPr>
          </w:p>
        </w:tc>
        <w:tc>
          <w:tcPr>
            <w:tcW w:w="460" w:type="dxa"/>
            <w:vAlign w:val="bottom"/>
            <w:shd w:val="clear" w:color="auto" w:fill="E7E7E7"/>
          </w:tcPr>
          <w:p>
            <w:pPr>
              <w:spacing w:after="0"/>
              <w:rPr>
                <w:sz w:val="13"/>
                <w:szCs w:val="13"/>
                <w:color w:val="auto"/>
              </w:rPr>
            </w:pPr>
          </w:p>
        </w:tc>
        <w:tc>
          <w:tcPr>
            <w:tcW w:w="180" w:type="dxa"/>
            <w:vAlign w:val="bottom"/>
            <w:shd w:val="clear" w:color="auto" w:fill="E7E7E7"/>
          </w:tcPr>
          <w:p>
            <w:pPr>
              <w:spacing w:after="0"/>
              <w:rPr>
                <w:sz w:val="13"/>
                <w:szCs w:val="13"/>
                <w:color w:val="auto"/>
              </w:rPr>
            </w:pPr>
          </w:p>
        </w:tc>
        <w:tc>
          <w:tcPr>
            <w:tcW w:w="560" w:type="dxa"/>
            <w:vAlign w:val="bottom"/>
            <w:shd w:val="clear" w:color="auto" w:fill="E7E7E7"/>
          </w:tcPr>
          <w:p>
            <w:pPr>
              <w:spacing w:after="0"/>
              <w:rPr>
                <w:sz w:val="13"/>
                <w:szCs w:val="13"/>
                <w:color w:val="auto"/>
              </w:rPr>
            </w:pPr>
          </w:p>
        </w:tc>
      </w:tr>
      <w:tr>
        <w:trPr>
          <w:trHeight w:val="187"/>
        </w:trPr>
        <w:tc>
          <w:tcPr>
            <w:tcW w:w="1740" w:type="dxa"/>
            <w:vAlign w:val="bottom"/>
            <w:shd w:val="clear" w:color="auto" w:fill="E7E7E7"/>
          </w:tcPr>
          <w:p>
            <w:pPr>
              <w:ind w:left="20"/>
              <w:spacing w:after="0"/>
              <w:rPr>
                <w:sz w:val="20"/>
                <w:szCs w:val="20"/>
                <w:color w:val="auto"/>
              </w:rPr>
            </w:pPr>
            <w:r>
              <w:rPr>
                <w:rFonts w:ascii="Arial" w:cs="Arial" w:eastAsia="Arial" w:hAnsi="Arial"/>
                <w:sz w:val="15"/>
                <w:szCs w:val="15"/>
                <w:b w:val="1"/>
                <w:bCs w:val="1"/>
                <w:color w:val="auto"/>
              </w:rPr>
              <w:t>adjusted (non-GAAP)</w:t>
            </w:r>
          </w:p>
        </w:tc>
        <w:tc>
          <w:tcPr>
            <w:tcW w:w="2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7,029</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6,435</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6,518</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5,830</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4,989</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5,093</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4,854</w:t>
            </w:r>
          </w:p>
        </w:tc>
        <w:tc>
          <w:tcPr>
            <w:tcW w:w="1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4,171</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3,617</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E7E7E7"/>
          </w:tcPr>
          <w:p>
            <w:pPr>
              <w:jc w:val="right"/>
              <w:spacing w:after="0"/>
              <w:rPr>
                <w:sz w:val="20"/>
                <w:szCs w:val="20"/>
                <w:color w:val="auto"/>
              </w:rPr>
            </w:pPr>
            <w:r>
              <w:rPr>
                <w:rFonts w:ascii="Arial" w:cs="Arial" w:eastAsia="Arial" w:hAnsi="Arial"/>
                <w:sz w:val="15"/>
                <w:szCs w:val="15"/>
                <w:color w:val="auto"/>
              </w:rPr>
              <w:t>3,252</w:t>
            </w:r>
          </w:p>
        </w:tc>
        <w:tc>
          <w:tcPr>
            <w:tcW w:w="1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2,831</w:t>
            </w:r>
          </w:p>
        </w:tc>
        <w:tc>
          <w:tcPr>
            <w:tcW w:w="1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560" w:type="dxa"/>
            <w:vAlign w:val="bottom"/>
            <w:shd w:val="clear" w:color="auto" w:fill="E7E7E7"/>
          </w:tcPr>
          <w:p>
            <w:pPr>
              <w:jc w:val="right"/>
              <w:spacing w:after="0"/>
              <w:rPr>
                <w:sz w:val="20"/>
                <w:szCs w:val="20"/>
                <w:color w:val="auto"/>
              </w:rPr>
            </w:pPr>
            <w:r>
              <w:rPr>
                <w:rFonts w:ascii="Arial" w:cs="Arial" w:eastAsia="Arial" w:hAnsi="Arial"/>
                <w:sz w:val="15"/>
                <w:szCs w:val="15"/>
                <w:color w:val="auto"/>
              </w:rPr>
              <w:t>54,619</w:t>
            </w:r>
          </w:p>
        </w:tc>
      </w:tr>
      <w:tr>
        <w:trPr>
          <w:trHeight w:val="163"/>
        </w:trPr>
        <w:tc>
          <w:tcPr>
            <w:tcW w:w="1740" w:type="dxa"/>
            <w:vAlign w:val="bottom"/>
          </w:tcPr>
          <w:p>
            <w:pPr>
              <w:ind w:left="20"/>
              <w:spacing w:after="0" w:line="163" w:lineRule="exact"/>
              <w:rPr>
                <w:sz w:val="20"/>
                <w:szCs w:val="20"/>
                <w:color w:val="auto"/>
              </w:rPr>
            </w:pPr>
            <w:r>
              <w:rPr>
                <w:rFonts w:ascii="Arial" w:cs="Arial" w:eastAsia="Arial" w:hAnsi="Arial"/>
                <w:sz w:val="15"/>
                <w:szCs w:val="15"/>
                <w:color w:val="auto"/>
              </w:rPr>
              <w:t>Acquired IPR&amp;D and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5"/>
                <w:szCs w:val="15"/>
                <w:color w:val="auto"/>
              </w:rPr>
              <w:t>milestones expense, as</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7"/>
        </w:trPr>
        <w:tc>
          <w:tcPr>
            <w:tcW w:w="1740" w:type="dxa"/>
            <w:vAlign w:val="bottom"/>
          </w:tcPr>
          <w:p>
            <w:pPr>
              <w:ind w:left="20"/>
              <w:spacing w:after="0"/>
              <w:rPr>
                <w:sz w:val="20"/>
                <w:szCs w:val="20"/>
                <w:color w:val="auto"/>
              </w:rPr>
            </w:pPr>
            <w:r>
              <w:rPr>
                <w:rFonts w:ascii="Arial" w:cs="Arial" w:eastAsia="Arial" w:hAnsi="Arial"/>
                <w:sz w:val="15"/>
                <w:szCs w:val="15"/>
                <w:color w:val="auto"/>
              </w:rPr>
              <w:t>reported (GAAP)</w:t>
            </w:r>
          </w:p>
        </w:tc>
        <w:tc>
          <w:tcPr>
            <w:tcW w:w="2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778</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697</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1,124</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1,376</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490</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561</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470</w:t>
            </w: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280</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280</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392</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338</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6,786</w:t>
            </w:r>
          </w:p>
        </w:tc>
      </w:tr>
      <w:tr>
        <w:trPr>
          <w:trHeight w:val="163"/>
        </w:trPr>
        <w:tc>
          <w:tcPr>
            <w:tcW w:w="1740" w:type="dxa"/>
            <w:vAlign w:val="bottom"/>
            <w:shd w:val="clear" w:color="auto" w:fill="E7E7E7"/>
          </w:tcPr>
          <w:p>
            <w:pPr>
              <w:ind w:left="20"/>
              <w:spacing w:after="0" w:line="163" w:lineRule="exact"/>
              <w:rPr>
                <w:sz w:val="20"/>
                <w:szCs w:val="20"/>
                <w:color w:val="auto"/>
              </w:rPr>
            </w:pPr>
            <w:r>
              <w:rPr>
                <w:rFonts w:ascii="Arial" w:cs="Arial" w:eastAsia="Arial" w:hAnsi="Arial"/>
                <w:sz w:val="15"/>
                <w:szCs w:val="15"/>
                <w:color w:val="auto"/>
              </w:rPr>
              <w:t>Calico collaboration</w:t>
            </w:r>
          </w:p>
        </w:tc>
        <w:tc>
          <w:tcPr>
            <w:tcW w:w="28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8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6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40" w:type="dxa"/>
            <w:vAlign w:val="bottom"/>
            <w:shd w:val="clear" w:color="auto" w:fill="E7E7E7"/>
          </w:tcPr>
          <w:p>
            <w:pPr>
              <w:spacing w:after="0"/>
              <w:rPr>
                <w:sz w:val="14"/>
                <w:szCs w:val="14"/>
                <w:color w:val="auto"/>
              </w:rPr>
            </w:pPr>
          </w:p>
        </w:tc>
        <w:tc>
          <w:tcPr>
            <w:tcW w:w="160" w:type="dxa"/>
            <w:vAlign w:val="bottom"/>
            <w:shd w:val="clear" w:color="auto" w:fill="E7E7E7"/>
          </w:tcPr>
          <w:p>
            <w:pPr>
              <w:spacing w:after="0"/>
              <w:rPr>
                <w:sz w:val="14"/>
                <w:szCs w:val="14"/>
                <w:color w:val="auto"/>
              </w:rPr>
            </w:pPr>
          </w:p>
        </w:tc>
        <w:tc>
          <w:tcPr>
            <w:tcW w:w="460" w:type="dxa"/>
            <w:vAlign w:val="bottom"/>
            <w:shd w:val="clear" w:color="auto" w:fill="E7E7E7"/>
          </w:tcPr>
          <w:p>
            <w:pPr>
              <w:spacing w:after="0"/>
              <w:rPr>
                <w:sz w:val="14"/>
                <w:szCs w:val="14"/>
                <w:color w:val="auto"/>
              </w:rPr>
            </w:pPr>
          </w:p>
        </w:tc>
        <w:tc>
          <w:tcPr>
            <w:tcW w:w="180" w:type="dxa"/>
            <w:vAlign w:val="bottom"/>
            <w:shd w:val="clear" w:color="auto" w:fill="E7E7E7"/>
          </w:tcPr>
          <w:p>
            <w:pPr>
              <w:spacing w:after="0"/>
              <w:rPr>
                <w:sz w:val="14"/>
                <w:szCs w:val="14"/>
                <w:color w:val="auto"/>
              </w:rPr>
            </w:pPr>
          </w:p>
        </w:tc>
        <w:tc>
          <w:tcPr>
            <w:tcW w:w="560" w:type="dxa"/>
            <w:vAlign w:val="bottom"/>
            <w:shd w:val="clear" w:color="auto" w:fill="E7E7E7"/>
          </w:tcPr>
          <w:p>
            <w:pPr>
              <w:spacing w:after="0"/>
              <w:rPr>
                <w:sz w:val="14"/>
                <w:szCs w:val="14"/>
                <w:color w:val="auto"/>
              </w:rPr>
            </w:pPr>
          </w:p>
        </w:tc>
      </w:tr>
      <w:tr>
        <w:trPr>
          <w:trHeight w:val="175"/>
        </w:trPr>
        <w:tc>
          <w:tcPr>
            <w:tcW w:w="1740" w:type="dxa"/>
            <w:vAlign w:val="bottom"/>
            <w:shd w:val="clear" w:color="auto" w:fill="E7E7E7"/>
          </w:tcPr>
          <w:p>
            <w:pPr>
              <w:ind w:left="20"/>
              <w:spacing w:after="0"/>
              <w:rPr>
                <w:sz w:val="20"/>
                <w:szCs w:val="20"/>
                <w:color w:val="auto"/>
              </w:rPr>
            </w:pPr>
            <w:r>
              <w:rPr>
                <w:rFonts w:ascii="Arial" w:cs="Arial" w:eastAsia="Arial" w:hAnsi="Arial"/>
                <w:sz w:val="15"/>
                <w:szCs w:val="15"/>
                <w:color w:val="auto"/>
              </w:rPr>
              <w:t>expense, as reported</w:t>
            </w:r>
          </w:p>
        </w:tc>
        <w:tc>
          <w:tcPr>
            <w:tcW w:w="28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6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40" w:type="dxa"/>
            <w:vAlign w:val="bottom"/>
            <w:shd w:val="clear" w:color="auto" w:fill="E7E7E7"/>
          </w:tcPr>
          <w:p>
            <w:pPr>
              <w:spacing w:after="0"/>
              <w:rPr>
                <w:sz w:val="15"/>
                <w:szCs w:val="15"/>
                <w:color w:val="auto"/>
              </w:rPr>
            </w:pPr>
          </w:p>
        </w:tc>
        <w:tc>
          <w:tcPr>
            <w:tcW w:w="160" w:type="dxa"/>
            <w:vAlign w:val="bottom"/>
            <w:shd w:val="clear" w:color="auto" w:fill="E7E7E7"/>
          </w:tcPr>
          <w:p>
            <w:pPr>
              <w:spacing w:after="0"/>
              <w:rPr>
                <w:sz w:val="15"/>
                <w:szCs w:val="15"/>
                <w:color w:val="auto"/>
              </w:rPr>
            </w:pPr>
          </w:p>
        </w:tc>
        <w:tc>
          <w:tcPr>
            <w:tcW w:w="460" w:type="dxa"/>
            <w:vAlign w:val="bottom"/>
            <w:shd w:val="clear" w:color="auto" w:fill="E7E7E7"/>
          </w:tcPr>
          <w:p>
            <w:pPr>
              <w:spacing w:after="0"/>
              <w:rPr>
                <w:sz w:val="15"/>
                <w:szCs w:val="15"/>
                <w:color w:val="auto"/>
              </w:rPr>
            </w:pPr>
          </w:p>
        </w:tc>
        <w:tc>
          <w:tcPr>
            <w:tcW w:w="180" w:type="dxa"/>
            <w:vAlign w:val="bottom"/>
            <w:shd w:val="clear" w:color="auto" w:fill="E7E7E7"/>
          </w:tcPr>
          <w:p>
            <w:pPr>
              <w:spacing w:after="0"/>
              <w:rPr>
                <w:sz w:val="15"/>
                <w:szCs w:val="15"/>
                <w:color w:val="auto"/>
              </w:rPr>
            </w:pPr>
          </w:p>
        </w:tc>
        <w:tc>
          <w:tcPr>
            <w:tcW w:w="560" w:type="dxa"/>
            <w:vAlign w:val="bottom"/>
            <w:shd w:val="clear" w:color="auto" w:fill="E7E7E7"/>
          </w:tcPr>
          <w:p>
            <w:pPr>
              <w:spacing w:after="0"/>
              <w:rPr>
                <w:sz w:val="15"/>
                <w:szCs w:val="15"/>
                <w:color w:val="auto"/>
              </w:rPr>
            </w:pPr>
          </w:p>
        </w:tc>
      </w:tr>
      <w:tr>
        <w:trPr>
          <w:trHeight w:val="187"/>
        </w:trPr>
        <w:tc>
          <w:tcPr>
            <w:tcW w:w="1740" w:type="dxa"/>
            <w:vAlign w:val="bottom"/>
            <w:tcBorders>
              <w:bottom w:val="single" w:sz="8" w:color="auto"/>
            </w:tcBorders>
            <w:shd w:val="clear" w:color="auto" w:fill="E7E7E7"/>
          </w:tcPr>
          <w:p>
            <w:pPr>
              <w:ind w:left="20"/>
              <w:spacing w:after="0"/>
              <w:rPr>
                <w:sz w:val="20"/>
                <w:szCs w:val="20"/>
                <w:color w:val="auto"/>
              </w:rPr>
            </w:pPr>
            <w:r>
              <w:rPr>
                <w:rFonts w:ascii="Arial" w:cs="Arial" w:eastAsia="Arial" w:hAnsi="Arial"/>
                <w:sz w:val="15"/>
                <w:szCs w:val="15"/>
                <w:color w:val="auto"/>
              </w:rPr>
              <w:t>(GAAP)</w:t>
            </w:r>
          </w:p>
        </w:tc>
        <w:tc>
          <w:tcPr>
            <w:tcW w:w="28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500</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500</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E7E7E7"/>
          </w:tcPr>
          <w:p>
            <w:pPr>
              <w:spacing w:after="0"/>
              <w:rPr>
                <w:sz w:val="16"/>
                <w:szCs w:val="16"/>
                <w:color w:val="auto"/>
              </w:rPr>
            </w:pPr>
          </w:p>
        </w:tc>
        <w:tc>
          <w:tcPr>
            <w:tcW w:w="44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750</w:t>
            </w:r>
          </w:p>
        </w:tc>
        <w:tc>
          <w:tcPr>
            <w:tcW w:w="160" w:type="dxa"/>
            <w:vAlign w:val="bottom"/>
            <w:tcBorders>
              <w:bottom w:val="single" w:sz="8" w:color="auto"/>
            </w:tcBorders>
            <w:shd w:val="clear" w:color="auto" w:fill="E7E7E7"/>
          </w:tcPr>
          <w:p>
            <w:pPr>
              <w:spacing w:after="0"/>
              <w:rPr>
                <w:sz w:val="16"/>
                <w:szCs w:val="16"/>
                <w:color w:val="auto"/>
              </w:rPr>
            </w:pPr>
          </w:p>
        </w:tc>
        <w:tc>
          <w:tcPr>
            <w:tcW w:w="4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E7E7E7"/>
          </w:tcPr>
          <w:p>
            <w:pPr>
              <w:spacing w:after="0"/>
              <w:rPr>
                <w:sz w:val="16"/>
                <w:szCs w:val="16"/>
                <w:color w:val="auto"/>
              </w:rPr>
            </w:pPr>
          </w:p>
        </w:tc>
        <w:tc>
          <w:tcPr>
            <w:tcW w:w="56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1,750</w:t>
            </w:r>
          </w:p>
        </w:tc>
      </w:tr>
      <w:tr>
        <w:trPr>
          <w:trHeight w:val="155"/>
        </w:trPr>
        <w:tc>
          <w:tcPr>
            <w:tcW w:w="17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Total adjusted R&amp;D</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87"/>
        </w:trPr>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6,154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63,155</w:t>
            </w:r>
          </w:p>
        </w:tc>
      </w:tr>
    </w:tbl>
    <w:p>
      <w:pPr>
        <w:spacing w:after="0" w:line="3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2023 Performance Results for Financial Goals Reconciliations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606"/>
              <w:spacing w:after="0"/>
              <w:rPr>
                <w:sz w:val="20"/>
                <w:szCs w:val="20"/>
                <w:color w:val="auto"/>
              </w:rPr>
            </w:pPr>
            <w:r>
              <w:rPr>
                <w:rFonts w:ascii="Arial" w:cs="Arial" w:eastAsia="Arial" w:hAnsi="Arial"/>
                <w:sz w:val="13"/>
                <w:szCs w:val="13"/>
                <w:b w:val="1"/>
                <w:bCs w:val="1"/>
                <w:color w:val="454968"/>
              </w:rPr>
              <w:t>Net</w:t>
            </w:r>
          </w:p>
        </w:tc>
        <w:tc>
          <w:tcPr>
            <w:tcW w:w="360" w:type="dxa"/>
            <w:vAlign w:val="bottom"/>
          </w:tcPr>
          <w:p>
            <w:pPr>
              <w:spacing w:after="0"/>
              <w:rPr>
                <w:sz w:val="13"/>
                <w:szCs w:val="13"/>
                <w:color w:val="auto"/>
              </w:rPr>
            </w:pPr>
          </w:p>
        </w:tc>
        <w:tc>
          <w:tcPr>
            <w:tcW w:w="1200" w:type="dxa"/>
            <w:vAlign w:val="bottom"/>
          </w:tcPr>
          <w:p>
            <w:pPr>
              <w:jc w:val="right"/>
              <w:ind w:right="426"/>
              <w:spacing w:after="0"/>
              <w:rPr>
                <w:sz w:val="20"/>
                <w:szCs w:val="20"/>
                <w:color w:val="auto"/>
              </w:rPr>
            </w:pPr>
            <w:r>
              <w:rPr>
                <w:rFonts w:ascii="Arial" w:cs="Arial" w:eastAsia="Arial" w:hAnsi="Arial"/>
                <w:sz w:val="13"/>
                <w:szCs w:val="13"/>
                <w:b w:val="1"/>
                <w:bCs w:val="1"/>
                <w:color w:val="454968"/>
              </w:rPr>
              <w:t>Income</w:t>
            </w:r>
          </w:p>
        </w:tc>
        <w:tc>
          <w:tcPr>
            <w:tcW w:w="260" w:type="dxa"/>
            <w:vAlign w:val="bottom"/>
          </w:tcPr>
          <w:p>
            <w:pPr>
              <w:spacing w:after="0"/>
              <w:rPr>
                <w:sz w:val="13"/>
                <w:szCs w:val="13"/>
                <w:color w:val="auto"/>
              </w:rPr>
            </w:pPr>
          </w:p>
        </w:tc>
        <w:tc>
          <w:tcPr>
            <w:tcW w:w="900" w:type="dxa"/>
            <w:vAlign w:val="bottom"/>
          </w:tcPr>
          <w:p>
            <w:pPr>
              <w:jc w:val="right"/>
              <w:ind w:right="146"/>
              <w:spacing w:after="0"/>
              <w:rPr>
                <w:sz w:val="20"/>
                <w:szCs w:val="20"/>
                <w:color w:val="auto"/>
              </w:rPr>
            </w:pPr>
            <w:r>
              <w:rPr>
                <w:rFonts w:ascii="Arial" w:cs="Arial" w:eastAsia="Arial" w:hAnsi="Arial"/>
                <w:sz w:val="13"/>
                <w:szCs w:val="13"/>
                <w:b w:val="1"/>
                <w:bCs w:val="1"/>
                <w:color w:val="454968"/>
              </w:rPr>
              <w:t>Operating</w:t>
            </w:r>
          </w:p>
        </w:tc>
        <w:tc>
          <w:tcPr>
            <w:tcW w:w="240" w:type="dxa"/>
            <w:vAlign w:val="bottom"/>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454968"/>
              </w:rPr>
              <w:t>Net</w:t>
            </w:r>
          </w:p>
        </w:tc>
      </w:tr>
      <w:tr>
        <w:trPr>
          <w:trHeight w:val="160"/>
        </w:trPr>
        <w:tc>
          <w:tcPr>
            <w:tcW w:w="3860" w:type="dxa"/>
            <w:vAlign w:val="bottom"/>
          </w:tcPr>
          <w:p>
            <w:pPr>
              <w:spacing w:after="0"/>
              <w:rPr>
                <w:sz w:val="13"/>
                <w:szCs w:val="13"/>
                <w:color w:val="auto"/>
              </w:rPr>
            </w:pPr>
          </w:p>
        </w:tc>
        <w:tc>
          <w:tcPr>
            <w:tcW w:w="1660" w:type="dxa"/>
            <w:vAlign w:val="bottom"/>
            <w:gridSpan w:val="2"/>
          </w:tcPr>
          <w:p>
            <w:pPr>
              <w:jc w:val="right"/>
              <w:ind w:right="366"/>
              <w:spacing w:after="0"/>
              <w:rPr>
                <w:sz w:val="20"/>
                <w:szCs w:val="20"/>
                <w:color w:val="auto"/>
              </w:rPr>
            </w:pPr>
            <w:r>
              <w:rPr>
                <w:rFonts w:ascii="Arial" w:cs="Arial" w:eastAsia="Arial" w:hAnsi="Arial"/>
                <w:sz w:val="13"/>
                <w:szCs w:val="13"/>
                <w:b w:val="1"/>
                <w:bCs w:val="1"/>
                <w:color w:val="454968"/>
              </w:rPr>
              <w:t>Revenues*</w:t>
            </w:r>
          </w:p>
        </w:tc>
        <w:tc>
          <w:tcPr>
            <w:tcW w:w="360" w:type="dxa"/>
            <w:vAlign w:val="bottom"/>
          </w:tcPr>
          <w:p>
            <w:pPr>
              <w:spacing w:after="0"/>
              <w:rPr>
                <w:sz w:val="13"/>
                <w:szCs w:val="13"/>
                <w:color w:val="auto"/>
              </w:rPr>
            </w:pPr>
          </w:p>
        </w:tc>
        <w:tc>
          <w:tcPr>
            <w:tcW w:w="1200" w:type="dxa"/>
            <w:vAlign w:val="bottom"/>
          </w:tcPr>
          <w:p>
            <w:pPr>
              <w:jc w:val="right"/>
              <w:ind w:right="226"/>
              <w:spacing w:after="0"/>
              <w:rPr>
                <w:sz w:val="20"/>
                <w:szCs w:val="20"/>
                <w:color w:val="auto"/>
              </w:rPr>
            </w:pPr>
            <w:r>
              <w:rPr>
                <w:rFonts w:ascii="Arial" w:cs="Arial" w:eastAsia="Arial" w:hAnsi="Arial"/>
                <w:sz w:val="13"/>
                <w:szCs w:val="13"/>
                <w:b w:val="1"/>
                <w:bCs w:val="1"/>
                <w:color w:val="454968"/>
              </w:rPr>
              <w:t>Before Taxes</w:t>
            </w:r>
          </w:p>
        </w:tc>
        <w:tc>
          <w:tcPr>
            <w:tcW w:w="260" w:type="dxa"/>
            <w:vAlign w:val="bottom"/>
          </w:tcPr>
          <w:p>
            <w:pPr>
              <w:spacing w:after="0"/>
              <w:rPr>
                <w:sz w:val="13"/>
                <w:szCs w:val="13"/>
                <w:color w:val="auto"/>
              </w:rPr>
            </w:pPr>
          </w:p>
        </w:tc>
        <w:tc>
          <w:tcPr>
            <w:tcW w:w="900" w:type="dxa"/>
            <w:vAlign w:val="bottom"/>
          </w:tcPr>
          <w:p>
            <w:pPr>
              <w:jc w:val="right"/>
              <w:ind w:right="246"/>
              <w:spacing w:after="0"/>
              <w:rPr>
                <w:sz w:val="20"/>
                <w:szCs w:val="20"/>
                <w:color w:val="auto"/>
              </w:rPr>
            </w:pPr>
            <w:r>
              <w:rPr>
                <w:rFonts w:ascii="Arial" w:cs="Arial" w:eastAsia="Arial" w:hAnsi="Arial"/>
                <w:sz w:val="13"/>
                <w:szCs w:val="13"/>
                <w:b w:val="1"/>
                <w:bCs w:val="1"/>
                <w:color w:val="454968"/>
              </w:rPr>
              <w:t>Margin</w:t>
            </w:r>
          </w:p>
        </w:tc>
        <w:tc>
          <w:tcPr>
            <w:tcW w:w="24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454968"/>
              </w:rPr>
              <w:t>Earnings**</w:t>
            </w:r>
          </w:p>
        </w:tc>
      </w:tr>
      <w:tr>
        <w:trPr>
          <w:trHeight w:val="168"/>
        </w:trPr>
        <w:tc>
          <w:tcPr>
            <w:tcW w:w="3860" w:type="dxa"/>
            <w:vAlign w:val="bottom"/>
            <w:tcBorders>
              <w:top w:val="single" w:sz="8" w:color="auto"/>
            </w:tcBorders>
            <w:shd w:val="clear" w:color="auto" w:fill="E7E7E7"/>
          </w:tcPr>
          <w:p>
            <w:pPr>
              <w:ind w:left="20"/>
              <w:spacing w:after="0" w:line="168" w:lineRule="exact"/>
              <w:rPr>
                <w:sz w:val="20"/>
                <w:szCs w:val="20"/>
                <w:color w:val="auto"/>
              </w:rPr>
            </w:pPr>
            <w:r>
              <w:rPr>
                <w:rFonts w:ascii="Arial" w:cs="Arial" w:eastAsia="Arial" w:hAnsi="Arial"/>
                <w:sz w:val="15"/>
                <w:szCs w:val="15"/>
                <w:b w:val="1"/>
                <w:bCs w:val="1"/>
                <w:color w:val="auto"/>
              </w:rPr>
              <w:t>As reported (GAAP)</w:t>
            </w:r>
          </w:p>
        </w:tc>
        <w:tc>
          <w:tcPr>
            <w:tcW w:w="660" w:type="dxa"/>
            <w:vAlign w:val="bottom"/>
            <w:tcBorders>
              <w:top w:val="single" w:sz="8" w:color="auto"/>
            </w:tcBorders>
            <w:shd w:val="clear" w:color="auto" w:fill="E7E7E7"/>
          </w:tcPr>
          <w:p>
            <w:pPr>
              <w:jc w:val="right"/>
              <w:ind w:right="48"/>
              <w:spacing w:after="0" w:line="168"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E7E7E7"/>
          </w:tcPr>
          <w:p>
            <w:pPr>
              <w:jc w:val="right"/>
              <w:ind w:right="186"/>
              <w:spacing w:after="0" w:line="168" w:lineRule="exact"/>
              <w:rPr>
                <w:sz w:val="20"/>
                <w:szCs w:val="20"/>
                <w:color w:val="auto"/>
              </w:rPr>
            </w:pPr>
            <w:r>
              <w:rPr>
                <w:rFonts w:ascii="Arial" w:cs="Arial" w:eastAsia="Arial" w:hAnsi="Arial"/>
                <w:sz w:val="15"/>
                <w:szCs w:val="15"/>
                <w:color w:val="auto"/>
              </w:rPr>
              <w:t>54,318</w:t>
            </w:r>
          </w:p>
        </w:tc>
        <w:tc>
          <w:tcPr>
            <w:tcW w:w="360" w:type="dxa"/>
            <w:vAlign w:val="bottom"/>
            <w:tcBorders>
              <w:top w:val="single" w:sz="8" w:color="auto"/>
            </w:tcBorders>
            <w:shd w:val="clear" w:color="auto" w:fill="E7E7E7"/>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6,250</w:t>
            </w:r>
          </w:p>
        </w:tc>
        <w:tc>
          <w:tcPr>
            <w:tcW w:w="26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12,757</w:t>
            </w:r>
          </w:p>
        </w:tc>
        <w:tc>
          <w:tcPr>
            <w:tcW w:w="24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4,863</w:t>
            </w:r>
          </w:p>
        </w:tc>
        <w:tc>
          <w:tcPr>
            <w:tcW w:w="20" w:type="dxa"/>
            <w:vAlign w:val="bottom"/>
          </w:tcPr>
          <w:p>
            <w:pPr>
              <w:spacing w:after="0"/>
              <w:rPr>
                <w:sz w:val="14"/>
                <w:szCs w:val="14"/>
                <w:color w:val="auto"/>
              </w:rPr>
            </w:pPr>
          </w:p>
        </w:tc>
      </w:tr>
      <w:tr>
        <w:trPr>
          <w:trHeight w:val="175"/>
        </w:trPr>
        <w:tc>
          <w:tcPr>
            <w:tcW w:w="3860" w:type="dxa"/>
            <w:vAlign w:val="bottom"/>
          </w:tcPr>
          <w:p>
            <w:pPr>
              <w:ind w:left="20"/>
              <w:spacing w:after="0"/>
              <w:rPr>
                <w:sz w:val="20"/>
                <w:szCs w:val="20"/>
                <w:color w:val="auto"/>
              </w:rPr>
            </w:pPr>
            <w:r>
              <w:rPr>
                <w:rFonts w:ascii="Arial" w:cs="Arial" w:eastAsia="Arial" w:hAnsi="Arial"/>
                <w:sz w:val="15"/>
                <w:szCs w:val="15"/>
                <w:color w:val="auto"/>
              </w:rPr>
              <w:t>Adjusted for specified items:</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Intangible asset amortization</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7,946</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7,946</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6,685</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Acquisition and integration costs</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161</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146</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122</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Acquired IPR&amp;D and milestones</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778</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778</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741</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Change in fair value of contingent consideration</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5,128</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5,003</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Litigation matters</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46"/>
              <w:spacing w:after="0"/>
              <w:rPr>
                <w:sz w:val="20"/>
                <w:szCs w:val="20"/>
                <w:color w:val="auto"/>
              </w:rPr>
            </w:pPr>
            <w:r>
              <w:rPr>
                <w:rFonts w:ascii="Arial" w:cs="Arial" w:eastAsia="Arial" w:hAnsi="Arial"/>
                <w:sz w:val="15"/>
                <w:szCs w:val="15"/>
                <w:color w:val="auto"/>
              </w:rPr>
              <w:t>(485)</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46"/>
              <w:spacing w:after="0"/>
              <w:rPr>
                <w:sz w:val="20"/>
                <w:szCs w:val="20"/>
                <w:color w:val="auto"/>
              </w:rPr>
            </w:pPr>
            <w:r>
              <w:rPr>
                <w:rFonts w:ascii="Arial" w:cs="Arial" w:eastAsia="Arial" w:hAnsi="Arial"/>
                <w:sz w:val="15"/>
                <w:szCs w:val="15"/>
                <w:color w:val="auto"/>
              </w:rPr>
              <w:t>(485)</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(381)</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Intangible asset impairment</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4,229</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4,229</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3,455</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Other</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225</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200</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5"/>
                <w:szCs w:val="15"/>
                <w:color w:val="auto"/>
              </w:rPr>
            </w:pPr>
          </w:p>
        </w:tc>
      </w:tr>
      <w:tr>
        <w:trPr>
          <w:trHeight w:val="175"/>
        </w:trPr>
        <w:tc>
          <w:tcPr>
            <w:tcW w:w="3860" w:type="dxa"/>
            <w:vAlign w:val="bottom"/>
          </w:tcPr>
          <w:p>
            <w:pPr>
              <w:ind w:left="20"/>
              <w:spacing w:after="0"/>
              <w:rPr>
                <w:sz w:val="20"/>
                <w:szCs w:val="20"/>
                <w:color w:val="auto"/>
              </w:rPr>
            </w:pPr>
            <w:r>
              <w:rPr>
                <w:rFonts w:ascii="Arial" w:cs="Arial" w:eastAsia="Arial" w:hAnsi="Arial"/>
                <w:sz w:val="15"/>
                <w:szCs w:val="15"/>
                <w:color w:val="auto"/>
              </w:rPr>
              <w:t>Adjusted for Humira net revenues</w:t>
            </w:r>
          </w:p>
        </w:tc>
        <w:tc>
          <w:tcPr>
            <w:tcW w:w="6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(14,404)</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5"/>
        </w:trPr>
        <w:tc>
          <w:tcPr>
            <w:tcW w:w="3860" w:type="dxa"/>
            <w:vAlign w:val="bottom"/>
            <w:tcBorders>
              <w:bottom w:val="single" w:sz="8" w:color="auto"/>
            </w:tcBorders>
            <w:shd w:val="clear" w:color="auto" w:fill="E7E7E7"/>
          </w:tcPr>
          <w:p>
            <w:pPr>
              <w:ind w:left="20"/>
              <w:spacing w:after="0"/>
              <w:rPr>
                <w:sz w:val="20"/>
                <w:szCs w:val="20"/>
                <w:color w:val="auto"/>
              </w:rPr>
            </w:pPr>
            <w:r>
              <w:rPr>
                <w:rFonts w:ascii="Arial" w:cs="Arial" w:eastAsia="Arial" w:hAnsi="Arial"/>
                <w:sz w:val="15"/>
                <w:szCs w:val="15"/>
                <w:color w:val="auto"/>
              </w:rPr>
              <w:t>Adjusted for foreign exchange</w:t>
            </w:r>
          </w:p>
        </w:tc>
        <w:tc>
          <w:tcPr>
            <w:tcW w:w="660" w:type="dxa"/>
            <w:vAlign w:val="bottom"/>
            <w:tcBorders>
              <w:bottom w:val="single" w:sz="8" w:color="auto"/>
            </w:tcBorders>
            <w:shd w:val="clear" w:color="auto" w:fill="E7E7E7"/>
          </w:tcPr>
          <w:p>
            <w:pPr>
              <w:spacing w:after="0"/>
              <w:rPr>
                <w:sz w:val="15"/>
                <w:szCs w:val="15"/>
                <w:color w:val="auto"/>
              </w:rPr>
            </w:pPr>
          </w:p>
        </w:tc>
        <w:tc>
          <w:tcPr>
            <w:tcW w:w="1000" w:type="dxa"/>
            <w:vAlign w:val="bottom"/>
            <w:tcBorders>
              <w:bottom w:val="single" w:sz="8" w:color="auto"/>
            </w:tcBorders>
            <w:shd w:val="clear" w:color="auto" w:fill="E7E7E7"/>
          </w:tcPr>
          <w:p>
            <w:pPr>
              <w:jc w:val="right"/>
              <w:ind w:right="186"/>
              <w:spacing w:after="0"/>
              <w:rPr>
                <w:sz w:val="20"/>
                <w:szCs w:val="20"/>
                <w:color w:val="auto"/>
              </w:rPr>
            </w:pPr>
            <w:r>
              <w:rPr>
                <w:rFonts w:ascii="Arial" w:cs="Arial" w:eastAsia="Arial" w:hAnsi="Arial"/>
                <w:sz w:val="15"/>
                <w:szCs w:val="15"/>
                <w:color w:val="auto"/>
              </w:rPr>
              <w:t>120</w:t>
            </w:r>
          </w:p>
        </w:tc>
        <w:tc>
          <w:tcPr>
            <w:tcW w:w="360" w:type="dxa"/>
            <w:vAlign w:val="bottom"/>
            <w:tcBorders>
              <w:bottom w:val="single" w:sz="8" w:color="auto"/>
            </w:tcBorders>
            <w:shd w:val="clear" w:color="auto" w:fill="E7E7E7"/>
          </w:tcPr>
          <w:p>
            <w:pPr>
              <w:spacing w:after="0"/>
              <w:rPr>
                <w:sz w:val="15"/>
                <w:szCs w:val="15"/>
                <w:color w:val="auto"/>
              </w:rPr>
            </w:pPr>
          </w:p>
        </w:tc>
        <w:tc>
          <w:tcPr>
            <w:tcW w:w="1200" w:type="dxa"/>
            <w:vAlign w:val="bottom"/>
            <w:tcBorders>
              <w:bottom w:val="single" w:sz="8" w:color="auto"/>
            </w:tcBorders>
            <w:shd w:val="clear" w:color="auto" w:fill="E7E7E7"/>
          </w:tcPr>
          <w:p>
            <w:pPr>
              <w:jc w:val="right"/>
              <w:ind w:right="106"/>
              <w:spacing w:after="0"/>
              <w:rPr>
                <w:sz w:val="20"/>
                <w:szCs w:val="20"/>
                <w:color w:val="auto"/>
              </w:rPr>
            </w:pPr>
            <w:r>
              <w:rPr>
                <w:rFonts w:ascii="Arial" w:cs="Arial" w:eastAsia="Arial" w:hAnsi="Arial"/>
                <w:sz w:val="15"/>
                <w:szCs w:val="15"/>
                <w:color w:val="auto"/>
              </w:rPr>
              <w:t>201</w:t>
            </w:r>
          </w:p>
        </w:tc>
        <w:tc>
          <w:tcPr>
            <w:tcW w:w="260" w:type="dxa"/>
            <w:vAlign w:val="bottom"/>
            <w:tcBorders>
              <w:bottom w:val="single" w:sz="8" w:color="auto"/>
            </w:tcBorders>
            <w:shd w:val="clear" w:color="auto" w:fill="E7E7E7"/>
          </w:tcPr>
          <w:p>
            <w:pPr>
              <w:spacing w:after="0"/>
              <w:rPr>
                <w:sz w:val="15"/>
                <w:szCs w:val="15"/>
                <w:color w:val="auto"/>
              </w:rPr>
            </w:pPr>
          </w:p>
        </w:tc>
        <w:tc>
          <w:tcPr>
            <w:tcW w:w="900" w:type="dxa"/>
            <w:vAlign w:val="bottom"/>
            <w:tcBorders>
              <w:bottom w:val="single" w:sz="8" w:color="auto"/>
            </w:tcBorders>
            <w:shd w:val="clear" w:color="auto" w:fill="E7E7E7"/>
          </w:tcPr>
          <w:p>
            <w:pPr>
              <w:jc w:val="right"/>
              <w:ind w:right="106"/>
              <w:spacing w:after="0"/>
              <w:rPr>
                <w:sz w:val="20"/>
                <w:szCs w:val="20"/>
                <w:color w:val="auto"/>
              </w:rPr>
            </w:pPr>
            <w:r>
              <w:rPr>
                <w:rFonts w:ascii="Arial" w:cs="Arial" w:eastAsia="Arial" w:hAnsi="Arial"/>
                <w:sz w:val="15"/>
                <w:szCs w:val="15"/>
                <w:color w:val="auto"/>
              </w:rPr>
              <w:t>156</w:t>
            </w:r>
          </w:p>
        </w:tc>
        <w:tc>
          <w:tcPr>
            <w:tcW w:w="240" w:type="dxa"/>
            <w:vAlign w:val="bottom"/>
            <w:tcBorders>
              <w:bottom w:val="single" w:sz="8" w:color="auto"/>
            </w:tcBorders>
            <w:shd w:val="clear" w:color="auto" w:fill="E7E7E7"/>
          </w:tcPr>
          <w:p>
            <w:pPr>
              <w:spacing w:after="0"/>
              <w:rPr>
                <w:sz w:val="15"/>
                <w:szCs w:val="15"/>
                <w:color w:val="auto"/>
              </w:rPr>
            </w:pPr>
          </w:p>
        </w:tc>
        <w:tc>
          <w:tcPr>
            <w:tcW w:w="780" w:type="dxa"/>
            <w:vAlign w:val="bottom"/>
            <w:tcBorders>
              <w:bottom w:val="single" w:sz="8" w:color="auto"/>
            </w:tcBorders>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8"/>
        </w:trPr>
        <w:tc>
          <w:tcPr>
            <w:tcW w:w="3860" w:type="dxa"/>
            <w:vAlign w:val="bottom"/>
            <w:tcBorders>
              <w:bottom w:val="single" w:sz="8" w:color="auto"/>
            </w:tcBorders>
          </w:tcPr>
          <w:p>
            <w:pPr>
              <w:ind w:left="20"/>
              <w:spacing w:after="0" w:line="168" w:lineRule="exact"/>
              <w:rPr>
                <w:sz w:val="20"/>
                <w:szCs w:val="20"/>
                <w:color w:val="auto"/>
              </w:rPr>
            </w:pPr>
            <w:r>
              <w:rPr>
                <w:rFonts w:ascii="Arial" w:cs="Arial" w:eastAsia="Arial" w:hAnsi="Arial"/>
                <w:sz w:val="15"/>
                <w:szCs w:val="15"/>
                <w:b w:val="1"/>
                <w:bCs w:val="1"/>
                <w:color w:val="auto"/>
              </w:rPr>
              <w:t>As adjusted (non-GAAP)</w:t>
            </w:r>
          </w:p>
        </w:tc>
        <w:tc>
          <w:tcPr>
            <w:tcW w:w="660" w:type="dxa"/>
            <w:vAlign w:val="bottom"/>
            <w:tcBorders>
              <w:bottom w:val="single" w:sz="8" w:color="auto"/>
            </w:tcBorders>
          </w:tcPr>
          <w:p>
            <w:pPr>
              <w:jc w:val="right"/>
              <w:ind w:right="48"/>
              <w:spacing w:after="0" w:line="168"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86"/>
              <w:spacing w:after="0" w:line="168" w:lineRule="exact"/>
              <w:rPr>
                <w:sz w:val="20"/>
                <w:szCs w:val="20"/>
                <w:color w:val="auto"/>
              </w:rPr>
            </w:pPr>
            <w:r>
              <w:rPr>
                <w:rFonts w:ascii="Arial" w:cs="Arial" w:eastAsia="Arial" w:hAnsi="Arial"/>
                <w:sz w:val="15"/>
                <w:szCs w:val="15"/>
                <w:color w:val="auto"/>
              </w:rPr>
              <w:t>40,034</w:t>
            </w:r>
          </w:p>
        </w:tc>
        <w:tc>
          <w:tcPr>
            <w:tcW w:w="360" w:type="dxa"/>
            <w:vAlign w:val="bottom"/>
            <w:tcBorders>
              <w:bottom w:val="single" w:sz="8" w:color="auto"/>
            </w:tcBorders>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106"/>
              <w:spacing w:after="0" w:line="168" w:lineRule="exact"/>
              <w:rPr>
                <w:sz w:val="20"/>
                <w:szCs w:val="20"/>
                <w:color w:val="auto"/>
              </w:rPr>
            </w:pPr>
            <w:r>
              <w:rPr>
                <w:rFonts w:ascii="Arial" w:cs="Arial" w:eastAsia="Arial" w:hAnsi="Arial"/>
                <w:sz w:val="15"/>
                <w:szCs w:val="15"/>
                <w:color w:val="auto"/>
              </w:rPr>
              <w:t>24,433</w:t>
            </w:r>
          </w:p>
        </w:tc>
        <w:tc>
          <w:tcPr>
            <w:tcW w:w="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06"/>
              <w:spacing w:after="0" w:line="168" w:lineRule="exact"/>
              <w:rPr>
                <w:sz w:val="20"/>
                <w:szCs w:val="20"/>
                <w:color w:val="auto"/>
              </w:rPr>
            </w:pPr>
            <w:r>
              <w:rPr>
                <w:rFonts w:ascii="Arial" w:cs="Arial" w:eastAsia="Arial" w:hAnsi="Arial"/>
                <w:sz w:val="15"/>
                <w:szCs w:val="15"/>
                <w:color w:val="auto"/>
              </w:rPr>
              <w:t>25,727</w:t>
            </w:r>
          </w:p>
        </w:tc>
        <w:tc>
          <w:tcPr>
            <w:tcW w:w="2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20,510</w:t>
            </w:r>
          </w:p>
        </w:tc>
        <w:tc>
          <w:tcPr>
            <w:tcW w:w="20" w:type="dxa"/>
            <w:vAlign w:val="bottom"/>
          </w:tcPr>
          <w:p>
            <w:pPr>
              <w:spacing w:after="0"/>
              <w:rPr>
                <w:sz w:val="14"/>
                <w:szCs w:val="14"/>
                <w:color w:val="auto"/>
              </w:rPr>
            </w:pPr>
          </w:p>
        </w:tc>
      </w:tr>
    </w:tbl>
    <w:p>
      <w:pPr>
        <w:spacing w:after="0" w:line="2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revenues are adjusted as outlined in the table to calculate the Platform Revenue performance results.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**Represents net earnings attributable to AbbVie Inc.</w:t>
      </w:r>
    </w:p>
    <w:p>
      <w:pPr>
        <w:spacing w:after="0" w:line="104" w:lineRule="exact"/>
        <w:rPr>
          <w:sz w:val="20"/>
          <w:szCs w:val="20"/>
          <w:color w:val="auto"/>
        </w:rPr>
      </w:pPr>
    </w:p>
    <w:p>
      <w:pPr>
        <w:ind w:left="20" w:right="80"/>
        <w:spacing w:after="0" w:line="237" w:lineRule="auto"/>
        <w:rPr>
          <w:sz w:val="20"/>
          <w:szCs w:val="20"/>
          <w:color w:val="auto"/>
        </w:rPr>
      </w:pPr>
      <w:r>
        <w:rPr>
          <w:rFonts w:ascii="Arial" w:cs="Arial" w:eastAsia="Arial" w:hAnsi="Arial"/>
          <w:sz w:val="17"/>
          <w:szCs w:val="17"/>
          <w:color w:val="auto"/>
        </w:rPr>
        <w:t>Intangible asset impairment primarily reflects partial impairment charges related to the U.S. Imbruvica and CoolSculpting intangible assets. Acquisition and integration costs primarily include costs related to the Allergan acquisition, including a one-time gain related to the termination of a development liability related to the Allergan acquisition. Acquired IPR&amp;D and milestones represents initial costs and subsequent development milestones incurred to acquire rights to in-process R&amp;D projects through R&amp;D collaborations, licensing arrangements or other asset acquisitions. Litigation matters primarily includes income related to a favorable settlement of a litigation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7"/>
          <w:szCs w:val="17"/>
          <w:color w:val="auto"/>
        </w:rPr>
        <w:t xml:space="preserve">B-2  </w:t>
      </w:r>
      <w:r>
        <w:rPr>
          <w:sz w:val="1"/>
          <w:szCs w:val="1"/>
          <w:color w:val="auto"/>
        </w:rPr>
        <w:drawing>
          <wp:inline distT="0" distB="0" distL="0" distR="0">
            <wp:extent cx="810260" cy="15113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10260" cy="151130"/>
                    </a:xfrm>
                    <a:prstGeom prst="rect">
                      <a:avLst/>
                    </a:prstGeom>
                    <a:noFill/>
                    <a:ln>
                      <a:noFill/>
                    </a:ln>
                  </pic:spPr>
                </pic:pic>
              </a:graphicData>
            </a:graphic>
          </wp:inline>
        </w:drawing>
      </w:r>
      <w:r>
        <w:rPr>
          <w:rFonts w:ascii="Arial" w:cs="Arial" w:eastAsia="Arial" w:hAnsi="Arial"/>
          <w:sz w:val="25"/>
          <w:szCs w:val="25"/>
          <w:color w:val="auto"/>
        </w:rPr>
        <w:t xml:space="preserve">  |</w:t>
      </w:r>
      <w:r>
        <w:rPr>
          <w:sz w:val="20"/>
          <w:szCs w:val="20"/>
          <w:color w:val="auto"/>
        </w:rPr>
        <w:tab/>
      </w:r>
      <w:r>
        <w:rPr>
          <w:rFonts w:ascii="Arial" w:cs="Arial" w:eastAsia="Arial" w:hAnsi="Arial"/>
          <w:sz w:val="16"/>
          <w:szCs w:val="16"/>
          <w:i w:val="1"/>
          <w:iCs w:val="1"/>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5887085" cy="158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887085" cy="15875"/>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101" w:name="page102"/>
    <w:bookmarkEnd w:id="101"/>
    <w:p>
      <w:pPr>
        <w:ind w:left="20"/>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2022 Performance Results for Financial Goals Reconciliations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jc w:val="right"/>
              <w:ind w:right="606"/>
              <w:spacing w:after="0"/>
              <w:rPr>
                <w:sz w:val="20"/>
                <w:szCs w:val="20"/>
                <w:color w:val="auto"/>
              </w:rPr>
            </w:pPr>
            <w:r>
              <w:rPr>
                <w:rFonts w:ascii="Arial" w:cs="Arial" w:eastAsia="Arial" w:hAnsi="Arial"/>
                <w:sz w:val="13"/>
                <w:szCs w:val="13"/>
                <w:b w:val="1"/>
                <w:bCs w:val="1"/>
                <w:color w:val="454968"/>
              </w:rPr>
              <w:t>Net</w:t>
            </w:r>
          </w:p>
        </w:tc>
        <w:tc>
          <w:tcPr>
            <w:tcW w:w="360" w:type="dxa"/>
            <w:vAlign w:val="bottom"/>
          </w:tcPr>
          <w:p>
            <w:pPr>
              <w:spacing w:after="0"/>
              <w:rPr>
                <w:sz w:val="13"/>
                <w:szCs w:val="13"/>
                <w:color w:val="auto"/>
              </w:rPr>
            </w:pPr>
          </w:p>
        </w:tc>
        <w:tc>
          <w:tcPr>
            <w:tcW w:w="1200" w:type="dxa"/>
            <w:vAlign w:val="bottom"/>
          </w:tcPr>
          <w:p>
            <w:pPr>
              <w:jc w:val="right"/>
              <w:ind w:right="426"/>
              <w:spacing w:after="0"/>
              <w:rPr>
                <w:sz w:val="20"/>
                <w:szCs w:val="20"/>
                <w:color w:val="auto"/>
              </w:rPr>
            </w:pPr>
            <w:r>
              <w:rPr>
                <w:rFonts w:ascii="Arial" w:cs="Arial" w:eastAsia="Arial" w:hAnsi="Arial"/>
                <w:sz w:val="13"/>
                <w:szCs w:val="13"/>
                <w:b w:val="1"/>
                <w:bCs w:val="1"/>
                <w:color w:val="454968"/>
              </w:rPr>
              <w:t>Income</w:t>
            </w:r>
          </w:p>
        </w:tc>
        <w:tc>
          <w:tcPr>
            <w:tcW w:w="260" w:type="dxa"/>
            <w:vAlign w:val="bottom"/>
          </w:tcPr>
          <w:p>
            <w:pPr>
              <w:spacing w:after="0"/>
              <w:rPr>
                <w:sz w:val="13"/>
                <w:szCs w:val="13"/>
                <w:color w:val="auto"/>
              </w:rPr>
            </w:pPr>
          </w:p>
        </w:tc>
        <w:tc>
          <w:tcPr>
            <w:tcW w:w="900" w:type="dxa"/>
            <w:vAlign w:val="bottom"/>
          </w:tcPr>
          <w:p>
            <w:pPr>
              <w:jc w:val="right"/>
              <w:ind w:right="146"/>
              <w:spacing w:after="0"/>
              <w:rPr>
                <w:sz w:val="20"/>
                <w:szCs w:val="20"/>
                <w:color w:val="auto"/>
              </w:rPr>
            </w:pPr>
            <w:r>
              <w:rPr>
                <w:rFonts w:ascii="Arial" w:cs="Arial" w:eastAsia="Arial" w:hAnsi="Arial"/>
                <w:sz w:val="13"/>
                <w:szCs w:val="13"/>
                <w:b w:val="1"/>
                <w:bCs w:val="1"/>
                <w:color w:val="454968"/>
              </w:rPr>
              <w:t>Operating</w:t>
            </w:r>
          </w:p>
        </w:tc>
        <w:tc>
          <w:tcPr>
            <w:tcW w:w="240" w:type="dxa"/>
            <w:vAlign w:val="bottom"/>
          </w:tcPr>
          <w:p>
            <w:pPr>
              <w:spacing w:after="0"/>
              <w:rPr>
                <w:sz w:val="13"/>
                <w:szCs w:val="13"/>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454968"/>
              </w:rPr>
              <w:t>Net</w:t>
            </w:r>
          </w:p>
        </w:tc>
      </w:tr>
      <w:tr>
        <w:trPr>
          <w:trHeight w:val="160"/>
        </w:trPr>
        <w:tc>
          <w:tcPr>
            <w:tcW w:w="3860" w:type="dxa"/>
            <w:vAlign w:val="bottom"/>
          </w:tcPr>
          <w:p>
            <w:pPr>
              <w:spacing w:after="0"/>
              <w:rPr>
                <w:sz w:val="13"/>
                <w:szCs w:val="13"/>
                <w:color w:val="auto"/>
              </w:rPr>
            </w:pPr>
          </w:p>
        </w:tc>
        <w:tc>
          <w:tcPr>
            <w:tcW w:w="1660" w:type="dxa"/>
            <w:vAlign w:val="bottom"/>
            <w:gridSpan w:val="2"/>
          </w:tcPr>
          <w:p>
            <w:pPr>
              <w:jc w:val="right"/>
              <w:ind w:right="366"/>
              <w:spacing w:after="0"/>
              <w:rPr>
                <w:sz w:val="20"/>
                <w:szCs w:val="20"/>
                <w:color w:val="auto"/>
              </w:rPr>
            </w:pPr>
            <w:r>
              <w:rPr>
                <w:rFonts w:ascii="Arial" w:cs="Arial" w:eastAsia="Arial" w:hAnsi="Arial"/>
                <w:sz w:val="13"/>
                <w:szCs w:val="13"/>
                <w:b w:val="1"/>
                <w:bCs w:val="1"/>
                <w:color w:val="454968"/>
              </w:rPr>
              <w:t>Revenues*</w:t>
            </w:r>
          </w:p>
        </w:tc>
        <w:tc>
          <w:tcPr>
            <w:tcW w:w="360" w:type="dxa"/>
            <w:vAlign w:val="bottom"/>
          </w:tcPr>
          <w:p>
            <w:pPr>
              <w:spacing w:after="0"/>
              <w:rPr>
                <w:sz w:val="13"/>
                <w:szCs w:val="13"/>
                <w:color w:val="auto"/>
              </w:rPr>
            </w:pPr>
          </w:p>
        </w:tc>
        <w:tc>
          <w:tcPr>
            <w:tcW w:w="1200" w:type="dxa"/>
            <w:vAlign w:val="bottom"/>
          </w:tcPr>
          <w:p>
            <w:pPr>
              <w:jc w:val="right"/>
              <w:ind w:right="226"/>
              <w:spacing w:after="0"/>
              <w:rPr>
                <w:sz w:val="20"/>
                <w:szCs w:val="20"/>
                <w:color w:val="auto"/>
              </w:rPr>
            </w:pPr>
            <w:r>
              <w:rPr>
                <w:rFonts w:ascii="Arial" w:cs="Arial" w:eastAsia="Arial" w:hAnsi="Arial"/>
                <w:sz w:val="13"/>
                <w:szCs w:val="13"/>
                <w:b w:val="1"/>
                <w:bCs w:val="1"/>
                <w:color w:val="454968"/>
              </w:rPr>
              <w:t>Before Taxes</w:t>
            </w:r>
          </w:p>
        </w:tc>
        <w:tc>
          <w:tcPr>
            <w:tcW w:w="260" w:type="dxa"/>
            <w:vAlign w:val="bottom"/>
          </w:tcPr>
          <w:p>
            <w:pPr>
              <w:spacing w:after="0"/>
              <w:rPr>
                <w:sz w:val="13"/>
                <w:szCs w:val="13"/>
                <w:color w:val="auto"/>
              </w:rPr>
            </w:pPr>
          </w:p>
        </w:tc>
        <w:tc>
          <w:tcPr>
            <w:tcW w:w="900" w:type="dxa"/>
            <w:vAlign w:val="bottom"/>
          </w:tcPr>
          <w:p>
            <w:pPr>
              <w:jc w:val="right"/>
              <w:ind w:right="246"/>
              <w:spacing w:after="0"/>
              <w:rPr>
                <w:sz w:val="20"/>
                <w:szCs w:val="20"/>
                <w:color w:val="auto"/>
              </w:rPr>
            </w:pPr>
            <w:r>
              <w:rPr>
                <w:rFonts w:ascii="Arial" w:cs="Arial" w:eastAsia="Arial" w:hAnsi="Arial"/>
                <w:sz w:val="13"/>
                <w:szCs w:val="13"/>
                <w:b w:val="1"/>
                <w:bCs w:val="1"/>
                <w:color w:val="454968"/>
              </w:rPr>
              <w:t>Margin</w:t>
            </w:r>
          </w:p>
        </w:tc>
        <w:tc>
          <w:tcPr>
            <w:tcW w:w="240" w:type="dxa"/>
            <w:vAlign w:val="bottom"/>
          </w:tcPr>
          <w:p>
            <w:pPr>
              <w:spacing w:after="0"/>
              <w:rPr>
                <w:sz w:val="13"/>
                <w:szCs w:val="13"/>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454968"/>
              </w:rPr>
              <w:t>Earnings**</w:t>
            </w:r>
          </w:p>
        </w:tc>
      </w:tr>
      <w:tr>
        <w:trPr>
          <w:trHeight w:val="168"/>
        </w:trPr>
        <w:tc>
          <w:tcPr>
            <w:tcW w:w="3860" w:type="dxa"/>
            <w:vAlign w:val="bottom"/>
            <w:tcBorders>
              <w:top w:val="single" w:sz="8" w:color="auto"/>
            </w:tcBorders>
            <w:shd w:val="clear" w:color="auto" w:fill="E7E7E7"/>
          </w:tcPr>
          <w:p>
            <w:pPr>
              <w:ind w:left="20"/>
              <w:spacing w:after="0" w:line="168" w:lineRule="exact"/>
              <w:rPr>
                <w:sz w:val="20"/>
                <w:szCs w:val="20"/>
                <w:color w:val="auto"/>
              </w:rPr>
            </w:pPr>
            <w:r>
              <w:rPr>
                <w:rFonts w:ascii="Arial" w:cs="Arial" w:eastAsia="Arial" w:hAnsi="Arial"/>
                <w:sz w:val="15"/>
                <w:szCs w:val="15"/>
                <w:b w:val="1"/>
                <w:bCs w:val="1"/>
                <w:color w:val="auto"/>
              </w:rPr>
              <w:t>As reported (GAAP)</w:t>
            </w:r>
          </w:p>
        </w:tc>
        <w:tc>
          <w:tcPr>
            <w:tcW w:w="660" w:type="dxa"/>
            <w:vAlign w:val="bottom"/>
            <w:tcBorders>
              <w:top w:val="single" w:sz="8" w:color="auto"/>
            </w:tcBorders>
            <w:shd w:val="clear" w:color="auto" w:fill="E7E7E7"/>
          </w:tcPr>
          <w:p>
            <w:pPr>
              <w:jc w:val="right"/>
              <w:ind w:right="48"/>
              <w:spacing w:after="0" w:line="168"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E7E7E7"/>
          </w:tcPr>
          <w:p>
            <w:pPr>
              <w:jc w:val="right"/>
              <w:ind w:right="186"/>
              <w:spacing w:after="0" w:line="168" w:lineRule="exact"/>
              <w:rPr>
                <w:sz w:val="20"/>
                <w:szCs w:val="20"/>
                <w:color w:val="auto"/>
              </w:rPr>
            </w:pPr>
            <w:r>
              <w:rPr>
                <w:rFonts w:ascii="Arial" w:cs="Arial" w:eastAsia="Arial" w:hAnsi="Arial"/>
                <w:sz w:val="15"/>
                <w:szCs w:val="15"/>
                <w:color w:val="auto"/>
              </w:rPr>
              <w:t>58,054</w:t>
            </w:r>
          </w:p>
        </w:tc>
        <w:tc>
          <w:tcPr>
            <w:tcW w:w="360" w:type="dxa"/>
            <w:vAlign w:val="bottom"/>
            <w:tcBorders>
              <w:top w:val="single" w:sz="8" w:color="auto"/>
            </w:tcBorders>
            <w:shd w:val="clear" w:color="auto" w:fill="E7E7E7"/>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13,477</w:t>
            </w:r>
          </w:p>
        </w:tc>
        <w:tc>
          <w:tcPr>
            <w:tcW w:w="26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18,117</w:t>
            </w:r>
          </w:p>
        </w:tc>
        <w:tc>
          <w:tcPr>
            <w:tcW w:w="24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11,836</w:t>
            </w:r>
          </w:p>
        </w:tc>
        <w:tc>
          <w:tcPr>
            <w:tcW w:w="20" w:type="dxa"/>
            <w:vAlign w:val="bottom"/>
          </w:tcPr>
          <w:p>
            <w:pPr>
              <w:spacing w:after="0"/>
              <w:rPr>
                <w:sz w:val="14"/>
                <w:szCs w:val="14"/>
                <w:color w:val="auto"/>
              </w:rPr>
            </w:pPr>
          </w:p>
        </w:tc>
      </w:tr>
      <w:tr>
        <w:trPr>
          <w:trHeight w:val="175"/>
        </w:trPr>
        <w:tc>
          <w:tcPr>
            <w:tcW w:w="3860" w:type="dxa"/>
            <w:vAlign w:val="bottom"/>
          </w:tcPr>
          <w:p>
            <w:pPr>
              <w:ind w:left="20"/>
              <w:spacing w:after="0"/>
              <w:rPr>
                <w:sz w:val="20"/>
                <w:szCs w:val="20"/>
                <w:color w:val="auto"/>
              </w:rPr>
            </w:pPr>
            <w:r>
              <w:rPr>
                <w:rFonts w:ascii="Arial" w:cs="Arial" w:eastAsia="Arial" w:hAnsi="Arial"/>
                <w:sz w:val="15"/>
                <w:szCs w:val="15"/>
                <w:color w:val="auto"/>
              </w:rPr>
              <w:t>Adjusted for specified items:</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Intangible asset amortization</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7,689</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7,689</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6,430</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Acquisition and integration costs</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810</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810</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766</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Acquired IPR&amp;D and milestones</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697</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697</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682</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Pylera divestiture</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(172)</w:t>
            </w:r>
          </w:p>
        </w:tc>
        <w:tc>
          <w:tcPr>
            <w:tcW w:w="2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(172)</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(126)</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Change in fair value of contingent consideration</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2,761</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2,770</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Litigation matters</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2,506</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2,506</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2,028</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20"/>
              <w:spacing w:after="0"/>
              <w:rPr>
                <w:sz w:val="20"/>
                <w:szCs w:val="20"/>
                <w:color w:val="auto"/>
              </w:rPr>
            </w:pPr>
            <w:r>
              <w:rPr>
                <w:rFonts w:ascii="Arial" w:cs="Arial" w:eastAsia="Arial" w:hAnsi="Arial"/>
                <w:sz w:val="15"/>
                <w:szCs w:val="15"/>
                <w:color w:val="auto"/>
              </w:rPr>
              <w:t>Intangible asset impairment</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770</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770</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604</w:t>
            </w:r>
          </w:p>
        </w:tc>
        <w:tc>
          <w:tcPr>
            <w:tcW w:w="20" w:type="dxa"/>
            <w:vAlign w:val="bottom"/>
          </w:tcPr>
          <w:p>
            <w:pPr>
              <w:spacing w:after="0"/>
              <w:rPr>
                <w:sz w:val="15"/>
                <w:szCs w:val="15"/>
                <w:color w:val="auto"/>
              </w:rPr>
            </w:pPr>
          </w:p>
        </w:tc>
      </w:tr>
      <w:tr>
        <w:trPr>
          <w:trHeight w:val="175"/>
        </w:trPr>
        <w:tc>
          <w:tcPr>
            <w:tcW w:w="3860" w:type="dxa"/>
            <w:vAlign w:val="bottom"/>
          </w:tcPr>
          <w:p>
            <w:pPr>
              <w:ind w:left="220"/>
              <w:spacing w:after="0"/>
              <w:rPr>
                <w:sz w:val="20"/>
                <w:szCs w:val="20"/>
                <w:color w:val="auto"/>
              </w:rPr>
            </w:pPr>
            <w:r>
              <w:rPr>
                <w:rFonts w:ascii="Arial" w:cs="Arial" w:eastAsia="Arial" w:hAnsi="Arial"/>
                <w:sz w:val="15"/>
                <w:szCs w:val="15"/>
                <w:color w:val="auto"/>
              </w:rPr>
              <w:t>Other</w:t>
            </w:r>
          </w:p>
        </w:tc>
        <w:tc>
          <w:tcPr>
            <w:tcW w:w="660" w:type="dxa"/>
            <w:vAlign w:val="bottom"/>
          </w:tcPr>
          <w:p>
            <w:pPr>
              <w:spacing w:after="0"/>
              <w:rPr>
                <w:sz w:val="15"/>
                <w:szCs w:val="15"/>
                <w:color w:val="auto"/>
              </w:rPr>
            </w:pPr>
          </w:p>
        </w:tc>
        <w:tc>
          <w:tcPr>
            <w:tcW w:w="10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200" w:type="dxa"/>
            <w:vAlign w:val="bottom"/>
          </w:tcPr>
          <w:p>
            <w:pPr>
              <w:jc w:val="right"/>
              <w:ind w:right="106"/>
              <w:spacing w:after="0"/>
              <w:rPr>
                <w:sz w:val="20"/>
                <w:szCs w:val="20"/>
                <w:color w:val="auto"/>
              </w:rPr>
            </w:pPr>
            <w:r>
              <w:rPr>
                <w:rFonts w:ascii="Arial" w:cs="Arial" w:eastAsia="Arial" w:hAnsi="Arial"/>
                <w:sz w:val="15"/>
                <w:szCs w:val="15"/>
                <w:color w:val="auto"/>
              </w:rPr>
              <w:t>429</w:t>
            </w:r>
          </w:p>
        </w:tc>
        <w:tc>
          <w:tcPr>
            <w:tcW w:w="26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463</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289</w:t>
            </w:r>
          </w:p>
        </w:tc>
        <w:tc>
          <w:tcPr>
            <w:tcW w:w="20" w:type="dxa"/>
            <w:vAlign w:val="bottom"/>
          </w:tcPr>
          <w:p>
            <w:pPr>
              <w:spacing w:after="0"/>
              <w:rPr>
                <w:sz w:val="15"/>
                <w:szCs w:val="15"/>
                <w:color w:val="auto"/>
              </w:rPr>
            </w:pPr>
          </w:p>
        </w:tc>
      </w:tr>
      <w:tr>
        <w:trPr>
          <w:trHeight w:val="175"/>
        </w:trPr>
        <w:tc>
          <w:tcPr>
            <w:tcW w:w="3860" w:type="dxa"/>
            <w:vAlign w:val="bottom"/>
            <w:shd w:val="clear" w:color="auto" w:fill="E7E7E7"/>
          </w:tcPr>
          <w:p>
            <w:pPr>
              <w:ind w:left="20"/>
              <w:spacing w:after="0"/>
              <w:rPr>
                <w:sz w:val="20"/>
                <w:szCs w:val="20"/>
                <w:color w:val="auto"/>
              </w:rPr>
            </w:pPr>
            <w:r>
              <w:rPr>
                <w:rFonts w:ascii="Arial" w:cs="Arial" w:eastAsia="Arial" w:hAnsi="Arial"/>
                <w:sz w:val="15"/>
                <w:szCs w:val="15"/>
                <w:color w:val="auto"/>
              </w:rPr>
              <w:t>Adjusted for Humira net revenues</w:t>
            </w:r>
          </w:p>
        </w:tc>
        <w:tc>
          <w:tcPr>
            <w:tcW w:w="660" w:type="dxa"/>
            <w:vAlign w:val="bottom"/>
            <w:shd w:val="clear" w:color="auto" w:fill="E7E7E7"/>
          </w:tcPr>
          <w:p>
            <w:pPr>
              <w:spacing w:after="0"/>
              <w:rPr>
                <w:sz w:val="15"/>
                <w:szCs w:val="15"/>
                <w:color w:val="auto"/>
              </w:rPr>
            </w:pPr>
          </w:p>
        </w:tc>
        <w:tc>
          <w:tcPr>
            <w:tcW w:w="1000" w:type="dxa"/>
            <w:vAlign w:val="bottom"/>
            <w:shd w:val="clear" w:color="auto" w:fill="E7E7E7"/>
          </w:tcPr>
          <w:p>
            <w:pPr>
              <w:jc w:val="right"/>
              <w:ind w:right="126"/>
              <w:spacing w:after="0"/>
              <w:rPr>
                <w:sz w:val="20"/>
                <w:szCs w:val="20"/>
                <w:color w:val="auto"/>
              </w:rPr>
            </w:pPr>
            <w:r>
              <w:rPr>
                <w:rFonts w:ascii="Arial" w:cs="Arial" w:eastAsia="Arial" w:hAnsi="Arial"/>
                <w:sz w:val="15"/>
                <w:szCs w:val="15"/>
                <w:color w:val="auto"/>
              </w:rPr>
              <w:t>(21,237)</w:t>
            </w:r>
          </w:p>
        </w:tc>
        <w:tc>
          <w:tcPr>
            <w:tcW w:w="360" w:type="dxa"/>
            <w:vAlign w:val="bottom"/>
            <w:shd w:val="clear" w:color="auto" w:fill="E7E7E7"/>
          </w:tcPr>
          <w:p>
            <w:pPr>
              <w:spacing w:after="0"/>
              <w:rPr>
                <w:sz w:val="15"/>
                <w:szCs w:val="15"/>
                <w:color w:val="auto"/>
              </w:rPr>
            </w:pPr>
          </w:p>
        </w:tc>
        <w:tc>
          <w:tcPr>
            <w:tcW w:w="12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w:t>
            </w:r>
          </w:p>
        </w:tc>
        <w:tc>
          <w:tcPr>
            <w:tcW w:w="260" w:type="dxa"/>
            <w:vAlign w:val="bottom"/>
            <w:shd w:val="clear" w:color="auto" w:fill="E7E7E7"/>
          </w:tcPr>
          <w:p>
            <w:pPr>
              <w:spacing w:after="0"/>
              <w:rPr>
                <w:sz w:val="15"/>
                <w:szCs w:val="15"/>
                <w:color w:val="auto"/>
              </w:rPr>
            </w:pPr>
          </w:p>
        </w:tc>
        <w:tc>
          <w:tcPr>
            <w:tcW w:w="900" w:type="dxa"/>
            <w:vAlign w:val="bottom"/>
            <w:shd w:val="clear" w:color="auto" w:fill="E7E7E7"/>
          </w:tcPr>
          <w:p>
            <w:pPr>
              <w:jc w:val="right"/>
              <w:ind w:right="106"/>
              <w:spacing w:after="0"/>
              <w:rPr>
                <w:sz w:val="20"/>
                <w:szCs w:val="20"/>
                <w:color w:val="auto"/>
              </w:rPr>
            </w:pPr>
            <w:r>
              <w:rPr>
                <w:rFonts w:ascii="Arial" w:cs="Arial" w:eastAsia="Arial" w:hAnsi="Arial"/>
                <w:sz w:val="15"/>
                <w:szCs w:val="15"/>
                <w:color w:val="auto"/>
              </w:rPr>
              <w:t>—</w:t>
            </w:r>
          </w:p>
        </w:tc>
        <w:tc>
          <w:tcPr>
            <w:tcW w:w="240" w:type="dxa"/>
            <w:vAlign w:val="bottom"/>
            <w:shd w:val="clear" w:color="auto" w:fill="E7E7E7"/>
          </w:tcPr>
          <w:p>
            <w:pPr>
              <w:spacing w:after="0"/>
              <w:rPr>
                <w:sz w:val="15"/>
                <w:szCs w:val="15"/>
                <w:color w:val="auto"/>
              </w:rPr>
            </w:pPr>
          </w:p>
        </w:tc>
        <w:tc>
          <w:tcPr>
            <w:tcW w:w="780" w:type="dxa"/>
            <w:vAlign w:val="bottom"/>
            <w:shd w:val="clear" w:color="auto" w:fill="E7E7E7"/>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7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Adjusted for foreign exchange</w:t>
            </w: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782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187</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79</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68"/>
        </w:trPr>
        <w:tc>
          <w:tcPr>
            <w:tcW w:w="3860" w:type="dxa"/>
            <w:vAlign w:val="bottom"/>
            <w:tcBorders>
              <w:bottom w:val="single" w:sz="8" w:color="auto"/>
            </w:tcBorders>
            <w:shd w:val="clear" w:color="auto" w:fill="E7E7E7"/>
          </w:tcPr>
          <w:p>
            <w:pPr>
              <w:ind w:left="20"/>
              <w:spacing w:after="0" w:line="168" w:lineRule="exact"/>
              <w:rPr>
                <w:sz w:val="20"/>
                <w:szCs w:val="20"/>
                <w:color w:val="auto"/>
              </w:rPr>
            </w:pPr>
            <w:r>
              <w:rPr>
                <w:rFonts w:ascii="Arial" w:cs="Arial" w:eastAsia="Arial" w:hAnsi="Arial"/>
                <w:sz w:val="15"/>
                <w:szCs w:val="15"/>
                <w:b w:val="1"/>
                <w:bCs w:val="1"/>
                <w:color w:val="auto"/>
              </w:rPr>
              <w:t>As adjusted (non-GAAP)</w:t>
            </w:r>
          </w:p>
        </w:tc>
        <w:tc>
          <w:tcPr>
            <w:tcW w:w="660" w:type="dxa"/>
            <w:vAlign w:val="bottom"/>
            <w:tcBorders>
              <w:bottom w:val="single" w:sz="8" w:color="auto"/>
            </w:tcBorders>
            <w:shd w:val="clear" w:color="auto" w:fill="E7E7E7"/>
          </w:tcPr>
          <w:p>
            <w:pPr>
              <w:jc w:val="right"/>
              <w:ind w:right="48"/>
              <w:spacing w:after="0" w:line="168"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E7E7E7"/>
          </w:tcPr>
          <w:p>
            <w:pPr>
              <w:jc w:val="right"/>
              <w:ind w:right="186"/>
              <w:spacing w:after="0" w:line="168" w:lineRule="exact"/>
              <w:rPr>
                <w:sz w:val="20"/>
                <w:szCs w:val="20"/>
                <w:color w:val="auto"/>
              </w:rPr>
            </w:pPr>
            <w:r>
              <w:rPr>
                <w:rFonts w:ascii="Arial" w:cs="Arial" w:eastAsia="Arial" w:hAnsi="Arial"/>
                <w:sz w:val="15"/>
                <w:szCs w:val="15"/>
                <w:color w:val="auto"/>
              </w:rPr>
              <w:t>37,599</w:t>
            </w:r>
          </w:p>
        </w:tc>
        <w:tc>
          <w:tcPr>
            <w:tcW w:w="360" w:type="dxa"/>
            <w:vAlign w:val="bottom"/>
            <w:tcBorders>
              <w:bottom w:val="single" w:sz="8" w:color="auto"/>
            </w:tcBorders>
            <w:shd w:val="clear" w:color="auto" w:fill="E7E7E7"/>
          </w:tcPr>
          <w:p>
            <w:pPr>
              <w:jc w:val="right"/>
              <w:ind w:right="5"/>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29,154</w:t>
            </w:r>
          </w:p>
        </w:tc>
        <w:tc>
          <w:tcPr>
            <w:tcW w:w="260" w:type="dxa"/>
            <w:vAlign w:val="bottom"/>
            <w:tcBorders>
              <w:bottom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E7E7E7"/>
          </w:tcPr>
          <w:p>
            <w:pPr>
              <w:jc w:val="right"/>
              <w:ind w:right="106"/>
              <w:spacing w:after="0" w:line="168" w:lineRule="exact"/>
              <w:rPr>
                <w:sz w:val="20"/>
                <w:szCs w:val="20"/>
                <w:color w:val="auto"/>
              </w:rPr>
            </w:pPr>
            <w:r>
              <w:rPr>
                <w:rFonts w:ascii="Arial" w:cs="Arial" w:eastAsia="Arial" w:hAnsi="Arial"/>
                <w:sz w:val="15"/>
                <w:szCs w:val="15"/>
                <w:color w:val="auto"/>
              </w:rPr>
              <w:t>30,959</w:t>
            </w:r>
          </w:p>
        </w:tc>
        <w:tc>
          <w:tcPr>
            <w:tcW w:w="240" w:type="dxa"/>
            <w:vAlign w:val="bottom"/>
            <w:tcBorders>
              <w:bottom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E7E7E7"/>
          </w:tcPr>
          <w:p>
            <w:pPr>
              <w:jc w:val="right"/>
              <w:spacing w:after="0" w:line="168" w:lineRule="exact"/>
              <w:rPr>
                <w:sz w:val="20"/>
                <w:szCs w:val="20"/>
                <w:color w:val="auto"/>
              </w:rPr>
            </w:pPr>
            <w:r>
              <w:rPr>
                <w:rFonts w:ascii="Arial" w:cs="Arial" w:eastAsia="Arial" w:hAnsi="Arial"/>
                <w:sz w:val="15"/>
                <w:szCs w:val="15"/>
                <w:color w:val="auto"/>
              </w:rPr>
              <w:t>25,279</w:t>
            </w:r>
          </w:p>
        </w:tc>
        <w:tc>
          <w:tcPr>
            <w:tcW w:w="20" w:type="dxa"/>
            <w:vAlign w:val="bottom"/>
          </w:tcPr>
          <w:p>
            <w:pPr>
              <w:spacing w:after="0"/>
              <w:rPr>
                <w:sz w:val="14"/>
                <w:szCs w:val="14"/>
                <w:color w:val="auto"/>
              </w:rPr>
            </w:pPr>
          </w:p>
        </w:tc>
      </w:tr>
    </w:tbl>
    <w:p>
      <w:pPr>
        <w:spacing w:after="0" w:line="2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revenues are adjusted as outlined in the table to calculate the Platform Revenue performance results.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**Represents net earnings attributable to AbbVie Inc.</w:t>
      </w:r>
    </w:p>
    <w:p>
      <w:pPr>
        <w:spacing w:after="0" w:line="117" w:lineRule="exact"/>
        <w:rPr>
          <w:sz w:val="20"/>
          <w:szCs w:val="20"/>
          <w:color w:val="auto"/>
        </w:rPr>
      </w:pPr>
    </w:p>
    <w:p>
      <w:pPr>
        <w:ind w:left="20" w:right="20"/>
        <w:spacing w:after="0" w:line="260" w:lineRule="auto"/>
        <w:rPr>
          <w:sz w:val="20"/>
          <w:szCs w:val="20"/>
          <w:color w:val="auto"/>
        </w:rPr>
      </w:pPr>
      <w:r>
        <w:rPr>
          <w:rFonts w:ascii="Arial" w:cs="Arial" w:eastAsia="Arial" w:hAnsi="Arial"/>
          <w:sz w:val="16"/>
          <w:szCs w:val="16"/>
          <w:color w:val="auto"/>
        </w:rPr>
        <w:t>Acquisition and integration costs primarily include costs related to the Allergan acquisition. Acquired IPR&amp;D and milestones represents initial costs and subsequent development milestones incurred to acquire rights to in-process R&amp;D projects through R&amp;D collaborations, licensing arrangements or other asset acquisitions. Other primarily includes restructuring charges associated with streamlining global operations, the impact of tax law changes and certain other tax 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160" w:type="dxa"/>
            <w:vAlign w:val="bottom"/>
          </w:tcPr>
          <w:p>
            <w:pPr>
              <w:ind w:left="5380"/>
              <w:spacing w:after="0"/>
              <w:rPr>
                <w:sz w:val="20"/>
                <w:szCs w:val="20"/>
                <w:color w:val="auto"/>
              </w:rPr>
            </w:pPr>
            <w:r>
              <w:rPr>
                <w:rFonts w:ascii="Arial" w:cs="Arial" w:eastAsia="Arial" w:hAnsi="Arial"/>
                <w:sz w:val="17"/>
                <w:szCs w:val="17"/>
                <w:i w:val="1"/>
                <w:iCs w:val="1"/>
                <w:color w:val="auto"/>
              </w:rPr>
              <w:t xml:space="preserve">2024 Proxy Statement   </w:t>
            </w:r>
            <w:r>
              <w:rPr>
                <w:rFonts w:ascii="Arial" w:cs="Arial" w:eastAsia="Arial" w:hAnsi="Arial"/>
                <w:sz w:val="25"/>
                <w:szCs w:val="25"/>
                <w:color w:val="auto"/>
              </w:rPr>
              <w:t>|</w:t>
            </w:r>
          </w:p>
        </w:tc>
        <w:tc>
          <w:tcPr>
            <w:tcW w:w="1120" w:type="dxa"/>
            <w:vAlign w:val="bottom"/>
          </w:tcPr>
          <w:p>
            <w:pPr>
              <w:ind w:left="860"/>
              <w:spacing w:after="0"/>
              <w:rPr>
                <w:sz w:val="20"/>
                <w:szCs w:val="20"/>
                <w:color w:val="auto"/>
              </w:rPr>
            </w:pPr>
            <w:r>
              <w:rPr>
                <w:rFonts w:ascii="Arial" w:cs="Arial" w:eastAsia="Arial" w:hAnsi="Arial"/>
                <w:sz w:val="17"/>
                <w:szCs w:val="17"/>
                <w:color w:val="auto"/>
                <w:w w:val="90"/>
              </w:rPr>
              <w:t>B-3</w:t>
            </w:r>
          </w:p>
        </w:tc>
      </w:tr>
      <w:tr>
        <w:trPr>
          <w:trHeight w:val="513"/>
        </w:trPr>
        <w:tc>
          <w:tcPr>
            <w:tcW w:w="8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-515620</wp:posOffset>
            </wp:positionV>
            <wp:extent cx="810260" cy="1511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0260" cy="151130"/>
                    </a:xfrm>
                    <a:prstGeom prst="rect">
                      <a:avLst/>
                    </a:prstGeom>
                    <a:noFill/>
                  </pic:spPr>
                </pic:pic>
              </a:graphicData>
            </a:graphic>
          </wp:anchor>
        </w:drawing>
      </w:r>
    </w:p>
    <w:p>
      <w:pPr>
        <w:sectPr>
          <w:pgSz w:w="11900" w:h="16838" w:orient="portrait"/>
          <w:cols w:equalWidth="0" w:num="1">
            <w:col w:w="9280"/>
          </w:cols>
          <w:pgMar w:left="1300" w:top="485" w:right="1319" w:bottom="1440"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728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87845" cy="9072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05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87845" cy="9080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2"/>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lvl w:ilvl="1">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1"/>
      <w:numFmt w:val="bullet"/>
      <w:start w:val="1"/>
    </w:lvl>
  </w:abstractNum>
  <w:abstractNum w:abstractNumId="26">
    <w:nsid w:val="BF72B14"/>
    <w:multiLevelType w:val="hybridMultilevel"/>
    <w:lvl w:ilvl="0">
      <w:lvlJc w:val="left"/>
      <w:lvlText w:val="2"/>
      <w:numFmt w:val="bullet"/>
      <w:start w:val="1"/>
    </w:lvl>
  </w:abstractNum>
  <w:abstractNum w:abstractNumId="27">
    <w:nsid w:val="11447B73"/>
    <w:multiLevelType w:val="hybridMultilevel"/>
    <w:lvl w:ilvl="0">
      <w:lvlJc w:val="left"/>
      <w:lvlText w:val="3"/>
      <w:numFmt w:val="bullet"/>
      <w:start w:val="1"/>
    </w:lvl>
  </w:abstractNum>
  <w:abstractNum w:abstractNumId="28">
    <w:nsid w:val="42963E5A"/>
    <w:multiLevelType w:val="hybridMultilevel"/>
    <w:lvl w:ilvl="0">
      <w:lvlJc w:val="left"/>
      <w:lvlText w:val="\emdash "/>
      <w:numFmt w:val="bullet"/>
      <w:start w:val="1"/>
    </w:lvl>
  </w:abstractNum>
  <w:abstractNum w:abstractNumId="29">
    <w:nsid w:val="A0382C5"/>
    <w:multiLevelType w:val="hybridMultilevel"/>
    <w:lvl w:ilvl="0">
      <w:lvlJc w:val="left"/>
      <w:lvlText w:val="\emdash "/>
      <w:numFmt w:val="bullet"/>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
      <w:numFmt w:val="bullet"/>
      <w:start w:val="1"/>
    </w:lvl>
  </w:abstractNum>
  <w:abstractNum w:abstractNumId="33">
    <w:nsid w:val="68EB2F63"/>
    <w:multiLevelType w:val="hybridMultilevel"/>
    <w:lvl w:ilvl="0">
      <w:lvlJc w:val="left"/>
      <w:lvlText w:val="·"/>
      <w:numFmt w:val="bullet"/>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
      <w:numFmt w:val="bullet"/>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1."/>
      <w:numFmt w:val="upperLetter"/>
      <w:start w:val="18"/>
    </w:lvl>
  </w:abstractNum>
  <w:abstractNum w:abstractNumId="48">
    <w:nsid w:val="4C04A8AF"/>
    <w:multiLevelType w:val="hybridMultilevel"/>
    <w:lvl w:ilvl="0">
      <w:lvlJc w:val="left"/>
      <w:lvlText w:val="%1."/>
      <w:numFmt w:val="upperLetter"/>
      <w:start w:val="20"/>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1."/>
      <w:numFmt w:val="upperLetter"/>
      <w:start w:val="5"/>
    </w:lvl>
  </w:abstractNum>
  <w:abstractNum w:abstractNumId="51">
    <w:nsid w:val="3222E7CD"/>
    <w:multiLevelType w:val="hybridMultilevel"/>
    <w:lvl w:ilvl="0">
      <w:lvlJc w:val="left"/>
      <w:lvlText w:val="%1."/>
      <w:numFmt w:val="upperLetter"/>
      <w:start w:val="18"/>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1)"/>
      <w:numFmt w:val="decimal"/>
      <w:start w:val="1"/>
    </w:lvl>
  </w:abstractNum>
  <w:abstractNum w:abstractNumId="54">
    <w:nsid w:val="2DF6D648"/>
    <w:multiLevelType w:val="hybridMultilevel"/>
    <w:lvl w:ilvl="0">
      <w:lvlJc w:val="left"/>
      <w:lvlText w:val="(%1)"/>
      <w:numFmt w:val="decimal"/>
      <w:start w:val="3"/>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1"/>
      <w:numFmt w:val="bullet"/>
      <w:start w:val="1"/>
    </w:lvl>
  </w:abstractNum>
  <w:abstractNum w:abstractNumId="57">
    <w:nsid w:val="39EE015C"/>
    <w:multiLevelType w:val="hybridMultilevel"/>
    <w:lvl w:ilvl="0">
      <w:lvlJc w:val="left"/>
      <w:lvlText w:val="2"/>
      <w:numFmt w:val="bullet"/>
      <w:start w:val="1"/>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X"/>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lvl w:ilvl="1">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emdash "/>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
      <w:numFmt w:val="bullet"/>
      <w:start w:val="1"/>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
      <w:numFmt w:val="bullet"/>
      <w:start w:val="1"/>
    </w:lvl>
    <w:lvl w:ilvl="1">
      <w:lvlJc w:val="left"/>
      <w:lvlText w:val="●"/>
      <w:numFmt w:val="bullet"/>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1)"/>
      <w:numFmt w:val="decimal"/>
      <w:start w:val="1"/>
    </w:lvl>
  </w:abstractNum>
  <w:abstractNum w:abstractNumId="77">
    <w:nsid w:val="7DE67713"/>
    <w:multiLevelType w:val="hybridMultilevel"/>
    <w:lvl w:ilvl="0">
      <w:lvlJc w:val="left"/>
      <w:lvlText w:val="(%1)"/>
      <w:numFmt w:val="decimal"/>
      <w:start w:val="3"/>
    </w:lvl>
  </w:abstractNum>
  <w:abstractNum w:abstractNumId="78">
    <w:nsid w:val="555C55B5"/>
    <w:multiLevelType w:val="hybridMultilevel"/>
    <w:lvl w:ilvl="0">
      <w:lvlJc w:val="left"/>
      <w:lvlText w:val="(%1)"/>
      <w:numFmt w:val="decimal"/>
      <w:start w:val="4"/>
    </w:lvl>
  </w:abstractNum>
  <w:abstractNum w:abstractNumId="79">
    <w:nsid w:val="3FA62ACA"/>
    <w:multiLevelType w:val="hybridMultilevel"/>
    <w:lvl w:ilvl="0">
      <w:lvlJc w:val="left"/>
      <w:lvlText w:val="%1."/>
      <w:numFmt w:val="upperLetter"/>
      <w:start w:val="18"/>
    </w:lvl>
  </w:abstractNum>
  <w:abstractNum w:abstractNumId="80">
    <w:nsid w:val="14FCE74E"/>
    <w:multiLevelType w:val="hybridMultilevel"/>
    <w:lvl w:ilvl="0">
      <w:lvlJc w:val="left"/>
      <w:lvlText w:val="%1."/>
      <w:numFmt w:val="upperLetter"/>
      <w:start w:val="18"/>
    </w:lvl>
  </w:abstractNum>
  <w:abstractNum w:abstractNumId="81">
    <w:nsid w:val="6A3DD3E8"/>
    <w:multiLevelType w:val="hybridMultilevel"/>
    <w:lvl w:ilvl="0">
      <w:lvlJc w:val="left"/>
      <w:lvlText w:val="%1"/>
      <w:numFmt w:val="decimal"/>
      <w:start w:val="1"/>
    </w:lvl>
    <w:lvl w:ilvl="1">
      <w:lvlJc w:val="left"/>
      <w:lvlText w:val="%2."/>
      <w:numFmt w:val="upperLetter"/>
      <w:start w:val="18"/>
    </w:lvl>
  </w:abstractNum>
  <w:abstractNum w:abstractNumId="82">
    <w:nsid w:val="71C91298"/>
    <w:multiLevelType w:val="hybridMultilevel"/>
    <w:lvl w:ilvl="0">
      <w:lvlJc w:val="left"/>
      <w:lvlText w:val="(%1)"/>
      <w:numFmt w:val="decimal"/>
      <w:start w:val="5"/>
    </w:lvl>
    <w:lvl w:ilvl="1">
      <w:lvlJc w:val="left"/>
      <w:lvlText w:val="%2."/>
      <w:numFmt w:val="upperLetter"/>
      <w:start w:val="18"/>
    </w:lvl>
  </w:abstractNum>
  <w:abstractNum w:abstractNumId="83">
    <w:nsid w:val="9DAF632"/>
    <w:multiLevelType w:val="hybridMultilevel"/>
    <w:lvl w:ilvl="0">
      <w:lvlJc w:val="left"/>
      <w:lvlText w:val="%1."/>
      <w:numFmt w:val="upperLetter"/>
      <w:start w:val="18"/>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1)"/>
      <w:numFmt w:val="decimal"/>
      <w:start w:val="4"/>
    </w:lvl>
  </w:abstractNum>
  <w:abstractNum w:abstractNumId="86">
    <w:nsid w:val="5092CA79"/>
    <w:multiLevelType w:val="hybridMultilevel"/>
    <w:lvl w:ilvl="0">
      <w:lvlJc w:val="left"/>
      <w:lvlText w:val="(%1)"/>
      <w:numFmt w:val="decimal"/>
      <w:start w:val="2"/>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lowerLetter"/>
      <w:start w:val="3"/>
    </w:lvl>
  </w:abstractNum>
  <w:abstractNum w:abstractNumId="89">
    <w:nsid w:val="288F1A34"/>
    <w:multiLevelType w:val="hybridMultilevel"/>
    <w:lvl w:ilvl="0">
      <w:lvlJc w:val="left"/>
      <w:lvlText w:val="%1."/>
      <w:numFmt w:val="upperLetter"/>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
      <w:numFmt w:val="bullet"/>
      <w:start w:val="1"/>
    </w:lvl>
  </w:abstractNum>
  <w:abstractNum w:abstractNumId="92">
    <w:nsid w:val="97E1B4E"/>
    <w:multiLevelType w:val="hybridMultilevel"/>
    <w:lvl w:ilvl="0">
      <w:lvlJc w:val="left"/>
      <w:lvlText w:val="●"/>
      <w:numFmt w:val="bullet"/>
      <w:start w:val="1"/>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decimal"/>
      <w:start w:val="1"/>
    </w:lvl>
  </w:abstractNum>
  <w:abstractNum w:abstractNumId="95">
    <w:nsid w:val="53584BCB"/>
    <w:multiLevelType w:val="hybridMultilevel"/>
    <w:lvl w:ilvl="0">
      <w:lvlJc w:val="left"/>
      <w:lvlText w:val="(%1)"/>
      <w:numFmt w:val="lowerLetter"/>
      <w:start w:val="1"/>
    </w:lvl>
  </w:abstractNum>
  <w:abstractNum w:abstractNumId="96">
    <w:nsid w:val="415E286C"/>
    <w:multiLevelType w:val="hybridMultilevel"/>
    <w:lvl w:ilvl="0">
      <w:lvlJc w:val="left"/>
      <w:lvlText w:val="(%1)"/>
      <w:numFmt w:val="lowerRoman"/>
      <w:start w:val="3"/>
    </w:lvl>
  </w:abstractNum>
  <w:abstractNum w:abstractNumId="97">
    <w:nsid w:val="7C58FD05"/>
    <w:multiLevelType w:val="hybridMultilevel"/>
    <w:lvl w:ilvl="0">
      <w:lvlJc w:val="left"/>
      <w:lvlText w:val="(%1)"/>
      <w:numFmt w:val="decimal"/>
      <w:start w:val="2"/>
    </w:lvl>
  </w:abstractNum>
  <w:abstractNum w:abstractNumId="98">
    <w:nsid w:val="23D86AAC"/>
    <w:multiLevelType w:val="hybridMultilevel"/>
    <w:lvl w:ilvl="0">
      <w:lvlJc w:val="left"/>
      <w:lvlText w:val="(%1)"/>
      <w:numFmt w:val="lowerLetter"/>
      <w:start w:val="3"/>
    </w:lvl>
  </w:abstractNum>
  <w:abstractNum w:abstractNumId="99">
    <w:nsid w:val="45E6D486"/>
    <w:multiLevelType w:val="hybridMultilevel"/>
    <w:lvl w:ilvl="0">
      <w:lvlJc w:val="left"/>
      <w:lvlText w:val="(%1)"/>
      <w:numFmt w:val="lowerLetter"/>
      <w:start w:val="5"/>
    </w:lvl>
  </w:abstractNum>
  <w:abstractNum w:abstractNumId="100">
    <w:nsid w:val="5C10FE21"/>
    <w:multiLevelType w:val="hybridMultilevel"/>
    <w:lvl w:ilvl="0">
      <w:lvlJc w:val="left"/>
      <w:lvlText w:val="●"/>
      <w:numFmt w:val="bullet"/>
      <w:start w:val="1"/>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
      <w:numFmt w:val="bullet"/>
      <w:start w:val="1"/>
    </w:lvl>
  </w:abstractNum>
  <w:abstractNum w:abstractNumId="105">
    <w:nsid w:val="39B7AAA2"/>
    <w:multiLevelType w:val="hybridMultilevel"/>
    <w:lvl w:ilvl="0">
      <w:lvlJc w:val="left"/>
      <w:lvlText w:val="%1."/>
      <w:numFmt w:val="decimal"/>
      <w:start w:val="1"/>
    </w:lvl>
  </w:abstractNum>
  <w:abstractNum w:abstractNumId="106">
    <w:nsid w:val="2B0D8DBE"/>
    <w:multiLevelType w:val="hybridMultilevel"/>
    <w:lvl w:ilvl="0">
      <w:lvlJc w:val="left"/>
      <w:lvlText w:val="%1."/>
      <w:numFmt w:val="decimal"/>
      <w:start w:val="2"/>
    </w:lvl>
  </w:abstractNum>
  <w:abstractNum w:abstractNumId="107">
    <w:nsid w:val="6C80EC70"/>
    <w:multiLevelType w:val="hybridMultilevel"/>
    <w:lvl w:ilvl="0">
      <w:lvlJc w:val="left"/>
      <w:lvlText w:val="(%1)"/>
      <w:numFmt w:val="lowerLetter"/>
      <w:start w:val="1"/>
    </w:lvl>
  </w:abstractNum>
  <w:abstractNum w:abstractNumId="108">
    <w:nsid w:val="379E21B5"/>
    <w:multiLevelType w:val="hybridMultilevel"/>
    <w:lvl w:ilvl="0">
      <w:lvlJc w:val="left"/>
      <w:lvlText w:val="1"/>
      <w:numFmt w:val="bullet"/>
      <w:start w:val="1"/>
    </w:lvl>
  </w:abstractNum>
  <w:abstractNum w:abstractNumId="109">
    <w:nsid w:val="69E373"/>
    <w:multiLevelType w:val="hybridMultilevel"/>
    <w:lvl w:ilvl="0">
      <w:lvlJc w:val="left"/>
      <w:lvlText w:val="●"/>
      <w:numFmt w:val="bullet"/>
      <w:start w:val="1"/>
    </w:lvl>
  </w:abstractNum>
  <w:abstractNum w:abstractNumId="110">
    <w:nsid w:val="2C27173B"/>
    <w:multiLevelType w:val="hybridMultilevel"/>
    <w:lvl w:ilvl="0">
      <w:lvlJc w:val="left"/>
      <w:lvlText w:val="●"/>
      <w:numFmt w:val="bullet"/>
      <w:start w:val="1"/>
    </w:lvl>
  </w:abstractNum>
  <w:abstractNum w:abstractNumId="111">
    <w:nsid w:val="4C9B0904"/>
    <w:multiLevelType w:val="hybridMultilevel"/>
    <w:lvl w:ilvl="0">
      <w:lvlJc w:val="left"/>
      <w:lvlText w:val="●"/>
      <w:numFmt w:val="bullet"/>
      <w:start w:val="1"/>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1"/>
      <w:numFmt w:val="bullet"/>
      <w:start w:val="1"/>
    </w:lvl>
  </w:abstractNum>
  <w:abstractNum w:abstractNumId="114">
    <w:nsid w:val="5675FF36"/>
    <w:multiLevelType w:val="hybridMultilevel"/>
    <w:lvl w:ilvl="0">
      <w:lvlJc w:val="left"/>
      <w:lvlText w:val="2"/>
      <w:numFmt w:val="bullet"/>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
      <w:numFmt w:val="bullet"/>
      <w:start w:val="1"/>
    </w:lvl>
  </w:abstractNum>
  <w:abstractNum w:abstractNumId="117">
    <w:nsid w:val="2708C9AF"/>
    <w:multiLevelType w:val="hybridMultilevel"/>
    <w:lvl w:ilvl="0">
      <w:lvlJc w:val="left"/>
      <w:lvlText w:val="●"/>
      <w:numFmt w:val="bullet"/>
      <w:start w:val="1"/>
    </w:lvl>
  </w:abstractNum>
  <w:abstractNum w:abstractNumId="118">
    <w:nsid w:val="5B25ACE2"/>
    <w:multiLevelType w:val="hybridMultilevel"/>
    <w:lvl w:ilvl="0">
      <w:lvlJc w:val="left"/>
      <w:lvlText w:val="●"/>
      <w:numFmt w:val="bullet"/>
      <w:start w:val="1"/>
    </w:lvl>
  </w:abstractNum>
  <w:abstractNum w:abstractNumId="119">
    <w:nsid w:val="175DFCF0"/>
    <w:multiLevelType w:val="hybridMultilevel"/>
    <w:lvl w:ilvl="0">
      <w:lvlJc w:val="left"/>
      <w:lvlText w:val="●"/>
      <w:numFmt w:val="bullet"/>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decimal"/>
      <w:start w:val="5"/>
    </w:lvl>
  </w:abstractNum>
  <w:abstractNum w:abstractNumId="122">
    <w:nsid w:val="34FD6B4F"/>
    <w:multiLevelType w:val="hybridMultilevel"/>
    <w:lvl w:ilvl="0">
      <w:lvlJc w:val="left"/>
      <w:lvlText w:val="(%1)"/>
      <w:numFmt w:val="lowerRoman"/>
      <w:start w:val="1"/>
    </w:lvl>
  </w:abstractNum>
  <w:abstractNum w:abstractNumId="123">
    <w:nsid w:val="5915FF32"/>
    <w:multiLevelType w:val="hybridMultilevel"/>
    <w:lvl w:ilvl="0">
      <w:lvlJc w:val="left"/>
      <w:lvlText w:val="%1."/>
      <w:numFmt w:val="decimal"/>
      <w:start w:val="2"/>
    </w:lvl>
  </w:abstractNum>
  <w:abstractNum w:abstractNumId="124">
    <w:nsid w:val="56438D15"/>
    <w:multiLevelType w:val="hybridMultilevel"/>
    <w:lvl w:ilvl="0">
      <w:lvlJc w:val="left"/>
      <w:lvlText w:val="%1."/>
      <w:numFmt w:val="decimal"/>
      <w:start w:val="2"/>
    </w:lvl>
  </w:abstractNum>
  <w:abstractNum w:abstractNumId="125">
    <w:nsid w:val="519E314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2024-03-18T15:24:26Z</dcterms:created>
  <dcterms:modified xsi:type="dcterms:W3CDTF">2024-03-18T15:24:26Z</dcterms:modified>
</cp:coreProperties>
</file>