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22, 2015</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ABBVIE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44" w:right="239" w:bottom="0" w:gutter="0" w:footer="0" w:header="0"/>
        </w:sectPr>
      </w:pPr>
    </w:p>
    <w:p>
      <w:pPr>
        <w:spacing w:after="0" w:line="205"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001-35565</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32-0375147</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4220" w:space="720"/>
            <w:col w:w="2660" w:space="720"/>
            <w:col w:w="3100"/>
          </w:cols>
          <w:pgMar w:left="240" w:top="544" w:right="239" w:bottom="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 North Waukegan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North Chicago, Illinois 60064-6400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1420"/>
          </w:cols>
          <w:pgMar w:left="240" w:top="544" w:right="239" w:bottom="0" w:gutter="0" w:footer="0" w:header="0"/>
          <w:type w:val="continuous"/>
        </w:sect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(847) 932-7900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x Written communications pursuant to Rule 425 under the Securities Act (17 CFR 230.425)</w:t>
      </w:r>
    </w:p>
    <w:p>
      <w:pPr>
        <w:spacing w:after="0" w:line="22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Amendment to the Merger Agreement</w:t>
      </w:r>
    </w:p>
    <w:p>
      <w:pPr>
        <w:spacing w:after="0" w:line="225" w:lineRule="exact"/>
        <w:rPr>
          <w:sz w:val="24"/>
          <w:szCs w:val="24"/>
          <w:color w:val="auto"/>
        </w:rPr>
      </w:pPr>
    </w:p>
    <w:p>
      <w:pPr>
        <w:ind w:right="280" w:firstLine="648"/>
        <w:spacing w:after="0" w:line="297" w:lineRule="auto"/>
        <w:rPr>
          <w:sz w:val="20"/>
          <w:szCs w:val="20"/>
          <w:color w:val="auto"/>
        </w:rPr>
      </w:pPr>
      <w:r>
        <w:rPr>
          <w:rFonts w:ascii="Arial" w:cs="Arial" w:eastAsia="Arial" w:hAnsi="Arial"/>
          <w:sz w:val="16"/>
          <w:szCs w:val="16"/>
          <w:color w:val="auto"/>
        </w:rPr>
        <w:t>As previously announced, on March 4, 2015, AbbVie Inc., a Delaware corporation (“AbbVie”), Oxford Amherst Corporation, a Delaware corporation and a wholly owned subsidiary of AbbVie (“Purchaser”), Oxford Amherst LLC, a Delaware limited liability company and a wholly owned subsidiary of AbbVie (“Merger Sub 2”) and Pharmacyclics, Inc., a Delaware corporation (“Pharmacyclics”), entered into an Agreement and Plan of Reorganization (the “Merger Agreement”). Capitalized terms used in this Current Report on Form 8-K but not otherwise defined herein shall have the meanings ascribed to those terms in the Merger Agreement, which is filed as Exhibit 2.1 to AbbVie’s Current Report on Form 8-K filed on March 6, 2015.</w:t>
      </w:r>
    </w:p>
    <w:p>
      <w:pPr>
        <w:spacing w:after="0" w:line="158" w:lineRule="exact"/>
        <w:rPr>
          <w:sz w:val="24"/>
          <w:szCs w:val="24"/>
          <w:color w:val="auto"/>
        </w:rPr>
      </w:pPr>
    </w:p>
    <w:p>
      <w:pPr>
        <w:ind w:right="80" w:firstLine="648"/>
        <w:spacing w:after="0" w:line="259" w:lineRule="auto"/>
        <w:rPr>
          <w:sz w:val="20"/>
          <w:szCs w:val="20"/>
          <w:color w:val="auto"/>
        </w:rPr>
      </w:pPr>
      <w:r>
        <w:rPr>
          <w:rFonts w:ascii="Arial" w:cs="Arial" w:eastAsia="Arial" w:hAnsi="Arial"/>
          <w:sz w:val="18"/>
          <w:szCs w:val="18"/>
          <w:color w:val="auto"/>
        </w:rPr>
        <w:t>On March 22, 2015, AbbVie, Purchaser, Merger Sub 2 and Pharmacyclics entered into Amendment No. 1 (the “Merger Agreement Amendment”) to the Agreement and Plan of Reorganization (the “Merger Agreement”). The Merger Agreement Amendment amends the period over which the trading price of AbbVie common stock will be measured in order to calculate the merger consideration per share of Pharmacyclics common stock and makes certain other technical changes to the Merger Agreement.</w:t>
      </w:r>
    </w:p>
    <w:p>
      <w:pPr>
        <w:spacing w:after="0" w:line="187" w:lineRule="exact"/>
        <w:rPr>
          <w:sz w:val="24"/>
          <w:szCs w:val="24"/>
          <w:color w:val="auto"/>
        </w:rPr>
      </w:pPr>
    </w:p>
    <w:p>
      <w:pPr>
        <w:ind w:right="620" w:firstLine="648"/>
        <w:spacing w:after="0" w:line="277" w:lineRule="auto"/>
        <w:rPr>
          <w:sz w:val="20"/>
          <w:szCs w:val="20"/>
          <w:color w:val="auto"/>
        </w:rPr>
      </w:pPr>
      <w:r>
        <w:rPr>
          <w:rFonts w:ascii="Arial" w:cs="Arial" w:eastAsia="Arial" w:hAnsi="Arial"/>
          <w:sz w:val="18"/>
          <w:szCs w:val="18"/>
          <w:color w:val="auto"/>
        </w:rPr>
        <w:t>Other than as expressly modified by the Merger Agreement Amendment, the Merger Agreement remains in full force and effect as originally executed on March 4, 2015.</w:t>
      </w:r>
    </w:p>
    <w:p>
      <w:pPr>
        <w:spacing w:after="0" w:line="170" w:lineRule="exact"/>
        <w:rPr>
          <w:sz w:val="24"/>
          <w:szCs w:val="24"/>
          <w:color w:val="auto"/>
        </w:rPr>
      </w:pPr>
    </w:p>
    <w:p>
      <w:pPr>
        <w:ind w:right="160" w:firstLine="648"/>
        <w:spacing w:after="0" w:line="277" w:lineRule="auto"/>
        <w:rPr>
          <w:sz w:val="20"/>
          <w:szCs w:val="20"/>
          <w:color w:val="auto"/>
        </w:rPr>
      </w:pPr>
      <w:r>
        <w:rPr>
          <w:rFonts w:ascii="Arial" w:cs="Arial" w:eastAsia="Arial" w:hAnsi="Arial"/>
          <w:sz w:val="18"/>
          <w:szCs w:val="18"/>
          <w:color w:val="auto"/>
        </w:rPr>
        <w:t>The preceding summary is qualified in its entirety by reference to the Merger Agreement Amendment, a copy of which is attached as Exhibit 2.1 to this Current Report on Form 8-K and is incorporated herein by reference.</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(d) Exhibits</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1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Number</w:t>
            </w:r>
          </w:p>
        </w:tc>
        <w:tc>
          <w:tcPr>
            <w:tcW w:w="240" w:type="dxa"/>
            <w:vAlign w:val="bottom"/>
          </w:tcPr>
          <w:p>
            <w:pPr>
              <w:spacing w:after="0"/>
              <w:rPr>
                <w:sz w:val="14"/>
                <w:szCs w:val="14"/>
                <w:color w:val="auto"/>
              </w:rPr>
            </w:pPr>
          </w:p>
        </w:tc>
        <w:tc>
          <w:tcPr>
            <w:tcW w:w="9700" w:type="dxa"/>
            <w:vAlign w:val="bottom"/>
            <w:tcBorders>
              <w:bottom w:val="single" w:sz="8" w:color="auto"/>
            </w:tcBorders>
          </w:tcPr>
          <w:p>
            <w:pPr>
              <w:ind w:left="4500"/>
              <w:spacing w:after="0"/>
              <w:rPr>
                <w:sz w:val="20"/>
                <w:szCs w:val="20"/>
                <w:color w:val="auto"/>
              </w:rPr>
            </w:pPr>
            <w:r>
              <w:rPr>
                <w:rFonts w:ascii="Arial" w:cs="Arial" w:eastAsia="Arial" w:hAnsi="Arial"/>
                <w:sz w:val="14"/>
                <w:szCs w:val="14"/>
                <w:b w:val="1"/>
                <w:bCs w:val="1"/>
                <w:color w:val="auto"/>
              </w:rPr>
              <w:t>Description</w:t>
            </w:r>
          </w:p>
        </w:tc>
      </w:tr>
      <w:tr>
        <w:trPr>
          <w:trHeight w:val="426"/>
        </w:trPr>
        <w:tc>
          <w:tcPr>
            <w:tcW w:w="1480" w:type="dxa"/>
            <w:vAlign w:val="bottom"/>
          </w:tcPr>
          <w:p>
            <w:pPr>
              <w:spacing w:after="0"/>
              <w:rPr>
                <w:sz w:val="20"/>
                <w:szCs w:val="20"/>
                <w:color w:val="auto"/>
              </w:rPr>
            </w:pPr>
            <w:r>
              <w:rPr>
                <w:rFonts w:ascii="Arial" w:cs="Arial" w:eastAsia="Arial" w:hAnsi="Arial"/>
                <w:sz w:val="18"/>
                <w:szCs w:val="18"/>
                <w:color w:val="auto"/>
              </w:rPr>
              <w:t>2.1</w:t>
            </w:r>
          </w:p>
        </w:tc>
        <w:tc>
          <w:tcPr>
            <w:tcW w:w="9940" w:type="dxa"/>
            <w:vAlign w:val="bottom"/>
            <w:gridSpan w:val="2"/>
          </w:tcPr>
          <w:p>
            <w:pPr>
              <w:ind w:left="240"/>
              <w:spacing w:after="0"/>
              <w:rPr>
                <w:sz w:val="20"/>
                <w:szCs w:val="20"/>
                <w:color w:val="auto"/>
              </w:rPr>
            </w:pPr>
            <w:r>
              <w:rPr>
                <w:rFonts w:ascii="Arial" w:cs="Arial" w:eastAsia="Arial" w:hAnsi="Arial"/>
                <w:sz w:val="18"/>
                <w:szCs w:val="18"/>
                <w:color w:val="auto"/>
                <w:w w:val="97"/>
              </w:rPr>
              <w:t>Amendment No. 1 to Agreement and Plan of Reorganization by and among AbbVie Inc., Oxford Amherst Corporation, Oxford</w:t>
            </w:r>
          </w:p>
        </w:tc>
      </w:tr>
    </w:tbl>
    <w:p>
      <w:pPr>
        <w:sectPr>
          <w:pgSz w:w="11900" w:h="16838" w:orient="portrait"/>
          <w:cols w:equalWidth="0" w:num="1">
            <w:col w:w="11420"/>
          </w:cols>
          <w:pgMar w:left="240" w:top="544" w:right="239" w:bottom="0" w:gutter="0" w:footer="0" w:header="0"/>
          <w:type w:val="continuous"/>
        </w:sectPr>
      </w:pPr>
    </w:p>
    <w:bookmarkStart w:id="1" w:name="page2"/>
    <w:bookmarkEnd w:id="1"/>
    <w:p>
      <w:pPr>
        <w:ind w:left="1720"/>
        <w:spacing w:after="0"/>
        <w:rPr>
          <w:sz w:val="20"/>
          <w:szCs w:val="20"/>
          <w:color w:val="auto"/>
        </w:rPr>
      </w:pPr>
      <w:r>
        <w:rPr>
          <w:rFonts w:ascii="Arial" w:cs="Arial" w:eastAsia="Arial" w:hAnsi="Arial"/>
          <w:sz w:val="18"/>
          <w:szCs w:val="18"/>
          <w:color w:val="auto"/>
        </w:rPr>
        <w:t>Amherst LLC and Pharmacyclics, Inc. dated as of March 22,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Information and Where to Find It</w:t>
      </w:r>
    </w:p>
    <w:p>
      <w:pPr>
        <w:spacing w:after="0" w:line="229"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tender offer referenced in this Current Report on Form 8-K has not yet commenced. This report is for informational purposes only and is neither an offer to purchase nor a solicitation of an offer to sell shares, nor is it a substitute for the tender offer materials that AbbVie Inc. (“AbbVie”)</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and its acquisition subsidiary will file with the U.S. Securities and Exchange Commission (“SEC”). At the time the tender offer is commenced, AbbVie and its acquisition subsidiary will file a tender offer statement on Schedule TO, AbbVie will file a registration statement on Form S-4, and Pharmacyclics will file a Solicitation/Recommendation Statement on Schedule 14D-9 with the SEC with respect to the tender offer. THE TENDER OFFER MATERIALS (INCLUDING AN OFFER TO EXCHANGE, A RELATED LETTER OF TRANSMITTAL AND CERTAIN OTHER TENDER OFFER DOCUMENTS) AND THE SOLICITATION/RECOMMENDATION STATEMENT WILL CONTAIN IMPORTANT INFORMATION. PHARMACYCLICS STOCKHOLDERS ARE URGED TO READ THESE DOCUMENTS CAREFULLY WHEN THEY BECOME AVAILABLE BECAUSE THEY WILL CONTAIN IMPORTANT INFORMATION THAT HOLDERS OF PHARMACYCLICS SECURITIES SHOULD CONSIDER BEFORE MAKING ANY DECISION REGARDING EXCHANGING THEIR SECURITIES. The Offer to Exchange, the related Letter of Transmittal and certain other tender offer documents, as well as the Solicitation/Recommendation Statement, will be made available to all holders of Pharmacyclics stock at no expense to them. The tender offer materials and the Solicitation/Recommendation Statement will be made available for free at the SEC’s website at www.sec.gov. Additional copies may be obtained for free by contacting AbbVie’s Investor Relations department at 847-932-7900.</w:t>
      </w:r>
    </w:p>
    <w:p>
      <w:pPr>
        <w:spacing w:after="0" w:line="18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addition to the Offer to Exchange, the related Letter of Transmittal and certain other tender offer documents, as well as the Solicitation/Recommendation Statement, AbbVie files annual, quarterly and current reports and other information with the SEC. You may read and copy any reports or other information filed by AbbVie at the SEC public reference room at 100 F Street, N.E., Washington, D.C. 20549. Please call the SEC at 1-800-SEC-0330 for further information on the public reference room. AbbVie’s filings with the SEC are also available to the public from commercial document-retrieval services and at the website maintained by the SEC at http://www.sec.gov.</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Some statements in this Current Report on Form 8-K may be forward-looking statements for purposes of the Private Securities Litigation Reform Act of 1995. The words “believe,” “expect,” “anticipate,” “project” and similar expressions, among others, generally identify forward-looking statements. AbbVie cautions that these forward-looking statements are subject to risks and uncertainties that may cause actual results to differ materially from those indicated in the forward-looking statements. Such risks and uncertainties include, but are not limited to, the likelihood that the transaction is consummated, the expected benefits of the transaction, challenges to intellectual property, competition from other products, difficulties inherent in the research and development process, adverse litigation or government action, and changes to laws and regulations applicable to our industry. Additional information about the economic, competitive, governmental, technological and other factors that may affect AbbVie’s operations is set forth in Item 1A, “Risk Factors,” in AbbVie’s 2014 Annual Report on Form 10-K, which has been filed with the Securities and Exchange Commission. AbbVie undertakes no obligation to release publicly any revisions to forward-looking statements as a result of subsequent events or developments, except as required by law.</w:t>
      </w:r>
    </w:p>
    <w:p>
      <w:pPr>
        <w:spacing w:after="0" w:line="16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340" w:firstLine="82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3220" w:type="dxa"/>
            <w:vAlign w:val="bottom"/>
            <w:gridSpan w:val="2"/>
          </w:tcPr>
          <w:p>
            <w:pPr>
              <w:ind w:left="2080"/>
              <w:spacing w:after="0"/>
              <w:rPr>
                <w:sz w:val="20"/>
                <w:szCs w:val="20"/>
                <w:color w:val="auto"/>
              </w:rPr>
            </w:pPr>
            <w:r>
              <w:rPr>
                <w:rFonts w:ascii="Arial" w:cs="Arial" w:eastAsia="Arial" w:hAnsi="Arial"/>
                <w:sz w:val="18"/>
                <w:szCs w:val="18"/>
                <w:b w:val="1"/>
                <w:bCs w:val="1"/>
                <w:color w:val="auto"/>
              </w:rPr>
              <w:t>ABBVIE INC.</w:t>
            </w:r>
          </w:p>
        </w:tc>
        <w:tc>
          <w:tcPr>
            <w:tcW w:w="45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3660" w:type="dxa"/>
            <w:vAlign w:val="bottom"/>
          </w:tcPr>
          <w:p>
            <w:pPr>
              <w:spacing w:after="0"/>
              <w:rPr>
                <w:sz w:val="24"/>
                <w:szCs w:val="24"/>
                <w:color w:val="auto"/>
              </w:rPr>
            </w:pPr>
          </w:p>
        </w:tc>
        <w:tc>
          <w:tcPr>
            <w:tcW w:w="7760" w:type="dxa"/>
            <w:vAlign w:val="bottom"/>
            <w:gridSpan w:val="3"/>
          </w:tcPr>
          <w:p>
            <w:pPr>
              <w:ind w:left="2080"/>
              <w:spacing w:after="0"/>
              <w:rPr>
                <w:sz w:val="20"/>
                <w:szCs w:val="20"/>
                <w:color w:val="auto"/>
              </w:rPr>
            </w:pPr>
            <w:r>
              <w:rPr>
                <w:rFonts w:ascii="Arial" w:cs="Arial" w:eastAsia="Arial" w:hAnsi="Arial"/>
                <w:sz w:val="18"/>
                <w:szCs w:val="18"/>
                <w:color w:val="auto"/>
              </w:rPr>
              <w:t>By:  /s/ William J. Chase</w:t>
            </w:r>
          </w:p>
        </w:tc>
        <w:tc>
          <w:tcPr>
            <w:tcW w:w="40" w:type="dxa"/>
            <w:vAlign w:val="bottom"/>
          </w:tcPr>
          <w:p>
            <w:pPr>
              <w:spacing w:after="0"/>
              <w:rPr>
                <w:sz w:val="24"/>
                <w:szCs w:val="24"/>
                <w:color w:val="auto"/>
              </w:rPr>
            </w:pPr>
          </w:p>
        </w:tc>
      </w:tr>
      <w:tr>
        <w:trPr>
          <w:trHeight w:val="195"/>
        </w:trPr>
        <w:tc>
          <w:tcPr>
            <w:tcW w:w="36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William J. Chase</w:t>
            </w:r>
          </w:p>
        </w:tc>
        <w:tc>
          <w:tcPr>
            <w:tcW w:w="40" w:type="dxa"/>
            <w:vAlign w:val="bottom"/>
          </w:tcPr>
          <w:p>
            <w:pPr>
              <w:spacing w:after="0"/>
              <w:rPr>
                <w:sz w:val="16"/>
                <w:szCs w:val="16"/>
                <w:color w:val="auto"/>
              </w:rPr>
            </w:pPr>
          </w:p>
        </w:tc>
      </w:tr>
      <w:tr>
        <w:trPr>
          <w:trHeight w:val="230"/>
        </w:trPr>
        <w:tc>
          <w:tcPr>
            <w:tcW w:w="3660" w:type="dxa"/>
            <w:vAlign w:val="bottom"/>
          </w:tcPr>
          <w:p>
            <w:pPr>
              <w:ind w:left="60"/>
              <w:spacing w:after="0"/>
              <w:rPr>
                <w:sz w:val="20"/>
                <w:szCs w:val="20"/>
                <w:color w:val="auto"/>
              </w:rPr>
            </w:pPr>
            <w:r>
              <w:rPr>
                <w:rFonts w:ascii="Arial" w:cs="Arial" w:eastAsia="Arial" w:hAnsi="Arial"/>
                <w:sz w:val="18"/>
                <w:szCs w:val="18"/>
                <w:color w:val="auto"/>
              </w:rPr>
              <w:t>Date: March 23, 2015</w:t>
            </w:r>
          </w:p>
        </w:tc>
        <w:tc>
          <w:tcPr>
            <w:tcW w:w="252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20"/>
              <w:spacing w:after="0"/>
              <w:rPr>
                <w:sz w:val="20"/>
                <w:szCs w:val="20"/>
                <w:color w:val="auto"/>
              </w:rPr>
            </w:pPr>
            <w:r>
              <w:rPr>
                <w:rFonts w:ascii="Arial" w:cs="Arial" w:eastAsia="Arial" w:hAnsi="Arial"/>
                <w:sz w:val="18"/>
                <w:szCs w:val="18"/>
                <w:color w:val="auto"/>
              </w:rPr>
              <w:t>Executive Vice President, Chief Financial Officer</w:t>
            </w:r>
          </w:p>
        </w:tc>
        <w:tc>
          <w:tcPr>
            <w:tcW w:w="40" w:type="dxa"/>
            <w:vAlign w:val="bottom"/>
          </w:tcPr>
          <w:p>
            <w:pPr>
              <w:spacing w:after="0"/>
              <w:rPr>
                <w:sz w:val="20"/>
                <w:szCs w:val="20"/>
                <w:color w:val="auto"/>
              </w:rPr>
            </w:pPr>
          </w:p>
        </w:tc>
      </w:tr>
      <w:tr>
        <w:trPr>
          <w:trHeight w:val="432"/>
        </w:trPr>
        <w:tc>
          <w:tcPr>
            <w:tcW w:w="3660" w:type="dxa"/>
            <w:vAlign w:val="bottom"/>
          </w:tcPr>
          <w:p>
            <w:pPr>
              <w:spacing w:after="0"/>
              <w:rPr>
                <w:sz w:val="24"/>
                <w:szCs w:val="24"/>
                <w:color w:val="auto"/>
              </w:rPr>
            </w:pPr>
          </w:p>
        </w:tc>
        <w:tc>
          <w:tcPr>
            <w:tcW w:w="2520" w:type="dxa"/>
            <w:vAlign w:val="bottom"/>
          </w:tcPr>
          <w:p>
            <w:pPr>
              <w:jc w:val="right"/>
              <w:ind w:right="330"/>
              <w:spacing w:after="0"/>
              <w:rPr>
                <w:sz w:val="20"/>
                <w:szCs w:val="20"/>
                <w:color w:val="auto"/>
              </w:rPr>
            </w:pPr>
            <w:r>
              <w:rPr>
                <w:rFonts w:ascii="Arial" w:cs="Arial" w:eastAsia="Arial" w:hAnsi="Arial"/>
                <w:sz w:val="18"/>
                <w:szCs w:val="18"/>
                <w:color w:val="auto"/>
              </w:rPr>
              <w:t>4</w:t>
            </w:r>
          </w:p>
        </w:tc>
        <w:tc>
          <w:tcPr>
            <w:tcW w:w="7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60" w:type="dxa"/>
            <w:vAlign w:val="bottom"/>
            <w:tcBorders>
              <w:bottom w:val="single" w:sz="8" w:color="010101"/>
            </w:tcBorders>
          </w:tcPr>
          <w:p>
            <w:pPr>
              <w:spacing w:after="0"/>
              <w:rPr>
                <w:sz w:val="11"/>
                <w:szCs w:val="11"/>
                <w:color w:val="auto"/>
              </w:rPr>
            </w:pPr>
          </w:p>
        </w:tc>
        <w:tc>
          <w:tcPr>
            <w:tcW w:w="252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45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00" w:type="dxa"/>
            <w:vAlign w:val="bottom"/>
          </w:tcPr>
          <w:p>
            <w:pPr>
              <w:ind w:left="330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1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Number</w:t>
            </w:r>
          </w:p>
        </w:tc>
        <w:tc>
          <w:tcPr>
            <w:tcW w:w="240" w:type="dxa"/>
            <w:vAlign w:val="bottom"/>
          </w:tcPr>
          <w:p>
            <w:pPr>
              <w:spacing w:after="0"/>
              <w:rPr>
                <w:sz w:val="24"/>
                <w:szCs w:val="24"/>
                <w:color w:val="auto"/>
              </w:rPr>
            </w:pPr>
          </w:p>
        </w:tc>
        <w:tc>
          <w:tcPr>
            <w:tcW w:w="9700" w:type="dxa"/>
            <w:vAlign w:val="bottom"/>
            <w:tcBorders>
              <w:bottom w:val="single" w:sz="8" w:color="auto"/>
            </w:tcBorders>
          </w:tcPr>
          <w:p>
            <w:pPr>
              <w:ind w:left="4500"/>
              <w:spacing w:after="0"/>
              <w:rPr>
                <w:sz w:val="20"/>
                <w:szCs w:val="20"/>
                <w:color w:val="auto"/>
              </w:rPr>
            </w:pPr>
            <w:r>
              <w:rPr>
                <w:rFonts w:ascii="Arial" w:cs="Arial" w:eastAsia="Arial" w:hAnsi="Arial"/>
                <w:sz w:val="14"/>
                <w:szCs w:val="14"/>
                <w:b w:val="1"/>
                <w:bCs w:val="1"/>
                <w:color w:val="auto"/>
              </w:rPr>
              <w:t>Description</w:t>
            </w:r>
          </w:p>
        </w:tc>
      </w:tr>
      <w:tr>
        <w:trPr>
          <w:trHeight w:val="411"/>
        </w:trPr>
        <w:tc>
          <w:tcPr>
            <w:tcW w:w="1480" w:type="dxa"/>
            <w:vAlign w:val="bottom"/>
          </w:tcPr>
          <w:p>
            <w:pPr>
              <w:spacing w:after="0"/>
              <w:rPr>
                <w:sz w:val="20"/>
                <w:szCs w:val="20"/>
                <w:color w:val="auto"/>
              </w:rPr>
            </w:pPr>
            <w:r>
              <w:rPr>
                <w:rFonts w:ascii="Arial" w:cs="Arial" w:eastAsia="Arial" w:hAnsi="Arial"/>
                <w:sz w:val="18"/>
                <w:szCs w:val="18"/>
                <w:color w:val="auto"/>
              </w:rPr>
              <w:t>2.1</w:t>
            </w:r>
          </w:p>
        </w:tc>
        <w:tc>
          <w:tcPr>
            <w:tcW w:w="9940" w:type="dxa"/>
            <w:vAlign w:val="bottom"/>
            <w:gridSpan w:val="2"/>
          </w:tcPr>
          <w:p>
            <w:pPr>
              <w:ind w:left="240"/>
              <w:spacing w:after="0"/>
              <w:rPr>
                <w:sz w:val="20"/>
                <w:szCs w:val="20"/>
                <w:color w:val="auto"/>
              </w:rPr>
            </w:pPr>
            <w:r>
              <w:rPr>
                <w:rFonts w:ascii="Arial" w:cs="Arial" w:eastAsia="Arial" w:hAnsi="Arial"/>
                <w:sz w:val="18"/>
                <w:szCs w:val="18"/>
                <w:color w:val="auto"/>
                <w:w w:val="97"/>
              </w:rPr>
              <w:t>Amendment No. 1 to Agreement and Plan of Reorganization by and among AbbVie Inc., Oxford Amherst Corporation, Oxford</w:t>
            </w:r>
          </w:p>
        </w:tc>
      </w:tr>
      <w:tr>
        <w:trPr>
          <w:trHeight w:val="230"/>
        </w:trPr>
        <w:tc>
          <w:tcPr>
            <w:tcW w:w="1480" w:type="dxa"/>
            <w:vAlign w:val="bottom"/>
          </w:tcPr>
          <w:p>
            <w:pPr>
              <w:spacing w:after="0"/>
              <w:rPr>
                <w:sz w:val="20"/>
                <w:szCs w:val="20"/>
                <w:color w:val="auto"/>
              </w:rPr>
            </w:pPr>
          </w:p>
        </w:tc>
        <w:tc>
          <w:tcPr>
            <w:tcW w:w="9940" w:type="dxa"/>
            <w:vAlign w:val="bottom"/>
            <w:gridSpan w:val="2"/>
          </w:tcPr>
          <w:p>
            <w:pPr>
              <w:ind w:left="240"/>
              <w:spacing w:after="0"/>
              <w:rPr>
                <w:sz w:val="20"/>
                <w:szCs w:val="20"/>
                <w:color w:val="auto"/>
              </w:rPr>
            </w:pPr>
            <w:r>
              <w:rPr>
                <w:rFonts w:ascii="Arial" w:cs="Arial" w:eastAsia="Arial" w:hAnsi="Arial"/>
                <w:sz w:val="18"/>
                <w:szCs w:val="18"/>
                <w:color w:val="auto"/>
              </w:rPr>
              <w:t>Amherst LLC and Pharmacyclics, Inc. dated as of March 22, 2015</w:t>
            </w:r>
          </w:p>
        </w:tc>
      </w:tr>
    </w:tbl>
    <w:p>
      <w:pPr>
        <w:spacing w:after="0" w:line="200" w:lineRule="exact"/>
        <w:rPr>
          <w:sz w:val="20"/>
          <w:szCs w:val="20"/>
          <w:color w:val="auto"/>
        </w:rPr>
      </w:pPr>
    </w:p>
    <w:p>
      <w:pPr>
        <w:sectPr>
          <w:pgSz w:w="11900" w:h="16838" w:orient="portrait"/>
          <w:cols w:equalWidth="0" w:num="1">
            <w:col w:w="11460"/>
          </w:cols>
          <w:pgMar w:left="240" w:top="125" w:right="199" w:bottom="1440" w:gutter="0" w:footer="0" w:header="0"/>
        </w:sectPr>
      </w:pPr>
    </w:p>
    <w:p>
      <w:pPr>
        <w:spacing w:after="0" w:line="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type w:val="continuous"/>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AND PLAN OF REORGANIZATION</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This AMENDMENT NO. 1 (this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March 22, 2015, to the Agreement and Plan of Reorganization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Reorganization Agreement</w:t>
      </w:r>
      <w:r>
        <w:rPr>
          <w:rFonts w:ascii="Arial" w:cs="Arial" w:eastAsia="Arial" w:hAnsi="Arial"/>
          <w:sz w:val="16"/>
          <w:szCs w:val="16"/>
          <w:color w:val="auto"/>
        </w:rPr>
        <w:t>”), dated as of March 4, 2015, is by and among AbbVie Inc., a Delaware corporation (“</w:t>
      </w:r>
      <w:r>
        <w:rPr>
          <w:rFonts w:ascii="Arial" w:cs="Arial" w:eastAsia="Arial" w:hAnsi="Arial"/>
          <w:sz w:val="16"/>
          <w:szCs w:val="16"/>
          <w:u w:val="single" w:color="auto"/>
          <w:color w:val="auto"/>
        </w:rPr>
        <w:t>Parent</w:t>
      </w:r>
      <w:r>
        <w:rPr>
          <w:rFonts w:ascii="Arial" w:cs="Arial" w:eastAsia="Arial" w:hAnsi="Arial"/>
          <w:sz w:val="16"/>
          <w:szCs w:val="16"/>
          <w:color w:val="auto"/>
        </w:rPr>
        <w:t>”), Oxford Amherst Corporation,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 corporation and a direct wholly owned subsidiary of Parent (“</w:t>
      </w:r>
      <w:r>
        <w:rPr>
          <w:rFonts w:ascii="Arial" w:cs="Arial" w:eastAsia="Arial" w:hAnsi="Arial"/>
          <w:sz w:val="16"/>
          <w:szCs w:val="16"/>
          <w:u w:val="single" w:color="auto"/>
          <w:color w:val="auto"/>
        </w:rPr>
        <w:t>Purchaser</w:t>
      </w:r>
      <w:r>
        <w:rPr>
          <w:rFonts w:ascii="Arial" w:cs="Arial" w:eastAsia="Arial" w:hAnsi="Arial"/>
          <w:sz w:val="16"/>
          <w:szCs w:val="16"/>
          <w:color w:val="auto"/>
        </w:rPr>
        <w:t>”), Oxford Amherst LLC, a Delaware limited liability company and a direct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wholly owned subsidiary of Parent (“</w:t>
      </w:r>
      <w:r>
        <w:rPr>
          <w:rFonts w:ascii="Arial" w:cs="Arial" w:eastAsia="Arial" w:hAnsi="Arial"/>
          <w:sz w:val="16"/>
          <w:szCs w:val="16"/>
          <w:u w:val="single" w:color="auto"/>
          <w:color w:val="auto"/>
        </w:rPr>
        <w:t>Merger Sub 2</w:t>
      </w:r>
      <w:r>
        <w:rPr>
          <w:rFonts w:ascii="Arial" w:cs="Arial" w:eastAsia="Arial" w:hAnsi="Arial"/>
          <w:sz w:val="16"/>
          <w:szCs w:val="16"/>
          <w:color w:val="auto"/>
        </w:rPr>
        <w:t>” and, together with Purchaser, the “</w:t>
      </w:r>
      <w:r>
        <w:rPr>
          <w:rFonts w:ascii="Arial" w:cs="Arial" w:eastAsia="Arial" w:hAnsi="Arial"/>
          <w:sz w:val="16"/>
          <w:szCs w:val="16"/>
          <w:u w:val="single" w:color="auto"/>
          <w:color w:val="auto"/>
        </w:rPr>
        <w:t>Merger Subs</w:t>
      </w:r>
      <w:r>
        <w:rPr>
          <w:rFonts w:ascii="Arial" w:cs="Arial" w:eastAsia="Arial" w:hAnsi="Arial"/>
          <w:sz w:val="16"/>
          <w:szCs w:val="16"/>
          <w:color w:val="auto"/>
        </w:rPr>
        <w:t>”), and Pharmacyclics, Inc., a Delaware corporation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the parties desire to amend certain provisions of the Reorganization Agreement as described herein.</w:t>
      </w:r>
    </w:p>
    <w:p>
      <w:pPr>
        <w:spacing w:after="0" w:line="225"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NOW, THEREFORE, in consideration of the mutual agreements set forth in the Reorganization Agreement and this Amendment, and for other good and valuable consideration, the receipt and sufficiency of which are hereby acknowledged, the Parent, Purchaser, Merger Sub 2, and the Company hereby agree as follows:</w:t>
      </w:r>
    </w:p>
    <w:p>
      <w:pPr>
        <w:spacing w:after="0" w:line="181" w:lineRule="exact"/>
        <w:rPr>
          <w:sz w:val="20"/>
          <w:szCs w:val="20"/>
          <w:color w:val="auto"/>
        </w:rPr>
      </w:pPr>
    </w:p>
    <w:p>
      <w:pPr>
        <w:ind w:left="2020" w:hanging="715"/>
        <w:spacing w:after="0"/>
        <w:tabs>
          <w:tab w:leader="none" w:pos="2020" w:val="left"/>
        </w:tabs>
        <w:numPr>
          <w:ilvl w:val="0"/>
          <w:numId w:val="2"/>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Terms used herein and not defined shall have the meanings ascribed thereto in the Reorganization Agreement.</w:t>
      </w:r>
    </w:p>
    <w:p>
      <w:pPr>
        <w:spacing w:after="0" w:line="236" w:lineRule="exact"/>
        <w:rPr>
          <w:rFonts w:ascii="Arial" w:cs="Arial" w:eastAsia="Arial" w:hAnsi="Arial"/>
          <w:sz w:val="17"/>
          <w:szCs w:val="17"/>
          <w:color w:val="auto"/>
        </w:rPr>
      </w:pPr>
    </w:p>
    <w:p>
      <w:pPr>
        <w:ind w:right="180" w:firstLine="1305"/>
        <w:spacing w:after="0" w:line="359" w:lineRule="auto"/>
        <w:tabs>
          <w:tab w:leader="none" w:pos="2017"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Closing</w:t>
      </w:r>
      <w:r>
        <w:rPr>
          <w:rFonts w:ascii="Arial" w:cs="Arial" w:eastAsia="Arial" w:hAnsi="Arial"/>
          <w:sz w:val="16"/>
          <w:szCs w:val="16"/>
          <w:color w:val="auto"/>
        </w:rPr>
        <w:t>. The first sentence of Section 2.2 of the Reorganization Agreement is hereby amended by replacing the words “, and in any case no later than the second (2</w:t>
      </w:r>
      <w:r>
        <w:rPr>
          <w:rFonts w:ascii="Arial" w:cs="Arial" w:eastAsia="Arial" w:hAnsi="Arial"/>
          <w:sz w:val="20"/>
          <w:szCs w:val="20"/>
          <w:color w:val="auto"/>
          <w:vertAlign w:val="superscript"/>
        </w:rPr>
        <w:t>nd</w:t>
      </w:r>
      <w:r>
        <w:rPr>
          <w:rFonts w:ascii="Arial" w:cs="Arial" w:eastAsia="Arial" w:hAnsi="Arial"/>
          <w:sz w:val="16"/>
          <w:szCs w:val="16"/>
          <w:color w:val="auto"/>
        </w:rPr>
        <w:t>) business day after” with the words “(and on the same date on which the Acceptance Time occurs), subject to the”.</w:t>
      </w:r>
    </w:p>
    <w:p>
      <w:pPr>
        <w:spacing w:after="0" w:line="29" w:lineRule="exact"/>
        <w:rPr>
          <w:rFonts w:ascii="Arial" w:cs="Arial" w:eastAsia="Arial" w:hAnsi="Arial"/>
          <w:sz w:val="16"/>
          <w:szCs w:val="16"/>
          <w:color w:val="auto"/>
        </w:rPr>
      </w:pPr>
    </w:p>
    <w:p>
      <w:pPr>
        <w:ind w:right="140" w:firstLine="1305"/>
        <w:spacing w:after="0" w:line="277" w:lineRule="auto"/>
        <w:tabs>
          <w:tab w:leader="none" w:pos="2017"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Parent Trading Price</w:t>
      </w:r>
      <w:r>
        <w:rPr>
          <w:rFonts w:ascii="Arial" w:cs="Arial" w:eastAsia="Arial" w:hAnsi="Arial"/>
          <w:sz w:val="18"/>
          <w:szCs w:val="18"/>
          <w:color w:val="auto"/>
        </w:rPr>
        <w:t>. The definition of “Parent Trading Price” in Annex A of the Reorganization Agreement is hereby amended and restated in its entirety to read as follows:</w:t>
      </w:r>
    </w:p>
    <w:p>
      <w:pPr>
        <w:spacing w:after="0" w:line="170" w:lineRule="exact"/>
        <w:rPr>
          <w:sz w:val="20"/>
          <w:szCs w:val="20"/>
          <w:color w:val="auto"/>
        </w:rPr>
      </w:pPr>
    </w:p>
    <w:p>
      <w:pPr>
        <w:ind w:left="1300" w:right="10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Trading Price</w:t>
      </w:r>
      <w:r>
        <w:rPr>
          <w:rFonts w:ascii="Arial" w:cs="Arial" w:eastAsia="Arial" w:hAnsi="Arial"/>
          <w:sz w:val="18"/>
          <w:szCs w:val="18"/>
          <w:color w:val="auto"/>
        </w:rPr>
        <w:t>” means the volume weighted average sale price per share of Parent Common Stock as reported on the Parent Stock Exchange for the ten (10) consecutive trading days ending on and including the second trading day prior to the expiration date of the Offer, as calculated by Bloomberg Financial LP under the function “ABBV UN Equity AQR” (as adjusted as appropriate to reflect any stock splits, stock dividends, combinations, reorganizations, reclassifications or similar events).</w:t>
      </w:r>
    </w:p>
    <w:p>
      <w:pPr>
        <w:spacing w:after="0" w:line="187" w:lineRule="exact"/>
        <w:rPr>
          <w:sz w:val="20"/>
          <w:szCs w:val="20"/>
          <w:color w:val="auto"/>
        </w:rPr>
      </w:pPr>
    </w:p>
    <w:p>
      <w:pPr>
        <w:ind w:left="2020" w:hanging="715"/>
        <w:spacing w:after="0"/>
        <w:tabs>
          <w:tab w:leader="none" w:pos="2020" w:val="left"/>
        </w:tabs>
        <w:numPr>
          <w:ilvl w:val="1"/>
          <w:numId w:val="3"/>
        </w:numPr>
        <w:rPr>
          <w:rFonts w:ascii="Arial" w:cs="Arial" w:eastAsia="Arial" w:hAnsi="Arial"/>
          <w:sz w:val="17"/>
          <w:szCs w:val="17"/>
          <w:color w:val="auto"/>
        </w:rPr>
      </w:pPr>
      <w:r>
        <w:rPr>
          <w:rFonts w:ascii="Arial" w:cs="Arial" w:eastAsia="Arial" w:hAnsi="Arial"/>
          <w:sz w:val="17"/>
          <w:szCs w:val="17"/>
          <w:u w:val="single" w:color="auto"/>
          <w:color w:val="auto"/>
        </w:rPr>
        <w:t>Company and Product Name</w:t>
      </w:r>
      <w:r>
        <w:rPr>
          <w:rFonts w:ascii="Arial" w:cs="Arial" w:eastAsia="Arial" w:hAnsi="Arial"/>
          <w:sz w:val="17"/>
          <w:szCs w:val="17"/>
          <w:color w:val="auto"/>
        </w:rPr>
        <w:t>. The first sentence of Section 7.16 of the Reorganization Agreement is hereby amended by</w:t>
      </w:r>
    </w:p>
    <w:p>
      <w:pPr>
        <w:spacing w:after="0" w:line="34" w:lineRule="exact"/>
        <w:rPr>
          <w:rFonts w:ascii="Arial" w:cs="Arial" w:eastAsia="Arial" w:hAnsi="Arial"/>
          <w:sz w:val="17"/>
          <w:szCs w:val="17"/>
          <w:color w:val="auto"/>
        </w:rPr>
      </w:pPr>
    </w:p>
    <w:p>
      <w:pPr>
        <w:ind w:right="240" w:firstLine="8"/>
        <w:spacing w:after="0" w:line="261" w:lineRule="auto"/>
        <w:tabs>
          <w:tab w:leader="none" w:pos="245"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replacing the phrase “Pharmacyclics, Inc.” with the word “Pharmacyclics” and (b) replacing the phrase “contain ‘Imbruvica’ in its legal name” with the phrase “contain ‘Pharmacyclics’ in its legal name.”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9" w:lineRule="exact"/>
        <w:rPr>
          <w:rFonts w:ascii="Arial" w:cs="Arial" w:eastAsia="Arial" w:hAnsi="Arial"/>
          <w:sz w:val="18"/>
          <w:szCs w:val="18"/>
          <w:color w:val="auto"/>
        </w:rPr>
      </w:pPr>
    </w:p>
    <w:p>
      <w:pPr>
        <w:ind w:right="40" w:firstLine="1305"/>
        <w:spacing w:after="0" w:line="259" w:lineRule="auto"/>
        <w:tabs>
          <w:tab w:leader="none" w:pos="2017"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Effect of Amendment</w:t>
      </w:r>
      <w:r>
        <w:rPr>
          <w:rFonts w:ascii="Arial" w:cs="Arial" w:eastAsia="Arial" w:hAnsi="Arial"/>
          <w:sz w:val="18"/>
          <w:szCs w:val="18"/>
          <w:color w:val="auto"/>
        </w:rPr>
        <w:t>. This Amendment shall not constitute an amendment or waiver of any provision of the Reorganization Agreement not expressly amended or waived herein and shall not be construed as an amendment, waiver or consent to any action that would require an amendment, waiver or consent except as expressly stated herein. The Reorganization Agreement, as amended by this Amendment, is and shall continue to be in full force and effect and is in all respects ratified and confirmed hereby.</w:t>
      </w:r>
    </w:p>
    <w:p>
      <w:pPr>
        <w:spacing w:after="0" w:line="186" w:lineRule="exact"/>
        <w:rPr>
          <w:rFonts w:ascii="Arial" w:cs="Arial" w:eastAsia="Arial" w:hAnsi="Arial"/>
          <w:sz w:val="18"/>
          <w:szCs w:val="18"/>
          <w:color w:val="auto"/>
        </w:rPr>
      </w:pPr>
    </w:p>
    <w:p>
      <w:pPr>
        <w:ind w:firstLine="1305"/>
        <w:spacing w:after="0" w:line="264" w:lineRule="auto"/>
        <w:tabs>
          <w:tab w:leader="none" w:pos="2017"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manually or by facsimile by the Parties, in any number of counterparts, each of which shall be considered one and the same agreement and shall become effective when a counterpart hereof shall have been signed by each of the Parties and delivered to the other Parties.</w:t>
      </w:r>
    </w:p>
    <w:p>
      <w:pPr>
        <w:spacing w:after="0" w:line="181" w:lineRule="exact"/>
        <w:rPr>
          <w:rFonts w:ascii="Arial" w:cs="Arial" w:eastAsia="Arial" w:hAnsi="Arial"/>
          <w:sz w:val="18"/>
          <w:szCs w:val="18"/>
          <w:color w:val="auto"/>
        </w:rPr>
      </w:pPr>
    </w:p>
    <w:p>
      <w:pPr>
        <w:ind w:right="320" w:firstLine="1305"/>
        <w:spacing w:after="0" w:line="277" w:lineRule="auto"/>
        <w:tabs>
          <w:tab w:leader="none" w:pos="2017"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shall be governed by, and construed in accordance with, the laws of the State of Delaware, without giving effect to conflicts of laws principles that would result in the application of the Law of any other state.</w:t>
      </w:r>
    </w:p>
    <w:p>
      <w:pPr>
        <w:spacing w:after="0" w:line="170" w:lineRule="exact"/>
        <w:rPr>
          <w:rFonts w:ascii="Arial" w:cs="Arial" w:eastAsia="Arial" w:hAnsi="Arial"/>
          <w:sz w:val="18"/>
          <w:szCs w:val="18"/>
          <w:color w:val="auto"/>
        </w:rPr>
      </w:pPr>
    </w:p>
    <w:p>
      <w:pPr>
        <w:ind w:right="220" w:firstLine="1305"/>
        <w:spacing w:after="0" w:line="264" w:lineRule="auto"/>
        <w:tabs>
          <w:tab w:leader="none" w:pos="2017"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Other Miscellaneous Terms</w:t>
      </w:r>
      <w:r>
        <w:rPr>
          <w:rFonts w:ascii="Arial" w:cs="Arial" w:eastAsia="Arial" w:hAnsi="Arial"/>
          <w:sz w:val="18"/>
          <w:szCs w:val="18"/>
          <w:color w:val="auto"/>
        </w:rPr>
        <w:t xml:space="preserve">. The provisions of Article X (Miscellaneous) of the Reorganization Agreement shall apply </w:t>
      </w:r>
      <w:r>
        <w:rPr>
          <w:rFonts w:ascii="Arial" w:cs="Arial" w:eastAsia="Arial" w:hAnsi="Arial"/>
          <w:sz w:val="18"/>
          <w:szCs w:val="18"/>
          <w:i w:val="1"/>
          <w:iCs w:val="1"/>
          <w:color w:val="auto"/>
        </w:rPr>
        <w:t>mutatis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mutandis </w:t>
      </w:r>
      <w:r>
        <w:rPr>
          <w:rFonts w:ascii="Arial" w:cs="Arial" w:eastAsia="Arial" w:hAnsi="Arial"/>
          <w:sz w:val="18"/>
          <w:szCs w:val="18"/>
          <w:color w:val="auto"/>
        </w:rPr>
        <w:t>to this Amendment, and to the Reorganization Agreement as modified by this Amendment, taken together as a single agreement, reflecting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terms as modified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-2458720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 WITNESS WHEREOF, Parent, the Merger Subs and the Company have caused this Amendment to be duly executed and delivered as of the date first above written.</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ABBVIE INC.</w:t>
      </w:r>
    </w:p>
    <w:p>
      <w:pPr>
        <w:spacing w:after="0" w:line="225" w:lineRule="exact"/>
        <w:rPr>
          <w:sz w:val="20"/>
          <w:szCs w:val="20"/>
          <w:color w:val="auto"/>
        </w:rPr>
      </w:pPr>
    </w:p>
    <w:tbl>
      <w:tblPr>
        <w:tblLayout w:type="fixed"/>
        <w:tblInd w:w="574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J. Chase</w:t>
            </w:r>
          </w:p>
        </w:tc>
      </w:tr>
      <w:tr>
        <w:trPr>
          <w:trHeight w:val="195"/>
        </w:trPr>
        <w:tc>
          <w:tcPr>
            <w:tcW w:w="460" w:type="dxa"/>
            <w:vAlign w:val="bottom"/>
          </w:tcPr>
          <w:p>
            <w:pPr>
              <w:spacing w:after="0"/>
              <w:rPr>
                <w:sz w:val="16"/>
                <w:szCs w:val="16"/>
                <w:color w:val="auto"/>
              </w:rPr>
            </w:pPr>
          </w:p>
        </w:tc>
        <w:tc>
          <w:tcPr>
            <w:tcW w:w="5220" w:type="dxa"/>
            <w:vAlign w:val="bottom"/>
          </w:tcPr>
          <w:p>
            <w:pPr>
              <w:spacing w:after="0" w:line="195" w:lineRule="exact"/>
              <w:rPr>
                <w:sz w:val="20"/>
                <w:szCs w:val="20"/>
                <w:color w:val="auto"/>
              </w:rPr>
            </w:pPr>
            <w:r>
              <w:rPr>
                <w:rFonts w:ascii="Arial" w:cs="Arial" w:eastAsia="Arial" w:hAnsi="Arial"/>
                <w:sz w:val="18"/>
                <w:szCs w:val="18"/>
                <w:color w:val="auto"/>
              </w:rPr>
              <w:t>Name: William J. Chase</w:t>
            </w:r>
          </w:p>
        </w:tc>
      </w:tr>
      <w:tr>
        <w:trPr>
          <w:trHeight w:val="230"/>
        </w:trPr>
        <w:tc>
          <w:tcPr>
            <w:tcW w:w="46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Title: Executive Vice President, Chief Financial Officer</w:t>
            </w:r>
          </w:p>
        </w:tc>
      </w:tr>
      <w:tr>
        <w:trPr>
          <w:trHeight w:val="648"/>
        </w:trPr>
        <w:tc>
          <w:tcPr>
            <w:tcW w:w="5680" w:type="dxa"/>
            <w:vAlign w:val="bottom"/>
            <w:gridSpan w:val="2"/>
          </w:tcPr>
          <w:p>
            <w:pPr>
              <w:spacing w:after="0"/>
              <w:rPr>
                <w:sz w:val="20"/>
                <w:szCs w:val="20"/>
                <w:color w:val="auto"/>
              </w:rPr>
            </w:pPr>
            <w:r>
              <w:rPr>
                <w:rFonts w:ascii="Arial" w:cs="Arial" w:eastAsia="Arial" w:hAnsi="Arial"/>
                <w:sz w:val="18"/>
                <w:szCs w:val="18"/>
                <w:color w:val="auto"/>
              </w:rPr>
              <w:t>OXFORD AMHERST CORPORATION</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J. Chase</w:t>
            </w:r>
          </w:p>
        </w:tc>
      </w:tr>
    </w:tbl>
    <w:p>
      <w:pPr>
        <w:sectPr>
          <w:pgSz w:w="11900" w:h="16838" w:orient="portrait"/>
          <w:cols w:equalWidth="0" w:num="1">
            <w:col w:w="11420"/>
          </w:cols>
          <w:pgMar w:left="240" w:top="121" w:right="239" w:bottom="0" w:gutter="0" w:footer="0" w:header="0"/>
        </w:sectPr>
      </w:pPr>
    </w:p>
    <w:bookmarkStart w:id="3" w:name="page4"/>
    <w:bookmarkEnd w:id="3"/>
    <w:p>
      <w:pPr>
        <w:ind w:left="5000"/>
        <w:spacing w:after="0"/>
        <w:rPr>
          <w:sz w:val="20"/>
          <w:szCs w:val="20"/>
          <w:color w:val="auto"/>
        </w:rPr>
      </w:pPr>
      <w:r>
        <w:rPr>
          <w:rFonts w:ascii="Arial" w:cs="Arial" w:eastAsia="Arial" w:hAnsi="Arial"/>
          <w:sz w:val="18"/>
          <w:szCs w:val="18"/>
          <w:color w:val="auto"/>
        </w:rPr>
        <w:t>Name: William J. Chase</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Sole Director</w:t>
      </w:r>
    </w:p>
    <w:p>
      <w:pPr>
        <w:spacing w:after="0" w:line="200" w:lineRule="exact"/>
        <w:rPr>
          <w:sz w:val="20"/>
          <w:szCs w:val="20"/>
          <w:color w:val="auto"/>
        </w:rPr>
      </w:pPr>
    </w:p>
    <w:p>
      <w:pPr>
        <w:spacing w:after="0" w:line="22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OXFORD AMHERST LLC</w:t>
      </w:r>
    </w:p>
    <w:p>
      <w:pPr>
        <w:spacing w:after="0" w:line="225" w:lineRule="exact"/>
        <w:rPr>
          <w:sz w:val="20"/>
          <w:szCs w:val="20"/>
          <w:color w:val="auto"/>
        </w:rPr>
      </w:pPr>
    </w:p>
    <w:p>
      <w:pPr>
        <w:ind w:left="4540"/>
        <w:spacing w:after="0"/>
        <w:tabs>
          <w:tab w:leader="none" w:pos="4980" w:val="left"/>
        </w:tabs>
        <w:rPr>
          <w:sz w:val="20"/>
          <w:szCs w:val="20"/>
          <w:color w:val="auto"/>
        </w:rPr>
      </w:pPr>
      <w:r>
        <w:rPr>
          <w:rFonts w:ascii="Arial" w:cs="Arial" w:eastAsia="Arial" w:hAnsi="Arial"/>
          <w:sz w:val="18"/>
          <w:szCs w:val="18"/>
          <w:color w:val="auto"/>
        </w:rPr>
        <w:t>By</w:t>
        <w:tab/>
        <w:t>/s/ William J. Chase</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William J. 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Sole Manager</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to Amendment No. 1 to Reorganization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250190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PHARMACYCLICS, INC.</w:t>
      </w:r>
    </w:p>
    <w:p>
      <w:pPr>
        <w:spacing w:after="0" w:line="225" w:lineRule="exact"/>
        <w:rPr>
          <w:sz w:val="20"/>
          <w:szCs w:val="20"/>
          <w:color w:val="auto"/>
        </w:rPr>
      </w:pPr>
    </w:p>
    <w:p>
      <w:pPr>
        <w:ind w:left="4540"/>
        <w:spacing w:after="0"/>
        <w:tabs>
          <w:tab w:leader="none" w:pos="4980" w:val="left"/>
        </w:tabs>
        <w:rPr>
          <w:sz w:val="20"/>
          <w:szCs w:val="20"/>
          <w:color w:val="auto"/>
        </w:rPr>
      </w:pPr>
      <w:r>
        <w:rPr>
          <w:rFonts w:ascii="Arial" w:cs="Arial" w:eastAsia="Arial" w:hAnsi="Arial"/>
          <w:sz w:val="18"/>
          <w:szCs w:val="18"/>
          <w:color w:val="auto"/>
        </w:rPr>
        <w:t>By</w:t>
        <w:tab/>
        <w:t>/s/ Robert W. Duggan</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Robert W. Duggan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to Amendment No. 1 to Reorganization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9019"/>
      </w:cols>
      <w:pgMar w:left="14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lowerLetter"/>
      <w:start w:val="1"/>
    </w:lvl>
    <w:lvl w:ilvl="1">
      <w:lvlJc w:val="left"/>
      <w:lvlText w:val="%2."/>
      <w:numFmt w:val="decimal"/>
      <w:start w:val="4"/>
    </w:lvl>
  </w:abstractNum>
  <w:abstractNum w:abstractNumId="3">
    <w:nsid w:val="625558EC"/>
    <w:multiLevelType w:val="hybridMultilevel"/>
    <w:lvl w:ilvl="0">
      <w:lvlJc w:val="left"/>
      <w:lvlText w:val="(%1)"/>
      <w:numFmt w:val="lowerLetter"/>
      <w:start w:val="1"/>
    </w:lvl>
    <w:lvl w:ilvl="1">
      <w:lvlJc w:val="left"/>
      <w:lvlText w:val="%2."/>
      <w:numFmt w:val="decimal"/>
      <w:start w:val="5"/>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2019-12-09T00:46:13Z</dcterms:created>
  <dcterms:modified xsi:type="dcterms:W3CDTF">2019-12-09T00:46:13Z</dcterms:modified>
</cp:coreProperties>
</file>