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29"/>
          <w:szCs w:val="29"/>
          <w:b w:val="1"/>
          <w:bCs w:val="1"/>
          <w:color w:val="auto"/>
        </w:rPr>
        <w:t>UNITED STATES</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Calibri" w:cs="Calibri" w:eastAsia="Calibri" w:hAnsi="Calibri"/>
          <w:sz w:val="16"/>
          <w:szCs w:val="16"/>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Calibri" w:cs="Calibri" w:eastAsia="Calibri" w:hAnsi="Calibri"/>
          <w:sz w:val="29"/>
          <w:szCs w:val="29"/>
          <w:b w:val="1"/>
          <w:bCs w:val="1"/>
          <w:color w:val="auto"/>
        </w:rPr>
        <w:t>FORM 10-Q</w:t>
      </w:r>
    </w:p>
    <w:p>
      <w:pPr>
        <w:spacing w:after="0" w:line="233" w:lineRule="auto"/>
        <w:rPr>
          <w:sz w:val="20"/>
          <w:szCs w:val="20"/>
          <w:color w:val="auto"/>
        </w:rPr>
      </w:pPr>
      <w:r>
        <w:rPr>
          <w:rFonts w:ascii="Calibri" w:cs="Calibri" w:eastAsia="Calibri" w:hAnsi="Calibri"/>
          <w:sz w:val="14"/>
          <w:szCs w:val="14"/>
          <w:b w:val="1"/>
          <w:bCs w:val="1"/>
          <w:color w:val="auto"/>
        </w:rPr>
        <w:t>(Mark One)</w:t>
      </w:r>
    </w:p>
    <w:p>
      <w:pPr>
        <w:spacing w:after="0" w:line="4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Calibri" w:cs="Calibri" w:eastAsia="Calibri" w:hAnsi="Calibri"/>
          <w:sz w:val="20"/>
          <w:szCs w:val="20"/>
          <w:b w:val="1"/>
          <w:bCs w:val="1"/>
          <w:color w:val="auto"/>
        </w:rPr>
        <w:t>QUARTERLY REPORT PURSUANT TO SECTION 13 OR 15(d) OF THE SECURITIES EXCHANGE ACT OF 1934</w:t>
      </w:r>
    </w:p>
    <w:p>
      <w:pPr>
        <w:spacing w:after="0" w:line="66" w:lineRule="exact"/>
        <w:rPr>
          <w:sz w:val="24"/>
          <w:szCs w:val="24"/>
          <w:color w:val="auto"/>
        </w:rPr>
      </w:pPr>
    </w:p>
    <w:p>
      <w:pPr>
        <w:spacing w:after="0"/>
        <w:rPr>
          <w:sz w:val="20"/>
          <w:szCs w:val="20"/>
          <w:color w:val="auto"/>
        </w:rPr>
      </w:pPr>
      <w:r>
        <w:rPr>
          <w:rFonts w:ascii="Calibri" w:cs="Calibri" w:eastAsia="Calibri" w:hAnsi="Calibri"/>
          <w:sz w:val="20"/>
          <w:szCs w:val="20"/>
          <w:color w:val="auto"/>
        </w:rPr>
        <w:t>For the quarterly period ended June 30, 2024</w:t>
      </w:r>
    </w:p>
    <w:p>
      <w:pPr>
        <w:spacing w:after="0" w:line="26" w:lineRule="exact"/>
        <w:rPr>
          <w:sz w:val="24"/>
          <w:szCs w:val="24"/>
          <w:color w:val="auto"/>
        </w:rPr>
      </w:pPr>
    </w:p>
    <w:p>
      <w:pPr>
        <w:jc w:val="center"/>
        <w:ind w:right="-19"/>
        <w:spacing w:after="0"/>
        <w:rPr>
          <w:sz w:val="20"/>
          <w:szCs w:val="20"/>
          <w:color w:val="auto"/>
        </w:rPr>
      </w:pPr>
      <w:r>
        <w:rPr>
          <w:rFonts w:ascii="Calibri" w:cs="Calibri" w:eastAsia="Calibri" w:hAnsi="Calibri"/>
          <w:sz w:val="20"/>
          <w:szCs w:val="20"/>
          <w:b w:val="1"/>
          <w:bCs w:val="1"/>
          <w:color w:val="auto"/>
        </w:rPr>
        <w:t>OR</w:t>
      </w:r>
    </w:p>
    <w:p>
      <w:pPr>
        <w:spacing w:after="0" w:line="6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Calibri" w:cs="Calibri" w:eastAsia="Calibri" w:hAnsi="Calibri"/>
          <w:sz w:val="20"/>
          <w:szCs w:val="20"/>
          <w:b w:val="1"/>
          <w:bCs w:val="1"/>
          <w:color w:val="auto"/>
        </w:rPr>
        <w:t>TRANSITION REPORT PURSUANT TO SECTION 13 OR 15(d) OF THE SECURITIES EXCHANGE ACT OF 1934</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2500" w:type="dxa"/>
            <w:vAlign w:val="bottom"/>
          </w:tcPr>
          <w:p>
            <w:pPr>
              <w:spacing w:after="0"/>
              <w:rPr>
                <w:sz w:val="20"/>
                <w:szCs w:val="20"/>
                <w:color w:val="auto"/>
              </w:rPr>
            </w:pPr>
            <w:r>
              <w:rPr>
                <w:rFonts w:ascii="Calibri" w:cs="Calibri" w:eastAsia="Calibri" w:hAnsi="Calibri"/>
                <w:sz w:val="20"/>
                <w:szCs w:val="20"/>
                <w:color w:val="auto"/>
              </w:rPr>
              <w:t>For the transiton period from</w:t>
            </w:r>
          </w:p>
        </w:tc>
        <w:tc>
          <w:tcPr>
            <w:tcW w:w="1560" w:type="dxa"/>
            <w:vAlign w:val="bottom"/>
            <w:tcBorders>
              <w:bottom w:val="single" w:sz="8" w:color="auto"/>
            </w:tcBorders>
          </w:tcPr>
          <w:p>
            <w:pPr>
              <w:spacing w:after="0"/>
              <w:rPr>
                <w:sz w:val="21"/>
                <w:szCs w:val="21"/>
                <w:color w:val="auto"/>
              </w:rPr>
            </w:pPr>
          </w:p>
        </w:tc>
        <w:tc>
          <w:tcPr>
            <w:tcW w:w="260" w:type="dxa"/>
            <w:vAlign w:val="bottom"/>
          </w:tcPr>
          <w:p>
            <w:pPr>
              <w:ind w:left="40"/>
              <w:spacing w:after="0"/>
              <w:rPr>
                <w:sz w:val="20"/>
                <w:szCs w:val="20"/>
                <w:color w:val="auto"/>
              </w:rPr>
            </w:pPr>
            <w:r>
              <w:rPr>
                <w:rFonts w:ascii="Calibri" w:cs="Calibri" w:eastAsia="Calibri" w:hAnsi="Calibri"/>
                <w:sz w:val="20"/>
                <w:szCs w:val="20"/>
                <w:color w:val="auto"/>
              </w:rPr>
              <w:t>to</w:t>
            </w:r>
          </w:p>
        </w:tc>
        <w:tc>
          <w:tcPr>
            <w:tcW w:w="1560" w:type="dxa"/>
            <w:vAlign w:val="bottom"/>
            <w:tcBorders>
              <w:bottom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2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Commission File Number: 001-35565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8890</wp:posOffset>
            </wp:positionV>
            <wp:extent cx="140589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24003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Calibri" w:cs="Calibri" w:eastAsia="Calibri" w:hAnsi="Calibri"/>
          <w:sz w:val="29"/>
          <w:szCs w:val="29"/>
          <w:b w:val="1"/>
          <w:bCs w:val="1"/>
          <w:color w:val="auto"/>
        </w:rPr>
        <w:t>AbbVie Inc.</w:t>
      </w:r>
    </w:p>
    <w:p>
      <w:pPr>
        <w:spacing w:after="0" w:line="36" w:lineRule="exact"/>
        <w:rPr>
          <w:sz w:val="24"/>
          <w:szCs w:val="24"/>
          <w:color w:val="auto"/>
        </w:rPr>
      </w:pPr>
    </w:p>
    <w:p>
      <w:pPr>
        <w:jc w:val="center"/>
        <w:ind w:right="-19"/>
        <w:spacing w:after="0"/>
        <w:rPr>
          <w:sz w:val="20"/>
          <w:szCs w:val="20"/>
          <w:color w:val="auto"/>
        </w:rPr>
      </w:pPr>
      <w:r>
        <w:rPr>
          <w:rFonts w:ascii="Calibri" w:cs="Calibri" w:eastAsia="Calibri" w:hAnsi="Calibri"/>
          <w:sz w:val="14"/>
          <w:szCs w:val="14"/>
          <w:color w:val="auto"/>
        </w:rPr>
        <w:t>(Exact name of registrant as specifed in its charter)</w:t>
      </w:r>
    </w:p>
    <w:p>
      <w:pPr>
        <w:sectPr>
          <w:pgSz w:w="11900" w:h="16838" w:orient="portrait"/>
          <w:cols w:equalWidth="0" w:num="1">
            <w:col w:w="11240"/>
          </w:cols>
          <w:pgMar w:left="320" w:top="1440" w:right="339" w:bottom="1440" w:gutter="0" w:footer="0" w:header="0"/>
        </w:sectPr>
      </w:pPr>
    </w:p>
    <w:p>
      <w:pPr>
        <w:spacing w:after="0" w:line="32" w:lineRule="exact"/>
        <w:rPr>
          <w:sz w:val="24"/>
          <w:szCs w:val="24"/>
          <w:color w:val="auto"/>
        </w:rPr>
      </w:pPr>
    </w:p>
    <w:p>
      <w:pPr>
        <w:ind w:left="2460"/>
        <w:spacing w:after="0"/>
        <w:rPr>
          <w:sz w:val="20"/>
          <w:szCs w:val="20"/>
          <w:color w:val="auto"/>
        </w:rPr>
      </w:pPr>
      <w:r>
        <w:rPr>
          <w:rFonts w:ascii="Calibri" w:cs="Calibri" w:eastAsia="Calibri" w:hAnsi="Calibri"/>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32-0375147</w:t>
      </w:r>
    </w:p>
    <w:p>
      <w:pPr>
        <w:spacing w:after="0" w:line="32" w:lineRule="exact"/>
        <w:rPr>
          <w:sz w:val="24"/>
          <w:szCs w:val="24"/>
          <w:color w:val="auto"/>
        </w:rPr>
      </w:pPr>
    </w:p>
    <w:p>
      <w:pPr>
        <w:sectPr>
          <w:pgSz w:w="11900" w:h="16838" w:orient="portrait"/>
          <w:cols w:equalWidth="0" w:num="2">
            <w:col w:w="7420" w:space="720"/>
            <w:col w:w="3100"/>
          </w:cols>
          <w:pgMar w:left="320" w:top="1440" w:right="339" w:bottom="1440" w:gutter="0" w:footer="0" w:header="0"/>
          <w:type w:val="continuous"/>
        </w:sectPr>
      </w:pPr>
    </w:p>
    <w:p>
      <w:pPr>
        <w:ind w:left="1020"/>
        <w:spacing w:after="0"/>
        <w:rPr>
          <w:sz w:val="20"/>
          <w:szCs w:val="20"/>
          <w:color w:val="auto"/>
        </w:rPr>
      </w:pPr>
      <w:r>
        <w:rPr>
          <w:rFonts w:ascii="Calibri" w:cs="Calibri" w:eastAsia="Calibri" w:hAnsi="Calibri"/>
          <w:sz w:val="14"/>
          <w:szCs w:val="14"/>
          <w:color w:val="auto"/>
        </w:rPr>
        <w:t>(State or other jurisdicton of 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(I.R.S. employer identfcaton number)</w:t>
      </w:r>
    </w:p>
    <w:p>
      <w:pPr>
        <w:spacing w:after="0" w:line="140" w:lineRule="exact"/>
        <w:rPr>
          <w:sz w:val="24"/>
          <w:szCs w:val="24"/>
          <w:color w:val="auto"/>
        </w:rPr>
      </w:pPr>
    </w:p>
    <w:p>
      <w:pPr>
        <w:sectPr>
          <w:pgSz w:w="11900" w:h="16838" w:orient="portrait"/>
          <w:cols w:equalWidth="0" w:num="2">
            <w:col w:w="6640" w:space="720"/>
            <w:col w:w="3880"/>
          </w:cols>
          <w:pgMar w:left="320" w:top="1440" w:right="339" w:bottom="1440" w:gutter="0" w:footer="0" w:header="0"/>
          <w:type w:val="continuous"/>
        </w:sectPr>
      </w:pPr>
    </w:p>
    <w:p>
      <w:pPr>
        <w:jc w:val="center"/>
        <w:spacing w:after="0"/>
        <w:rPr>
          <w:sz w:val="20"/>
          <w:szCs w:val="20"/>
          <w:color w:val="auto"/>
        </w:rPr>
      </w:pPr>
      <w:r>
        <w:rPr>
          <w:rFonts w:ascii="Calibri" w:cs="Calibri" w:eastAsia="Calibri" w:hAnsi="Calibri"/>
          <w:sz w:val="14"/>
          <w:szCs w:val="14"/>
          <w:b w:val="1"/>
          <w:bCs w:val="1"/>
          <w:color w:val="auto"/>
        </w:rPr>
        <w:t>1 North Waukegan Road</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North Chicago, Illinois 60064-6400</w:t>
      </w:r>
    </w:p>
    <w:p>
      <w:pPr>
        <w:spacing w:after="0" w:line="99"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 xml:space="preserve">Telephone: </w:t>
      </w:r>
      <w:r>
        <w:rPr>
          <w:rFonts w:ascii="Calibri" w:cs="Calibri" w:eastAsia="Calibri" w:hAnsi="Calibri"/>
          <w:sz w:val="14"/>
          <w:szCs w:val="14"/>
          <w:b w:val="1"/>
          <w:bCs w:val="1"/>
          <w:color w:val="auto"/>
        </w:rPr>
        <w:t>(847) 932-7900</w:t>
      </w:r>
    </w:p>
    <w:p>
      <w:pPr>
        <w:sectPr>
          <w:pgSz w:w="11900" w:h="16838" w:orient="portrait"/>
          <w:cols w:equalWidth="0" w:num="1">
            <w:col w:w="11240"/>
          </w:cols>
          <w:pgMar w:left="320" w:top="1440" w:right="339" w:bottom="1440" w:gutter="0" w:footer="0" w:header="0"/>
          <w:type w:val="continuous"/>
        </w:sectPr>
      </w:pPr>
    </w:p>
    <w:p>
      <w:pPr>
        <w:spacing w:after="0" w:line="82" w:lineRule="exact"/>
        <w:rPr>
          <w:sz w:val="24"/>
          <w:szCs w:val="24"/>
          <w:color w:val="auto"/>
        </w:rPr>
      </w:pPr>
    </w:p>
    <w:p>
      <w:pPr>
        <w:ind w:right="140"/>
        <w:spacing w:after="0" w:line="235" w:lineRule="auto"/>
        <w:rPr>
          <w:sz w:val="20"/>
          <w:szCs w:val="20"/>
          <w:color w:val="auto"/>
        </w:rPr>
      </w:pPr>
      <w:r>
        <w:rPr>
          <w:rFonts w:ascii="Calibri" w:cs="Calibri" w:eastAsia="Calibri" w:hAnsi="Calibri"/>
          <w:sz w:val="16"/>
          <w:szCs w:val="16"/>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w:t>
      </w:r>
    </w:p>
    <w:p>
      <w:pPr>
        <w:spacing w:after="0" w:line="208" w:lineRule="exact"/>
        <w:tabs>
          <w:tab w:leader="none" w:pos="620" w:val="left"/>
        </w:tabs>
        <w:rPr>
          <w:sz w:val="20"/>
          <w:szCs w:val="20"/>
          <w:color w:val="auto"/>
        </w:rPr>
      </w:pPr>
      <w:r>
        <w:rPr>
          <w:rFonts w:ascii="Calibri" w:cs="Calibri" w:eastAsia="Calibri" w:hAnsi="Calibri"/>
          <w:sz w:val="16"/>
          <w:szCs w:val="16"/>
          <w:color w:val="auto"/>
        </w:rPr>
        <w:t>days.</w:t>
      </w:r>
      <w:r>
        <w:rPr>
          <w:sz w:val="20"/>
          <w:szCs w:val="20"/>
          <w:color w:val="auto"/>
        </w:rPr>
        <w:tab/>
      </w:r>
      <w:r>
        <w:rPr>
          <w:rFonts w:ascii="Calibri" w:cs="Calibri" w:eastAsia="Calibri" w:hAnsi="Calibri"/>
          <w:sz w:val="16"/>
          <w:szCs w:val="16"/>
          <w:color w:val="auto"/>
        </w:rPr>
        <w:t xml:space="preserve">Yes </w:t>
      </w:r>
      <w:r>
        <w:rPr>
          <w:rFonts w:ascii="MS PGothic" w:cs="MS PGothic" w:eastAsia="MS PGothic" w:hAnsi="MS PGothic"/>
          <w:sz w:val="17"/>
          <w:szCs w:val="17"/>
          <w:color w:val="auto"/>
        </w:rPr>
        <w:t>☒</w:t>
      </w:r>
      <w:r>
        <w:rPr>
          <w:rFonts w:ascii="Calibri" w:cs="Calibri" w:eastAsia="Calibri" w:hAnsi="Calibri"/>
          <w:sz w:val="16"/>
          <w:szCs w:val="16"/>
          <w:color w:val="auto"/>
        </w:rPr>
        <w:t xml:space="preserve"> No </w:t>
      </w:r>
      <w:r>
        <w:rPr>
          <w:rFonts w:ascii="MS PGothic" w:cs="MS PGothic" w:eastAsia="MS PGothic" w:hAnsi="MS PGothic"/>
          <w:sz w:val="17"/>
          <w:szCs w:val="17"/>
          <w:color w:val="auto"/>
        </w:rPr>
        <w:t>☐</w:t>
      </w:r>
    </w:p>
    <w:p>
      <w:pPr>
        <w:spacing w:after="0" w:line="85" w:lineRule="exact"/>
        <w:rPr>
          <w:sz w:val="24"/>
          <w:szCs w:val="24"/>
          <w:color w:val="auto"/>
        </w:rPr>
      </w:pPr>
    </w:p>
    <w:p>
      <w:pPr>
        <w:ind w:right="340"/>
        <w:spacing w:after="0" w:line="233"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7"/>
          <w:szCs w:val="17"/>
          <w:color w:val="auto"/>
        </w:rPr>
        <w:t>☒</w:t>
      </w:r>
      <w:r>
        <w:rPr>
          <w:rFonts w:ascii="Calibri" w:cs="Calibri" w:eastAsia="Calibri" w:hAnsi="Calibri"/>
          <w:sz w:val="16"/>
          <w:szCs w:val="16"/>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jc w:val="both"/>
        <w:ind w:right="120"/>
        <w:spacing w:after="0" w:line="239"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91" w:lineRule="exact"/>
        <w:rPr>
          <w:sz w:val="24"/>
          <w:szCs w:val="24"/>
          <w:color w:val="auto"/>
        </w:rPr>
      </w:pPr>
    </w:p>
    <w:tbl>
      <w:tblPr>
        <w:tblLayout w:type="fixed"/>
        <w:tblInd w:w="2000" w:type="dxa"/>
        <w:tblCellMar>
          <w:top w:w="0" w:type="dxa"/>
          <w:left w:w="0" w:type="dxa"/>
          <w:bottom w:w="0" w:type="dxa"/>
          <w:right w:w="0" w:type="dxa"/>
        </w:tblCellMar>
      </w:tblPr>
      <w:tr>
        <w:trPr>
          <w:trHeight w:val="230"/>
        </w:trPr>
        <w:tc>
          <w:tcPr>
            <w:tcW w:w="3820" w:type="dxa"/>
            <w:vAlign w:val="bottom"/>
          </w:tcPr>
          <w:p>
            <w:pPr>
              <w:jc w:val="right"/>
              <w:ind w:right="2059"/>
              <w:spacing w:after="0" w:line="208" w:lineRule="exact"/>
              <w:rPr>
                <w:sz w:val="20"/>
                <w:szCs w:val="20"/>
                <w:color w:val="auto"/>
              </w:rPr>
            </w:pPr>
            <w:r>
              <w:rPr>
                <w:rFonts w:ascii="Calibri" w:cs="Calibri" w:eastAsia="Calibri" w:hAnsi="Calibri"/>
                <w:sz w:val="16"/>
                <w:szCs w:val="16"/>
                <w:color w:val="auto"/>
                <w:w w:val="98"/>
              </w:rPr>
              <w:t xml:space="preserve">Large Accelerated Filer </w:t>
            </w:r>
            <w:r>
              <w:rPr>
                <w:rFonts w:ascii="MS PGothic" w:cs="MS PGothic" w:eastAsia="MS PGothic" w:hAnsi="MS PGothic"/>
                <w:sz w:val="17"/>
                <w:szCs w:val="17"/>
                <w:color w:val="auto"/>
                <w:w w:val="98"/>
              </w:rPr>
              <w:t>☒</w:t>
            </w:r>
          </w:p>
        </w:tc>
        <w:tc>
          <w:tcPr>
            <w:tcW w:w="4120" w:type="dxa"/>
            <w:vAlign w:val="bottom"/>
          </w:tcPr>
          <w:p>
            <w:pPr>
              <w:jc w:val="right"/>
              <w:spacing w:after="0" w:line="208" w:lineRule="exact"/>
              <w:rPr>
                <w:sz w:val="20"/>
                <w:szCs w:val="20"/>
                <w:color w:val="auto"/>
              </w:rPr>
            </w:pPr>
            <w:r>
              <w:rPr>
                <w:rFonts w:ascii="Calibri" w:cs="Calibri" w:eastAsia="Calibri" w:hAnsi="Calibri"/>
                <w:sz w:val="16"/>
                <w:szCs w:val="16"/>
                <w:color w:val="auto"/>
              </w:rPr>
              <w:t xml:space="preserve">Accelerated Filer </w:t>
            </w:r>
            <w:r>
              <w:rPr>
                <w:rFonts w:ascii="MS PGothic" w:cs="MS PGothic" w:eastAsia="MS PGothic" w:hAnsi="MS PGothic"/>
                <w:sz w:val="17"/>
                <w:szCs w:val="17"/>
                <w:color w:val="auto"/>
              </w:rPr>
              <w:t>☐</w:t>
            </w:r>
          </w:p>
        </w:tc>
      </w:tr>
      <w:tr>
        <w:trPr>
          <w:trHeight w:val="229"/>
        </w:trPr>
        <w:tc>
          <w:tcPr>
            <w:tcW w:w="3820" w:type="dxa"/>
            <w:vAlign w:val="bottom"/>
          </w:tcPr>
          <w:p>
            <w:pPr>
              <w:jc w:val="right"/>
              <w:ind w:right="2059"/>
              <w:spacing w:after="0" w:line="208" w:lineRule="exact"/>
              <w:rPr>
                <w:sz w:val="20"/>
                <w:szCs w:val="20"/>
                <w:color w:val="auto"/>
              </w:rPr>
            </w:pPr>
            <w:r>
              <w:rPr>
                <w:rFonts w:ascii="Calibri" w:cs="Calibri" w:eastAsia="Calibri" w:hAnsi="Calibri"/>
                <w:sz w:val="16"/>
                <w:szCs w:val="16"/>
                <w:color w:val="auto"/>
              </w:rPr>
              <w:t xml:space="preserve">Non-Accelerated Filer </w:t>
            </w:r>
            <w:r>
              <w:rPr>
                <w:rFonts w:ascii="MS PGothic" w:cs="MS PGothic" w:eastAsia="MS PGothic" w:hAnsi="MS PGothic"/>
                <w:sz w:val="17"/>
                <w:szCs w:val="17"/>
                <w:color w:val="auto"/>
              </w:rPr>
              <w:t>☐</w:t>
            </w:r>
          </w:p>
        </w:tc>
        <w:tc>
          <w:tcPr>
            <w:tcW w:w="4120" w:type="dxa"/>
            <w:vAlign w:val="bottom"/>
          </w:tcPr>
          <w:p>
            <w:pPr>
              <w:jc w:val="right"/>
              <w:spacing w:after="0" w:line="208" w:lineRule="exact"/>
              <w:rPr>
                <w:sz w:val="20"/>
                <w:szCs w:val="20"/>
                <w:color w:val="auto"/>
              </w:rPr>
            </w:pPr>
            <w:r>
              <w:rPr>
                <w:rFonts w:ascii="Calibri" w:cs="Calibri" w:eastAsia="Calibri" w:hAnsi="Calibri"/>
                <w:sz w:val="16"/>
                <w:szCs w:val="16"/>
                <w:color w:val="auto"/>
              </w:rPr>
              <w:t xml:space="preserve">Smaller reportng company </w:t>
            </w:r>
            <w:r>
              <w:rPr>
                <w:rFonts w:ascii="MS PGothic" w:cs="MS PGothic" w:eastAsia="MS PGothic" w:hAnsi="MS PGothic"/>
                <w:sz w:val="17"/>
                <w:szCs w:val="17"/>
                <w:color w:val="auto"/>
              </w:rPr>
              <w:t>☐</w:t>
            </w:r>
          </w:p>
        </w:tc>
      </w:tr>
      <w:tr>
        <w:trPr>
          <w:trHeight w:val="303"/>
        </w:trPr>
        <w:tc>
          <w:tcPr>
            <w:tcW w:w="3820" w:type="dxa"/>
            <w:vAlign w:val="bottom"/>
          </w:tcPr>
          <w:p>
            <w:pPr>
              <w:spacing w:after="0"/>
              <w:rPr>
                <w:sz w:val="24"/>
                <w:szCs w:val="24"/>
                <w:color w:val="auto"/>
              </w:rPr>
            </w:pPr>
          </w:p>
        </w:tc>
        <w:tc>
          <w:tcPr>
            <w:tcW w:w="4120" w:type="dxa"/>
            <w:vAlign w:val="bottom"/>
          </w:tcPr>
          <w:p>
            <w:pPr>
              <w:jc w:val="right"/>
              <w:spacing w:after="0" w:line="208" w:lineRule="exact"/>
              <w:rPr>
                <w:sz w:val="20"/>
                <w:szCs w:val="20"/>
                <w:color w:val="auto"/>
              </w:rPr>
            </w:pPr>
            <w:r>
              <w:rPr>
                <w:rFonts w:ascii="Calibri" w:cs="Calibri" w:eastAsia="Calibri" w:hAnsi="Calibri"/>
                <w:sz w:val="16"/>
                <w:szCs w:val="16"/>
                <w:color w:val="auto"/>
              </w:rPr>
              <w:t xml:space="preserve">Emerging growth company </w:t>
            </w:r>
            <w:r>
              <w:rPr>
                <w:rFonts w:ascii="MS PGothic" w:cs="MS PGothic" w:eastAsia="MS PGothic" w:hAnsi="MS PGothic"/>
                <w:sz w:val="17"/>
                <w:szCs w:val="17"/>
                <w:color w:val="auto"/>
              </w:rPr>
              <w:t>☐</w:t>
            </w:r>
          </w:p>
        </w:tc>
      </w:tr>
    </w:tbl>
    <w:p>
      <w:pPr>
        <w:spacing w:after="0" w:line="102" w:lineRule="exact"/>
        <w:rPr>
          <w:sz w:val="24"/>
          <w:szCs w:val="24"/>
          <w:color w:val="auto"/>
        </w:rPr>
      </w:pPr>
    </w:p>
    <w:p>
      <w:pPr>
        <w:ind w:right="460"/>
        <w:spacing w:after="0" w:line="215"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7500" w:type="dxa"/>
            <w:vAlign w:val="bottom"/>
            <w:gridSpan w:val="5"/>
          </w:tcPr>
          <w:p>
            <w:pPr>
              <w:spacing w:after="0"/>
              <w:rPr>
                <w:sz w:val="20"/>
                <w:szCs w:val="20"/>
                <w:color w:val="auto"/>
              </w:rPr>
            </w:pPr>
            <w:r>
              <w:rPr>
                <w:rFonts w:ascii="Calibri" w:cs="Calibri" w:eastAsia="Calibri" w:hAnsi="Calibri"/>
                <w:sz w:val="16"/>
                <w:szCs w:val="16"/>
                <w:color w:val="auto"/>
              </w:rPr>
              <w:t>Indicate by check mark whether the registrant is a shell company (as defned in Rule 12b-2 of the Exchange Act).</w:t>
            </w:r>
          </w:p>
        </w:tc>
        <w:tc>
          <w:tcPr>
            <w:tcW w:w="3740" w:type="dxa"/>
            <w:vAlign w:val="bottom"/>
          </w:tcPr>
          <w:p>
            <w:pPr>
              <w:ind w:left="140"/>
              <w:spacing w:after="0" w:line="208" w:lineRule="exact"/>
              <w:rPr>
                <w:sz w:val="20"/>
                <w:szCs w:val="20"/>
                <w:color w:val="auto"/>
              </w:rPr>
            </w:pPr>
            <w:r>
              <w:rPr>
                <w:rFonts w:ascii="Calibri" w:cs="Calibri" w:eastAsia="Calibri" w:hAnsi="Calibri"/>
                <w:sz w:val="16"/>
                <w:szCs w:val="16"/>
                <w:color w:val="auto"/>
              </w:rPr>
              <w:t xml:space="preserve">Yes </w:t>
            </w:r>
            <w:r>
              <w:rPr>
                <w:rFonts w:ascii="MS PGothic" w:cs="MS PGothic" w:eastAsia="MS PGothic" w:hAnsi="MS PGothic"/>
                <w:sz w:val="17"/>
                <w:szCs w:val="17"/>
                <w:color w:val="auto"/>
              </w:rPr>
              <w:t>☐</w:t>
            </w:r>
            <w:r>
              <w:rPr>
                <w:rFonts w:ascii="Calibri" w:cs="Calibri" w:eastAsia="Calibri" w:hAnsi="Calibri"/>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Calibri" w:cs="Calibri" w:eastAsia="Calibri" w:hAnsi="Calibri"/>
                <w:sz w:val="16"/>
                <w:szCs w:val="16"/>
                <w:color w:val="auto"/>
              </w:rPr>
              <w:t>Securites registered pursuant to Secton 12(b) of the Act:</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460" w:type="dxa"/>
            <w:vAlign w:val="bottom"/>
            <w:gridSpan w:val="2"/>
          </w:tcPr>
          <w:p>
            <w:pPr>
              <w:jc w:val="center"/>
              <w:ind w:right="420"/>
              <w:spacing w:after="0"/>
              <w:rPr>
                <w:sz w:val="20"/>
                <w:szCs w:val="20"/>
                <w:color w:val="auto"/>
              </w:rPr>
            </w:pPr>
            <w:r>
              <w:rPr>
                <w:rFonts w:ascii="Calibri" w:cs="Calibri" w:eastAsia="Calibri" w:hAnsi="Calibri"/>
                <w:sz w:val="14"/>
                <w:szCs w:val="14"/>
                <w:b w:val="1"/>
                <w:bCs w:val="1"/>
                <w:color w:val="auto"/>
              </w:rPr>
              <w:t>Title of each class</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b w:val="1"/>
                <w:bCs w:val="1"/>
                <w:color w:val="auto"/>
              </w:rPr>
              <w:t>Trading Symbol(s)</w:t>
            </w:r>
          </w:p>
        </w:tc>
        <w:tc>
          <w:tcPr>
            <w:tcW w:w="3740" w:type="dxa"/>
            <w:vAlign w:val="bottom"/>
          </w:tcPr>
          <w:p>
            <w:pPr>
              <w:jc w:val="center"/>
              <w:ind w:right="427"/>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47"/>
        </w:trPr>
        <w:tc>
          <w:tcPr>
            <w:tcW w:w="4040" w:type="dxa"/>
            <w:vAlign w:val="bottom"/>
            <w:tcBorders>
              <w:bottom w:val="single" w:sz="8" w:color="auto"/>
            </w:tcBorders>
          </w:tcPr>
          <w:p>
            <w:pPr>
              <w:spacing w:after="0"/>
              <w:rPr>
                <w:sz w:val="4"/>
                <w:szCs w:val="4"/>
                <w:color w:val="auto"/>
              </w:rPr>
            </w:pPr>
          </w:p>
        </w:tc>
        <w:tc>
          <w:tcPr>
            <w:tcW w:w="420" w:type="dxa"/>
            <w:vAlign w:val="bottom"/>
            <w:vMerge w:val="restart"/>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42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040" w:type="dxa"/>
            <w:vAlign w:val="bottom"/>
          </w:tcPr>
          <w:p>
            <w:pPr>
              <w:jc w:val="center"/>
              <w:spacing w:after="0" w:line="164" w:lineRule="exact"/>
              <w:rPr>
                <w:sz w:val="20"/>
                <w:szCs w:val="20"/>
                <w:color w:val="auto"/>
              </w:rPr>
            </w:pPr>
            <w:r>
              <w:rPr>
                <w:rFonts w:ascii="Calibri" w:cs="Calibri" w:eastAsia="Calibri" w:hAnsi="Calibri"/>
                <w:sz w:val="14"/>
                <w:szCs w:val="14"/>
                <w:color w:val="auto"/>
              </w:rPr>
              <w:t>Common Stock, par value $0.01 per share</w:t>
            </w:r>
          </w:p>
        </w:tc>
        <w:tc>
          <w:tcPr>
            <w:tcW w:w="420" w:type="dxa"/>
            <w:vAlign w:val="bottom"/>
            <w:vMerge w:val="continue"/>
          </w:tcPr>
          <w:p>
            <w:pPr>
              <w:spacing w:after="0"/>
              <w:rPr>
                <w:sz w:val="14"/>
                <w:szCs w:val="14"/>
                <w:color w:val="auto"/>
              </w:rPr>
            </w:pPr>
          </w:p>
        </w:tc>
        <w:tc>
          <w:tcPr>
            <w:tcW w:w="2120" w:type="dxa"/>
            <w:vAlign w:val="bottom"/>
          </w:tcPr>
          <w:p>
            <w:pPr>
              <w:jc w:val="center"/>
              <w:spacing w:after="0" w:line="164" w:lineRule="exact"/>
              <w:rPr>
                <w:sz w:val="20"/>
                <w:szCs w:val="20"/>
                <w:color w:val="auto"/>
              </w:rPr>
            </w:pPr>
            <w:r>
              <w:rPr>
                <w:rFonts w:ascii="Calibri" w:cs="Calibri" w:eastAsia="Calibri" w:hAnsi="Calibri"/>
                <w:sz w:val="14"/>
                <w:szCs w:val="14"/>
                <w:color w:val="auto"/>
              </w:rPr>
              <w:t>ABBV</w:t>
            </w:r>
          </w:p>
        </w:tc>
        <w:tc>
          <w:tcPr>
            <w:tcW w:w="4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740" w:type="dxa"/>
            <w:vAlign w:val="bottom"/>
          </w:tcPr>
          <w:p>
            <w:pPr>
              <w:jc w:val="center"/>
              <w:ind w:right="427"/>
              <w:spacing w:after="0" w:line="164" w:lineRule="exact"/>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Chicago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0.750% Senior Notes due 2027</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ABBV27</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2.125% Senior Notes due 2028</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ABBV28</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2"/>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2.625% Senior Notes due 2028</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ABBV28B</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2.125% Senior Notes due 2029</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ABBV29</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r>
        <w:trPr>
          <w:trHeight w:val="203"/>
        </w:trPr>
        <w:tc>
          <w:tcPr>
            <w:tcW w:w="4460" w:type="dxa"/>
            <w:vAlign w:val="bottom"/>
            <w:gridSpan w:val="2"/>
          </w:tcPr>
          <w:p>
            <w:pPr>
              <w:jc w:val="center"/>
              <w:ind w:right="400"/>
              <w:spacing w:after="0"/>
              <w:rPr>
                <w:sz w:val="20"/>
                <w:szCs w:val="20"/>
                <w:color w:val="auto"/>
              </w:rPr>
            </w:pPr>
            <w:r>
              <w:rPr>
                <w:rFonts w:ascii="Calibri" w:cs="Calibri" w:eastAsia="Calibri" w:hAnsi="Calibri"/>
                <w:sz w:val="14"/>
                <w:szCs w:val="14"/>
                <w:color w:val="auto"/>
              </w:rPr>
              <w:t>1.250% Senior Notes due 2031</w:t>
            </w:r>
          </w:p>
        </w:tc>
        <w:tc>
          <w:tcPr>
            <w:tcW w:w="3040" w:type="dxa"/>
            <w:vAlign w:val="bottom"/>
            <w:gridSpan w:val="3"/>
          </w:tcPr>
          <w:p>
            <w:pPr>
              <w:jc w:val="center"/>
              <w:ind w:right="900"/>
              <w:spacing w:after="0"/>
              <w:rPr>
                <w:sz w:val="20"/>
                <w:szCs w:val="20"/>
                <w:color w:val="auto"/>
              </w:rPr>
            </w:pPr>
            <w:r>
              <w:rPr>
                <w:rFonts w:ascii="Calibri" w:cs="Calibri" w:eastAsia="Calibri" w:hAnsi="Calibri"/>
                <w:sz w:val="14"/>
                <w:szCs w:val="14"/>
                <w:color w:val="auto"/>
              </w:rPr>
              <w:t>ABBV31</w:t>
            </w:r>
          </w:p>
        </w:tc>
        <w:tc>
          <w:tcPr>
            <w:tcW w:w="3740" w:type="dxa"/>
            <w:vAlign w:val="bottom"/>
          </w:tcPr>
          <w:p>
            <w:pPr>
              <w:jc w:val="center"/>
              <w:ind w:right="427"/>
              <w:spacing w:after="0"/>
              <w:rPr>
                <w:sz w:val="20"/>
                <w:szCs w:val="20"/>
                <w:color w:val="auto"/>
              </w:rPr>
            </w:pPr>
            <w:r>
              <w:rPr>
                <w:rFonts w:ascii="Calibri" w:cs="Calibri" w:eastAsia="Calibri" w:hAnsi="Calibri"/>
                <w:sz w:val="14"/>
                <w:szCs w:val="14"/>
                <w:color w:val="auto"/>
              </w:rPr>
              <w:t>New York Stock Exchange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Calibri" w:cs="Calibri" w:eastAsia="Calibri" w:hAnsi="Calibri"/>
          <w:sz w:val="16"/>
          <w:szCs w:val="16"/>
          <w:color w:val="auto"/>
        </w:rPr>
        <w:t>As of July 29, 2024, AbbVie Inc. had 1,766,343,745 shares of common stock at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ind w:left="20"/>
              <w:spacing w:after="0"/>
              <w:rPr>
                <w:sz w:val="20"/>
                <w:szCs w:val="20"/>
                <w:color w:val="auto"/>
              </w:rPr>
            </w:pPr>
            <w:r>
              <w:rPr>
                <w:rFonts w:ascii="Calibri" w:cs="Calibri" w:eastAsia="Calibri" w:hAnsi="Calibri"/>
                <w:sz w:val="18"/>
                <w:szCs w:val="18"/>
                <w:b w:val="1"/>
                <w:bCs w:val="1"/>
                <w:color w:val="auto"/>
              </w:rPr>
              <w:t>PART I.</w:t>
            </w:r>
          </w:p>
        </w:tc>
        <w:tc>
          <w:tcPr>
            <w:tcW w:w="8800" w:type="dxa"/>
            <w:vAlign w:val="bottom"/>
          </w:tcPr>
          <w:p>
            <w:pPr>
              <w:ind w:left="200"/>
              <w:spacing w:after="0"/>
              <w:rPr>
                <w:sz w:val="20"/>
                <w:szCs w:val="20"/>
                <w:color w:val="auto"/>
              </w:rPr>
            </w:pPr>
            <w:r>
              <w:rPr>
                <w:rFonts w:ascii="Calibri" w:cs="Calibri" w:eastAsia="Calibri" w:hAnsi="Calibri"/>
                <w:sz w:val="18"/>
                <w:szCs w:val="18"/>
                <w:b w:val="1"/>
                <w:bCs w:val="1"/>
                <w:color w:val="auto"/>
              </w:rPr>
              <w:t>FINANCIAL INFORMATION</w:t>
            </w:r>
          </w:p>
        </w:tc>
        <w:tc>
          <w:tcPr>
            <w:tcW w:w="166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Page</w:t>
            </w:r>
          </w:p>
        </w:tc>
      </w:tr>
      <w:tr>
        <w:trPr>
          <w:trHeight w:val="50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1.</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FINANCIAL STATEMENTS AND SUPPLEMENTARY DATA</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2.</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MANAGEMENT’S DISCUSSION AND ANALYSIS OF FINANCIAL CONDITION AND RESULTS OF OPERATIONS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29</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3.</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QUANTITATIVE AND QUALITATIVE DISCLOSURES ABOUT MARKET RISK</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39</w:t>
            </w:r>
          </w:p>
        </w:tc>
      </w:tr>
      <w:tr>
        <w:trPr>
          <w:trHeight w:val="23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4.</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CONTROLS AND PROCEDURES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39</w:t>
            </w:r>
          </w:p>
        </w:tc>
      </w:tr>
      <w:tr>
        <w:trPr>
          <w:trHeight w:val="499"/>
        </w:trPr>
        <w:tc>
          <w:tcPr>
            <w:tcW w:w="780" w:type="dxa"/>
            <w:vAlign w:val="bottom"/>
          </w:tcPr>
          <w:p>
            <w:pPr>
              <w:ind w:left="20"/>
              <w:spacing w:after="0"/>
              <w:rPr>
                <w:sz w:val="20"/>
                <w:szCs w:val="20"/>
                <w:color w:val="auto"/>
              </w:rPr>
            </w:pPr>
            <w:r>
              <w:rPr>
                <w:rFonts w:ascii="Calibri" w:cs="Calibri" w:eastAsia="Calibri" w:hAnsi="Calibri"/>
                <w:sz w:val="18"/>
                <w:szCs w:val="18"/>
                <w:b w:val="1"/>
                <w:bCs w:val="1"/>
                <w:color w:val="auto"/>
              </w:rPr>
              <w:t>PART II.</w:t>
            </w:r>
          </w:p>
        </w:tc>
        <w:tc>
          <w:tcPr>
            <w:tcW w:w="8800" w:type="dxa"/>
            <w:vAlign w:val="bottom"/>
          </w:tcPr>
          <w:p>
            <w:pPr>
              <w:ind w:left="200"/>
              <w:spacing w:after="0"/>
              <w:rPr>
                <w:sz w:val="20"/>
                <w:szCs w:val="20"/>
                <w:color w:val="auto"/>
              </w:rPr>
            </w:pPr>
            <w:r>
              <w:rPr>
                <w:rFonts w:ascii="Calibri" w:cs="Calibri" w:eastAsia="Calibri" w:hAnsi="Calibri"/>
                <w:sz w:val="18"/>
                <w:szCs w:val="18"/>
                <w:b w:val="1"/>
                <w:bCs w:val="1"/>
                <w:color w:val="auto"/>
              </w:rPr>
              <w:t>OTHER INFORMATION</w:t>
            </w:r>
          </w:p>
        </w:tc>
        <w:tc>
          <w:tcPr>
            <w:tcW w:w="1660" w:type="dxa"/>
            <w:vAlign w:val="bottom"/>
          </w:tcPr>
          <w:p>
            <w:pPr>
              <w:spacing w:after="0"/>
              <w:rPr>
                <w:sz w:val="24"/>
                <w:szCs w:val="24"/>
                <w:color w:val="auto"/>
              </w:rPr>
            </w:pPr>
          </w:p>
        </w:tc>
      </w:tr>
      <w:tr>
        <w:trPr>
          <w:trHeight w:val="50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1.</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LEGAL PROCEEDINGS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2.</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UNREGISTERED SALES OF EQUITY SECURITIES AND USE OF PROCEEDS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29"/>
        </w:trPr>
        <w:tc>
          <w:tcPr>
            <w:tcW w:w="780" w:type="dxa"/>
            <w:vAlign w:val="bottom"/>
          </w:tcPr>
          <w:p>
            <w:pPr>
              <w:ind w:left="20"/>
              <w:spacing w:after="0"/>
              <w:rPr>
                <w:sz w:val="20"/>
                <w:szCs w:val="20"/>
                <w:color w:val="auto"/>
              </w:rPr>
            </w:pPr>
            <w:r>
              <w:rPr>
                <w:rFonts w:ascii="Calibri" w:cs="Calibri" w:eastAsia="Calibri" w:hAnsi="Calibri"/>
                <w:sz w:val="18"/>
                <w:szCs w:val="18"/>
                <w:color w:val="auto"/>
              </w:rPr>
              <w:t>Item 5.</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OTHER ITEMS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40</w:t>
            </w:r>
          </w:p>
        </w:tc>
      </w:tr>
      <w:tr>
        <w:trPr>
          <w:trHeight w:val="230"/>
        </w:trPr>
        <w:tc>
          <w:tcPr>
            <w:tcW w:w="780" w:type="dxa"/>
            <w:vAlign w:val="bottom"/>
          </w:tcPr>
          <w:p>
            <w:pPr>
              <w:ind w:left="20"/>
              <w:spacing w:after="0"/>
              <w:rPr>
                <w:sz w:val="20"/>
                <w:szCs w:val="20"/>
                <w:color w:val="auto"/>
              </w:rPr>
            </w:pPr>
            <w:r>
              <w:rPr>
                <w:rFonts w:ascii="Calibri" w:cs="Calibri" w:eastAsia="Calibri" w:hAnsi="Calibri"/>
                <w:sz w:val="18"/>
                <w:szCs w:val="18"/>
                <w:color w:val="auto"/>
              </w:rPr>
              <w:t>Item 6.</w:t>
            </w:r>
          </w:p>
        </w:tc>
        <w:tc>
          <w:tcPr>
            <w:tcW w:w="8800" w:type="dxa"/>
            <w:vAlign w:val="bottom"/>
          </w:tcPr>
          <w:p>
            <w:pPr>
              <w:ind w:left="200"/>
              <w:spacing w:after="0"/>
              <w:rPr>
                <w:sz w:val="20"/>
                <w:szCs w:val="20"/>
                <w:color w:val="auto"/>
              </w:rPr>
            </w:pPr>
            <w:r>
              <w:rPr>
                <w:rFonts w:ascii="Calibri" w:cs="Calibri" w:eastAsia="Calibri" w:hAnsi="Calibri"/>
                <w:sz w:val="18"/>
                <w:szCs w:val="18"/>
                <w:color w:val="auto"/>
              </w:rPr>
              <w:t>EXHIBITS</w:t>
            </w:r>
          </w:p>
        </w:tc>
        <w:tc>
          <w:tcPr>
            <w:tcW w:w="1660" w:type="dxa"/>
            <w:vAlign w:val="bottom"/>
          </w:tcPr>
          <w:p>
            <w:pPr>
              <w:jc w:val="right"/>
              <w:spacing w:after="0"/>
              <w:rPr>
                <w:sz w:val="20"/>
                <w:szCs w:val="20"/>
                <w:color w:val="auto"/>
              </w:rPr>
            </w:pPr>
            <w:r>
              <w:rPr>
                <w:rFonts w:ascii="Calibri" w:cs="Calibri" w:eastAsia="Calibri" w:hAnsi="Calibri"/>
                <w:sz w:val="18"/>
                <w:szCs w:val="18"/>
                <w:color w:val="auto"/>
              </w:rPr>
              <w:t>41</w:t>
            </w:r>
          </w:p>
        </w:tc>
      </w:tr>
      <w:tr>
        <w:trPr>
          <w:trHeight w:val="1448"/>
        </w:trPr>
        <w:tc>
          <w:tcPr>
            <w:tcW w:w="78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 w:name="page3"/>
    <w:bookmarkEnd w:id="2"/>
    <w:p>
      <w:pPr>
        <w:spacing w:after="0"/>
        <w:rPr>
          <w:sz w:val="20"/>
          <w:szCs w:val="20"/>
          <w:color w:val="auto"/>
        </w:rPr>
      </w:pPr>
      <w:r>
        <w:rPr>
          <w:rFonts w:ascii="Calibri" w:cs="Calibri" w:eastAsia="Calibri" w:hAnsi="Calibri"/>
          <w:sz w:val="22"/>
          <w:szCs w:val="22"/>
          <w:b w:val="1"/>
          <w:bCs w:val="1"/>
          <w:color w:val="444867"/>
        </w:rPr>
        <w:t>PART I. FINANCIAL INFORMATION</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1.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Earnings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460"/>
              <w:spacing w:after="0"/>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90"/>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2024</w:t>
            </w:r>
          </w:p>
        </w:tc>
        <w:tc>
          <w:tcPr>
            <w:tcW w:w="440" w:type="dxa"/>
            <w:vAlign w:val="bottom"/>
          </w:tcPr>
          <w:p>
            <w:pPr>
              <w:spacing w:after="0"/>
              <w:rPr>
                <w:sz w:val="14"/>
                <w:szCs w:val="14"/>
                <w:color w:val="auto"/>
              </w:rPr>
            </w:pPr>
          </w:p>
        </w:tc>
        <w:tc>
          <w:tcPr>
            <w:tcW w:w="98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2"/>
              <w:spacing w:after="0" w:line="164"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4"/>
                <w:szCs w:val="14"/>
                <w:color w:val="auto"/>
              </w:rPr>
            </w:pPr>
          </w:p>
        </w:tc>
        <w:tc>
          <w:tcPr>
            <w:tcW w:w="84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Net revenues</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14,462</w:t>
            </w:r>
          </w:p>
        </w:tc>
        <w:tc>
          <w:tcPr>
            <w:tcW w:w="44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13,865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26,772</w:t>
            </w:r>
          </w:p>
        </w:tc>
        <w:tc>
          <w:tcPr>
            <w:tcW w:w="580" w:type="dxa"/>
            <w:vAlign w:val="bottom"/>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26,090</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4,202</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8,296</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8,226</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3,377</w:t>
            </w:r>
          </w:p>
        </w:tc>
        <w:tc>
          <w:tcPr>
            <w:tcW w:w="44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3,268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6,692</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6,307</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Research and development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Calibri" w:cs="Calibri" w:eastAsia="Calibri" w:hAnsi="Calibri"/>
                <w:sz w:val="18"/>
                <w:szCs w:val="18"/>
                <w:color w:val="auto"/>
              </w:rPr>
              <w:t>1,948</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1,733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2"/>
              <w:spacing w:after="0"/>
              <w:rPr>
                <w:sz w:val="20"/>
                <w:szCs w:val="20"/>
                <w:color w:val="auto"/>
              </w:rPr>
            </w:pPr>
            <w:r>
              <w:rPr>
                <w:rFonts w:ascii="Calibri" w:cs="Calibri" w:eastAsia="Calibri" w:hAnsi="Calibri"/>
                <w:sz w:val="18"/>
                <w:szCs w:val="18"/>
                <w:color w:val="auto"/>
              </w:rPr>
              <w:t>3,887</w:t>
            </w: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4,025</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Acquired IPR&amp;D and milestones</w:t>
            </w: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937</w:t>
            </w:r>
          </w:p>
        </w:tc>
        <w:tc>
          <w:tcPr>
            <w:tcW w:w="44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1,101</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430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operatng income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(169)</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operatng costs and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10,464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9,352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19,976</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18,809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Operatng earnings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3,998</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6,796</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7,281</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506</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959</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908</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Net foreign exchange loss</w:t>
            </w: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1</w:t>
            </w:r>
          </w:p>
        </w:tc>
        <w:tc>
          <w:tcPr>
            <w:tcW w:w="44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5</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expense, net</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1,345</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1,412</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1,931</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3,216</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Earnings before income tax expense</w:t>
            </w: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2,146</w:t>
            </w:r>
          </w:p>
        </w:tc>
        <w:tc>
          <w:tcPr>
            <w:tcW w:w="44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2,610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3,901</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3,085</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773</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583</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1,156</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817</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Net earnings</w:t>
            </w: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1,373</w:t>
            </w:r>
          </w:p>
        </w:tc>
        <w:tc>
          <w:tcPr>
            <w:tcW w:w="44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2,027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2,745</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2,268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earnings atributable to noncontrolling interest</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3</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6</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Net earnings atributable to AbbVie Inc.</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1,370</w:t>
            </w:r>
          </w:p>
        </w:tc>
        <w:tc>
          <w:tcPr>
            <w:tcW w:w="44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2,739</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2,263</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Per share data</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 atributable to AbbVie Inc.</w:t>
            </w: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0.77</w:t>
            </w:r>
          </w:p>
        </w:tc>
        <w:tc>
          <w:tcPr>
            <w:tcW w:w="44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2"/>
              <w:spacing w:after="0" w:line="215" w:lineRule="exact"/>
              <w:rPr>
                <w:sz w:val="20"/>
                <w:szCs w:val="20"/>
                <w:color w:val="auto"/>
              </w:rPr>
            </w:pPr>
            <w:r>
              <w:rPr>
                <w:rFonts w:ascii="Calibri" w:cs="Calibri" w:eastAsia="Calibri" w:hAnsi="Calibri"/>
                <w:sz w:val="18"/>
                <w:szCs w:val="18"/>
                <w:color w:val="auto"/>
              </w:rPr>
              <w:t>1.54</w:t>
            </w:r>
          </w:p>
        </w:tc>
        <w:tc>
          <w:tcPr>
            <w:tcW w:w="580" w:type="dxa"/>
            <w:vAlign w:val="bottom"/>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Diluted earnings per share atributable to AbbVie Inc.</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0.77</w:t>
            </w:r>
          </w:p>
        </w:tc>
        <w:tc>
          <w:tcPr>
            <w:tcW w:w="44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1.53</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1.26</w:t>
            </w: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basic shares outstanding</w:t>
            </w: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1,768</w:t>
            </w:r>
          </w:p>
        </w:tc>
        <w:tc>
          <w:tcPr>
            <w:tcW w:w="44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1,767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line="215" w:lineRule="exact"/>
              <w:rPr>
                <w:sz w:val="20"/>
                <w:szCs w:val="20"/>
                <w:color w:val="auto"/>
              </w:rPr>
            </w:pPr>
            <w:r>
              <w:rPr>
                <w:rFonts w:ascii="Calibri" w:cs="Calibri" w:eastAsia="Calibri" w:hAnsi="Calibri"/>
                <w:sz w:val="18"/>
                <w:szCs w:val="18"/>
                <w:color w:val="auto"/>
              </w:rPr>
              <w:t>1,769</w:t>
            </w:r>
          </w:p>
        </w:tc>
        <w:tc>
          <w:tcPr>
            <w:tcW w:w="58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1,768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1,771</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1,771</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8"/>
                <w:szCs w:val="18"/>
                <w:color w:val="auto"/>
              </w:rPr>
              <w:t>1,772</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1,773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391795</wp:posOffset>
            </wp:positionV>
            <wp:extent cx="51435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1</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 w:name="page4"/>
    <w:bookmarkEnd w:id="3"/>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Comprehensive Income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ind w:left="200"/>
              <w:spacing w:after="0"/>
              <w:rPr>
                <w:sz w:val="20"/>
                <w:szCs w:val="20"/>
                <w:color w:val="auto"/>
              </w:rPr>
            </w:pPr>
            <w:r>
              <w:rPr>
                <w:rFonts w:ascii="Calibri" w:cs="Calibri" w:eastAsia="Calibri" w:hAnsi="Calibri"/>
                <w:sz w:val="14"/>
                <w:szCs w:val="14"/>
                <w:b w:val="1"/>
                <w:bCs w:val="1"/>
                <w:color w:val="auto"/>
              </w:rPr>
              <w:t>Three months ended</w:t>
            </w:r>
          </w:p>
        </w:tc>
        <w:tc>
          <w:tcPr>
            <w:tcW w:w="220" w:type="dxa"/>
            <w:vAlign w:val="bottom"/>
          </w:tcPr>
          <w:p>
            <w:pPr>
              <w:spacing w:after="0"/>
              <w:rPr>
                <w:sz w:val="14"/>
                <w:szCs w:val="14"/>
                <w:color w:val="auto"/>
              </w:rPr>
            </w:pPr>
          </w:p>
        </w:tc>
        <w:tc>
          <w:tcPr>
            <w:tcW w:w="1860" w:type="dxa"/>
            <w:vAlign w:val="bottom"/>
            <w:gridSpan w:val="3"/>
          </w:tcPr>
          <w:p>
            <w:pPr>
              <w:jc w:val="right"/>
              <w:ind w:right="412"/>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2024</w:t>
            </w:r>
          </w:p>
        </w:tc>
        <w:tc>
          <w:tcPr>
            <w:tcW w:w="340" w:type="dxa"/>
            <w:vAlign w:val="bottom"/>
          </w:tcPr>
          <w:p>
            <w:pPr>
              <w:spacing w:after="0"/>
              <w:rPr>
                <w:sz w:val="14"/>
                <w:szCs w:val="14"/>
                <w:color w:val="auto"/>
              </w:rPr>
            </w:pPr>
          </w:p>
        </w:tc>
        <w:tc>
          <w:tcPr>
            <w:tcW w:w="720" w:type="dxa"/>
            <w:vAlign w:val="bottom"/>
          </w:tcPr>
          <w:p>
            <w:pPr>
              <w:jc w:val="right"/>
              <w:ind w:right="27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5"/>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720" w:type="dxa"/>
            <w:vAlign w:val="bottom"/>
          </w:tcPr>
          <w:p>
            <w:pPr>
              <w:jc w:val="right"/>
              <w:ind w:right="252"/>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Net earnings</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1,373</w:t>
            </w:r>
          </w:p>
        </w:tc>
        <w:tc>
          <w:tcPr>
            <w:tcW w:w="34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2,745</w:t>
            </w:r>
          </w:p>
        </w:tc>
        <w:tc>
          <w:tcPr>
            <w:tcW w:w="32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2,268</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98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Foreign currency translaton adjustments, net of tax expense (beneft) of $(4) for the three</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20"/>
              <w:spacing w:after="0" w:line="189" w:lineRule="exact"/>
              <w:rPr>
                <w:sz w:val="20"/>
                <w:szCs w:val="20"/>
                <w:color w:val="auto"/>
              </w:rPr>
            </w:pPr>
            <w:r>
              <w:rPr>
                <w:rFonts w:ascii="Calibri" w:cs="Calibri" w:eastAsia="Calibri" w:hAnsi="Calibri"/>
                <w:sz w:val="18"/>
                <w:szCs w:val="18"/>
                <w:color w:val="auto"/>
                <w:w w:val="99"/>
              </w:rPr>
              <w:t>months and $(24) the six months ended June 30, 2024 and $(6) for the three months and $6 six</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months ended June 30, 2023</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(157)</w:t>
            </w:r>
          </w:p>
        </w:tc>
        <w:tc>
          <w:tcPr>
            <w:tcW w:w="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(553)</w:t>
            </w: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178</w:t>
            </w:r>
          </w:p>
        </w:tc>
        <w:tc>
          <w:tcPr>
            <w:tcW w:w="0" w:type="dxa"/>
            <w:vAlign w:val="bottom"/>
          </w:tcPr>
          <w:p>
            <w:pPr>
              <w:spacing w:after="0"/>
              <w:rPr>
                <w:sz w:val="1"/>
                <w:szCs w:val="1"/>
                <w:color w:val="auto"/>
              </w:rPr>
            </w:pPr>
          </w:p>
        </w:tc>
      </w:tr>
      <w:tr>
        <w:trPr>
          <w:trHeight w:val="167"/>
        </w:trPr>
        <w:tc>
          <w:tcPr>
            <w:tcW w:w="6980" w:type="dxa"/>
            <w:vAlign w:val="bottom"/>
          </w:tcPr>
          <w:p>
            <w:pPr>
              <w:ind w:left="20"/>
              <w:spacing w:after="0" w:line="166" w:lineRule="exact"/>
              <w:rPr>
                <w:sz w:val="20"/>
                <w:szCs w:val="20"/>
                <w:color w:val="auto"/>
              </w:rPr>
            </w:pPr>
            <w:r>
              <w:rPr>
                <w:rFonts w:ascii="Calibri" w:cs="Calibri" w:eastAsia="Calibri" w:hAnsi="Calibri"/>
                <w:sz w:val="18"/>
                <w:szCs w:val="18"/>
                <w:color w:val="auto"/>
              </w:rPr>
              <w:t>Net investment hedging actvites, net of tax expense (beneft) of $23 for the three months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line="189" w:lineRule="exact"/>
              <w:rPr>
                <w:sz w:val="20"/>
                <w:szCs w:val="20"/>
                <w:color w:val="auto"/>
              </w:rPr>
            </w:pPr>
            <w:r>
              <w:rPr>
                <w:rFonts w:ascii="Calibri" w:cs="Calibri" w:eastAsia="Calibri" w:hAnsi="Calibri"/>
                <w:sz w:val="18"/>
                <w:szCs w:val="18"/>
                <w:color w:val="auto"/>
              </w:rPr>
              <w:t>$80 for the six months ended June 30, 2024 and $2 for the three months and $(58) six months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ended June 30, 2023</w:t>
            </w:r>
          </w:p>
        </w:tc>
        <w:tc>
          <w:tcPr>
            <w:tcW w:w="220" w:type="dxa"/>
            <w:vAlign w:val="bottom"/>
          </w:tcPr>
          <w:p>
            <w:pPr>
              <w:spacing w:after="0"/>
              <w:rPr>
                <w:sz w:val="18"/>
                <w:szCs w:val="18"/>
                <w:color w:val="auto"/>
              </w:rPr>
            </w:pPr>
          </w:p>
        </w:tc>
        <w:tc>
          <w:tcPr>
            <w:tcW w:w="8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84</w:t>
            </w:r>
          </w:p>
        </w:tc>
        <w:tc>
          <w:tcPr>
            <w:tcW w:w="3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291</w:t>
            </w:r>
          </w:p>
        </w:tc>
        <w:tc>
          <w:tcPr>
            <w:tcW w:w="3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(213)</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98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Pension and post-employment benefts, net of tax expense (beneft) of $3 for the three months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20"/>
              <w:spacing w:after="0" w:line="189" w:lineRule="exact"/>
              <w:rPr>
                <w:sz w:val="20"/>
                <w:szCs w:val="20"/>
                <w:color w:val="auto"/>
              </w:rPr>
            </w:pPr>
            <w:r>
              <w:rPr>
                <w:rFonts w:ascii="Calibri" w:cs="Calibri" w:eastAsia="Calibri" w:hAnsi="Calibri"/>
                <w:sz w:val="18"/>
                <w:szCs w:val="18"/>
                <w:color w:val="auto"/>
                <w:w w:val="98"/>
              </w:rPr>
              <w:t>and $4 for the six months ended June 30, 2024 and $(4) for the three months and $10 for the six</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months ended June 30, 2023</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8</w:t>
            </w:r>
          </w:p>
        </w:tc>
        <w:tc>
          <w:tcPr>
            <w:tcW w:w="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18</w:t>
            </w: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w:t>
            </w:r>
          </w:p>
        </w:tc>
        <w:tc>
          <w:tcPr>
            <w:tcW w:w="0" w:type="dxa"/>
            <w:vAlign w:val="bottom"/>
          </w:tcPr>
          <w:p>
            <w:pPr>
              <w:spacing w:after="0"/>
              <w:rPr>
                <w:sz w:val="1"/>
                <w:szCs w:val="1"/>
                <w:color w:val="auto"/>
              </w:rPr>
            </w:pPr>
          </w:p>
        </w:tc>
      </w:tr>
      <w:tr>
        <w:trPr>
          <w:trHeight w:val="167"/>
        </w:trPr>
        <w:tc>
          <w:tcPr>
            <w:tcW w:w="6980" w:type="dxa"/>
            <w:vAlign w:val="bottom"/>
          </w:tcPr>
          <w:p>
            <w:pPr>
              <w:ind w:left="20"/>
              <w:spacing w:after="0" w:line="166" w:lineRule="exact"/>
              <w:rPr>
                <w:sz w:val="20"/>
                <w:szCs w:val="20"/>
                <w:color w:val="auto"/>
              </w:rPr>
            </w:pPr>
            <w:r>
              <w:rPr>
                <w:rFonts w:ascii="Calibri" w:cs="Calibri" w:eastAsia="Calibri" w:hAnsi="Calibri"/>
                <w:sz w:val="18"/>
                <w:szCs w:val="18"/>
                <w:color w:val="auto"/>
              </w:rPr>
              <w:t>Cash fow hedging actvites, net of tax expense (beneft) of $(2) for the three months and $5 for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line="189" w:lineRule="exact"/>
              <w:rPr>
                <w:sz w:val="20"/>
                <w:szCs w:val="20"/>
                <w:color w:val="auto"/>
              </w:rPr>
            </w:pPr>
            <w:r>
              <w:rPr>
                <w:rFonts w:ascii="Calibri" w:cs="Calibri" w:eastAsia="Calibri" w:hAnsi="Calibri"/>
                <w:sz w:val="18"/>
                <w:szCs w:val="18"/>
                <w:color w:val="auto"/>
              </w:rPr>
              <w:t>the six months ended June 30, 2024 and $(4) for the three months and $(8) for the six months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ended June 30, 2023</w:t>
            </w:r>
          </w:p>
        </w:tc>
        <w:tc>
          <w:tcPr>
            <w:tcW w:w="220" w:type="dxa"/>
            <w:vAlign w:val="bottom"/>
          </w:tcPr>
          <w:p>
            <w:pPr>
              <w:spacing w:after="0"/>
              <w:rPr>
                <w:sz w:val="18"/>
                <w:szCs w:val="18"/>
                <w:color w:val="auto"/>
              </w:rPr>
            </w:pPr>
          </w:p>
        </w:tc>
        <w:tc>
          <w:tcPr>
            <w:tcW w:w="8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6</w:t>
            </w:r>
          </w:p>
        </w:tc>
        <w:tc>
          <w:tcPr>
            <w:tcW w:w="3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36</w:t>
            </w:r>
          </w:p>
        </w:tc>
        <w:tc>
          <w:tcPr>
            <w:tcW w:w="3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(54)</w:t>
            </w: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w:t>
            </w:r>
          </w:p>
        </w:tc>
        <w:tc>
          <w:tcPr>
            <w:tcW w:w="0" w:type="dxa"/>
            <w:vAlign w:val="bottom"/>
          </w:tcPr>
          <w:p>
            <w:pPr>
              <w:spacing w:after="0"/>
              <w:rPr>
                <w:sz w:val="1"/>
                <w:szCs w:val="1"/>
                <w:color w:val="auto"/>
              </w:rPr>
            </w:pPr>
          </w:p>
        </w:tc>
      </w:tr>
      <w:tr>
        <w:trPr>
          <w:trHeight w:val="222"/>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Comprehensive income</w:t>
            </w:r>
          </w:p>
        </w:tc>
        <w:tc>
          <w:tcPr>
            <w:tcW w:w="220" w:type="dxa"/>
            <w:vAlign w:val="bottom"/>
          </w:tcPr>
          <w:p>
            <w:pPr>
              <w:spacing w:after="0"/>
              <w:rPr>
                <w:sz w:val="19"/>
                <w:szCs w:val="19"/>
                <w:color w:val="auto"/>
              </w:rPr>
            </w:pPr>
          </w:p>
        </w:tc>
        <w:tc>
          <w:tcPr>
            <w:tcW w:w="8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1,314</w:t>
            </w:r>
          </w:p>
        </w:tc>
        <w:tc>
          <w:tcPr>
            <w:tcW w:w="34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2,537</w:t>
            </w:r>
          </w:p>
        </w:tc>
        <w:tc>
          <w:tcPr>
            <w:tcW w:w="320" w:type="dxa"/>
            <w:vAlign w:val="bottom"/>
          </w:tcPr>
          <w:p>
            <w:pPr>
              <w:spacing w:after="0"/>
              <w:rPr>
                <w:sz w:val="19"/>
                <w:szCs w:val="19"/>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2,215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Comprehensive income atributable to 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3</w:t>
            </w: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Calibri" w:cs="Calibri" w:eastAsia="Calibri" w:hAnsi="Calibri"/>
                <w:sz w:val="18"/>
                <w:szCs w:val="18"/>
                <w:color w:val="auto"/>
              </w:rPr>
              <w:t>6</w:t>
            </w: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Comprehensive income atributable to AbbVie Inc.</w:t>
            </w: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1,311</w:t>
            </w:r>
          </w:p>
        </w:tc>
        <w:tc>
          <w:tcPr>
            <w:tcW w:w="34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2,004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2,531</w:t>
            </w:r>
          </w:p>
        </w:tc>
        <w:tc>
          <w:tcPr>
            <w:tcW w:w="32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854710</wp:posOffset>
            </wp:positionV>
            <wp:extent cx="51435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2</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 w:name="page5"/>
    <w:bookmarkEnd w:id="4"/>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share data)</w:t>
            </w:r>
          </w:p>
        </w:tc>
        <w:tc>
          <w:tcPr>
            <w:tcW w:w="220" w:type="dxa"/>
            <w:vAlign w:val="bottom"/>
          </w:tcPr>
          <w:p>
            <w:pPr>
              <w:spacing w:after="0"/>
              <w:rPr>
                <w:sz w:val="14"/>
                <w:szCs w:val="14"/>
                <w:color w:val="auto"/>
              </w:rPr>
            </w:pPr>
          </w:p>
        </w:tc>
        <w:tc>
          <w:tcPr>
            <w:tcW w:w="1220" w:type="dxa"/>
            <w:vAlign w:val="bottom"/>
          </w:tcPr>
          <w:p>
            <w:pPr>
              <w:jc w:val="center"/>
              <w:ind w:right="151"/>
              <w:spacing w:after="0"/>
              <w:rPr>
                <w:sz w:val="20"/>
                <w:szCs w:val="20"/>
                <w:color w:val="auto"/>
              </w:rPr>
            </w:pPr>
            <w:r>
              <w:rPr>
                <w:rFonts w:ascii="Calibri" w:cs="Calibri" w:eastAsia="Calibri" w:hAnsi="Calibri"/>
                <w:sz w:val="14"/>
                <w:szCs w:val="14"/>
                <w:b w:val="1"/>
                <w:bCs w:val="1"/>
                <w:color w:val="auto"/>
              </w:rPr>
              <w:t>June 30,</w:t>
            </w:r>
          </w:p>
        </w:tc>
        <w:tc>
          <w:tcPr>
            <w:tcW w:w="24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8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51"/>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8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71"/>
              <w:spacing w:after="0" w:line="208" w:lineRule="exact"/>
              <w:rPr>
                <w:sz w:val="20"/>
                <w:szCs w:val="20"/>
                <w:color w:val="auto"/>
              </w:rPr>
            </w:pPr>
            <w:r>
              <w:rPr>
                <w:rFonts w:ascii="Calibri" w:cs="Calibri" w:eastAsia="Calibri" w:hAnsi="Calibri"/>
                <w:sz w:val="18"/>
                <w:szCs w:val="18"/>
                <w:color w:val="auto"/>
                <w:w w:val="97"/>
              </w:rPr>
              <w:t>(unaudited)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80" w:type="dxa"/>
            <w:vAlign w:val="bottom"/>
          </w:tcPr>
          <w:p>
            <w:pPr>
              <w:ind w:left="20"/>
              <w:spacing w:after="0"/>
              <w:rPr>
                <w:sz w:val="20"/>
                <w:szCs w:val="20"/>
                <w:color w:val="auto"/>
              </w:rPr>
            </w:pPr>
            <w:r>
              <w:rPr>
                <w:rFonts w:ascii="Calibri" w:cs="Calibri" w:eastAsia="Calibri" w:hAnsi="Calibri"/>
                <w:sz w:val="18"/>
                <w:szCs w:val="18"/>
                <w:b w:val="1"/>
                <w:bCs w:val="1"/>
                <w:color w:val="auto"/>
              </w:rPr>
              <w:t>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180"/>
              <w:spacing w:after="0"/>
              <w:rPr>
                <w:sz w:val="20"/>
                <w:szCs w:val="20"/>
                <w:color w:val="auto"/>
              </w:rPr>
            </w:pPr>
            <w:r>
              <w:rPr>
                <w:rFonts w:ascii="Calibri" w:cs="Calibri" w:eastAsia="Calibri" w:hAnsi="Calibri"/>
                <w:sz w:val="18"/>
                <w:szCs w:val="18"/>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Cash and equivalents</w:t>
            </w:r>
          </w:p>
        </w:tc>
        <w:tc>
          <w:tcPr>
            <w:tcW w:w="2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13,130</w:t>
            </w:r>
          </w:p>
        </w:tc>
        <w:tc>
          <w:tcPr>
            <w:tcW w:w="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12,814</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Short-term investments</w:t>
            </w:r>
          </w:p>
        </w:tc>
        <w:tc>
          <w:tcPr>
            <w:tcW w:w="220" w:type="dxa"/>
            <w:vAlign w:val="bottom"/>
          </w:tcPr>
          <w:p>
            <w:pPr>
              <w:spacing w:after="0"/>
              <w:rPr>
                <w:sz w:val="19"/>
                <w:szCs w:val="19"/>
                <w:color w:val="auto"/>
              </w:rPr>
            </w:pPr>
          </w:p>
        </w:tc>
        <w:tc>
          <w:tcPr>
            <w:tcW w:w="122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27</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Accounts receivable, net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11,724</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11,155</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Inventories</w:t>
            </w:r>
          </w:p>
        </w:tc>
        <w:tc>
          <w:tcPr>
            <w:tcW w:w="220" w:type="dxa"/>
            <w:vAlign w:val="bottom"/>
          </w:tcPr>
          <w:p>
            <w:pPr>
              <w:spacing w:after="0"/>
              <w:rPr>
                <w:sz w:val="19"/>
                <w:szCs w:val="19"/>
                <w:color w:val="auto"/>
              </w:rPr>
            </w:pPr>
          </w:p>
        </w:tc>
        <w:tc>
          <w:tcPr>
            <w:tcW w:w="122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4,218</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4,099</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180"/>
              <w:spacing w:after="0"/>
              <w:rPr>
                <w:sz w:val="20"/>
                <w:szCs w:val="20"/>
                <w:color w:val="auto"/>
              </w:rPr>
            </w:pPr>
            <w:r>
              <w:rPr>
                <w:rFonts w:ascii="Calibri" w:cs="Calibri" w:eastAsia="Calibri" w:hAnsi="Calibri"/>
                <w:sz w:val="18"/>
                <w:szCs w:val="18"/>
                <w:color w:val="auto"/>
              </w:rPr>
              <w:t>Prepaid expenses and other</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8"/>
                <w:szCs w:val="18"/>
                <w:color w:val="auto"/>
              </w:rPr>
              <w:t>4,717</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4,932</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33,816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33,002</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Investments</w:t>
            </w:r>
          </w:p>
        </w:tc>
        <w:tc>
          <w:tcPr>
            <w:tcW w:w="220" w:type="dxa"/>
            <w:vAlign w:val="bottom"/>
          </w:tcPr>
          <w:p>
            <w:pPr>
              <w:spacing w:after="0"/>
              <w:rPr>
                <w:sz w:val="19"/>
                <w:szCs w:val="19"/>
                <w:color w:val="auto"/>
              </w:rPr>
            </w:pPr>
          </w:p>
        </w:tc>
        <w:tc>
          <w:tcPr>
            <w:tcW w:w="122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272</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Property and equipment, net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5,023</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4,989</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Intangible assets, net</w:t>
            </w:r>
          </w:p>
        </w:tc>
        <w:tc>
          <w:tcPr>
            <w:tcW w:w="220" w:type="dxa"/>
            <w:vAlign w:val="bottom"/>
          </w:tcPr>
          <w:p>
            <w:pPr>
              <w:spacing w:after="0"/>
              <w:rPr>
                <w:sz w:val="19"/>
                <w:szCs w:val="19"/>
                <w:color w:val="auto"/>
              </w:rPr>
            </w:pPr>
          </w:p>
        </w:tc>
        <w:tc>
          <w:tcPr>
            <w:tcW w:w="122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60,243</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55,610</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Goodwill</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33,386</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32,293</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9,197</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8,513</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auto"/>
            </w:tcBorders>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Total assets</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141,937</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134,711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Liabilites and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b w:val="1"/>
                <w:bCs w:val="1"/>
                <w:color w:val="auto"/>
              </w:rPr>
              <w:t>Current liabilites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Current porton of long-term debt and fnance lease obligatons</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12,586</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7,191</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29,329</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30,650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Total current liabilites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41,915</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37,841</w:t>
            </w:r>
          </w:p>
        </w:tc>
        <w:tc>
          <w:tcPr>
            <w:tcW w:w="0" w:type="dxa"/>
            <w:vAlign w:val="bottom"/>
          </w:tcPr>
          <w:p>
            <w:pPr>
              <w:spacing w:after="0"/>
              <w:rPr>
                <w:sz w:val="1"/>
                <w:szCs w:val="1"/>
                <w:color w:val="auto"/>
              </w:rPr>
            </w:pPr>
          </w:p>
        </w:tc>
      </w:tr>
      <w:tr>
        <w:trPr>
          <w:trHeight w:val="243"/>
        </w:trPr>
        <w:tc>
          <w:tcPr>
            <w:tcW w:w="8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Long-term debt and fnance lease obligatons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58,048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52,194</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2,726</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1,952</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Other long-term liabilites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32,427</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32,327</w:t>
            </w:r>
          </w:p>
        </w:tc>
        <w:tc>
          <w:tcPr>
            <w:tcW w:w="0" w:type="dxa"/>
            <w:vAlign w:val="bottom"/>
          </w:tcPr>
          <w:p>
            <w:pPr>
              <w:spacing w:after="0"/>
              <w:rPr>
                <w:sz w:val="1"/>
                <w:szCs w:val="1"/>
                <w:color w:val="auto"/>
              </w:rPr>
            </w:pPr>
          </w:p>
        </w:tc>
      </w:tr>
      <w:tr>
        <w:trPr>
          <w:trHeight w:val="257"/>
        </w:trPr>
        <w:tc>
          <w:tcPr>
            <w:tcW w:w="8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Commitments and contngencies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380" w:type="dxa"/>
            <w:vAlign w:val="bottom"/>
          </w:tcPr>
          <w:p>
            <w:pPr>
              <w:ind w:left="180"/>
              <w:spacing w:after="0" w:line="166" w:lineRule="exact"/>
              <w:rPr>
                <w:sz w:val="20"/>
                <w:szCs w:val="20"/>
                <w:color w:val="auto"/>
              </w:rPr>
            </w:pPr>
            <w:r>
              <w:rPr>
                <w:rFonts w:ascii="Calibri" w:cs="Calibri" w:eastAsia="Calibri" w:hAnsi="Calibri"/>
                <w:sz w:val="18"/>
                <w:szCs w:val="18"/>
                <w:color w:val="auto"/>
                <w:w w:val="97"/>
              </w:rPr>
              <w:t>Common stock, $0.01 par value, 4,000,000,000 shares authorized, 1,830,226,561 shares issued as of June 30, 2024</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and 1,823,046,087 as of December 31, 2023</w:t>
            </w:r>
          </w:p>
        </w:tc>
        <w:tc>
          <w:tcPr>
            <w:tcW w:w="2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Calibri" w:cs="Calibri" w:eastAsia="Calibri" w:hAnsi="Calibri"/>
                <w:sz w:val="18"/>
                <w:szCs w:val="18"/>
                <w:color w:val="auto"/>
              </w:rPr>
              <w:t>18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380" w:type="dxa"/>
            <w:vAlign w:val="bottom"/>
            <w:shd w:val="clear" w:color="auto" w:fill="CCEEFF"/>
          </w:tcPr>
          <w:p>
            <w:pPr>
              <w:ind w:left="180"/>
              <w:spacing w:after="0" w:line="166" w:lineRule="exact"/>
              <w:rPr>
                <w:sz w:val="20"/>
                <w:szCs w:val="20"/>
                <w:color w:val="auto"/>
              </w:rPr>
            </w:pPr>
            <w:r>
              <w:rPr>
                <w:rFonts w:ascii="Calibri" w:cs="Calibri" w:eastAsia="Calibri" w:hAnsi="Calibri"/>
                <w:sz w:val="18"/>
                <w:szCs w:val="18"/>
                <w:color w:val="auto"/>
                <w:w w:val="98"/>
              </w:rPr>
              <w:t>Common stock held in treasury, at cost, 64,283,710 shares as of June 30, 2024 and 57,105,354 as of December 31,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2023</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(7,838)</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(6,533)</w:t>
            </w:r>
          </w:p>
        </w:tc>
        <w:tc>
          <w:tcPr>
            <w:tcW w:w="0" w:type="dxa"/>
            <w:vAlign w:val="bottom"/>
          </w:tcPr>
          <w:p>
            <w:pPr>
              <w:spacing w:after="0"/>
              <w:rPr>
                <w:sz w:val="1"/>
                <w:szCs w:val="1"/>
                <w:color w:val="auto"/>
              </w:rPr>
            </w:pPr>
          </w:p>
        </w:tc>
      </w:tr>
      <w:tr>
        <w:trPr>
          <w:trHeight w:val="222"/>
        </w:trPr>
        <w:tc>
          <w:tcPr>
            <w:tcW w:w="8380" w:type="dxa"/>
            <w:vAlign w:val="bottom"/>
          </w:tcPr>
          <w:p>
            <w:pPr>
              <w:ind w:left="180"/>
              <w:spacing w:after="0" w:line="215" w:lineRule="exact"/>
              <w:rPr>
                <w:sz w:val="20"/>
                <w:szCs w:val="20"/>
                <w:color w:val="auto"/>
              </w:rPr>
            </w:pPr>
            <w:r>
              <w:rPr>
                <w:rFonts w:ascii="Calibri" w:cs="Calibri" w:eastAsia="Calibri" w:hAnsi="Calibri"/>
                <w:sz w:val="18"/>
                <w:szCs w:val="18"/>
                <w:color w:val="auto"/>
              </w:rPr>
              <w:t>Additonal paid-in capital</w:t>
            </w:r>
          </w:p>
        </w:tc>
        <w:tc>
          <w:tcPr>
            <w:tcW w:w="220" w:type="dxa"/>
            <w:vAlign w:val="bottom"/>
          </w:tcPr>
          <w:p>
            <w:pPr>
              <w:spacing w:after="0"/>
              <w:rPr>
                <w:sz w:val="19"/>
                <w:szCs w:val="19"/>
                <w:color w:val="auto"/>
              </w:rPr>
            </w:pPr>
          </w:p>
        </w:tc>
        <w:tc>
          <w:tcPr>
            <w:tcW w:w="122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20,879</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20,180</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Accumulated defcit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(3,768)</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(2,513)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(2,305)</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Total 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6,778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10,360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43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6,821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10,397</w:t>
            </w:r>
          </w:p>
        </w:tc>
        <w:tc>
          <w:tcPr>
            <w:tcW w:w="0" w:type="dxa"/>
            <w:vAlign w:val="bottom"/>
          </w:tcPr>
          <w:p>
            <w:pPr>
              <w:spacing w:after="0"/>
              <w:rPr>
                <w:sz w:val="1"/>
                <w:szCs w:val="1"/>
                <w:color w:val="auto"/>
              </w:rPr>
            </w:pPr>
          </w:p>
        </w:tc>
      </w:tr>
      <w:tr>
        <w:trPr>
          <w:trHeight w:val="243"/>
        </w:trPr>
        <w:tc>
          <w:tcPr>
            <w:tcW w:w="8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380" w:type="dxa"/>
            <w:vAlign w:val="bottom"/>
            <w:tcBorders>
              <w:bottom w:val="single" w:sz="8" w:color="auto"/>
            </w:tcBorders>
            <w:shd w:val="clear" w:color="auto" w:fill="CCEEFF"/>
          </w:tcPr>
          <w:p>
            <w:pPr>
              <w:ind w:left="180"/>
              <w:spacing w:after="0" w:line="215" w:lineRule="exact"/>
              <w:rPr>
                <w:sz w:val="20"/>
                <w:szCs w:val="20"/>
                <w:color w:val="auto"/>
              </w:rPr>
            </w:pPr>
            <w:r>
              <w:rPr>
                <w:rFonts w:ascii="Calibri" w:cs="Calibri" w:eastAsia="Calibri" w:hAnsi="Calibri"/>
                <w:sz w:val="18"/>
                <w:szCs w:val="18"/>
                <w:b w:val="1"/>
                <w:bCs w:val="1"/>
                <w:color w:val="auto"/>
              </w:rPr>
              <w:t>Total liabilites and equity</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141,937</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134,711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400685</wp:posOffset>
            </wp:positionV>
            <wp:extent cx="51435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3</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Equity (unaudited)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68"/>
              <w:spacing w:after="0"/>
              <w:rPr>
                <w:sz w:val="20"/>
                <w:szCs w:val="20"/>
                <w:color w:val="auto"/>
              </w:rPr>
            </w:pPr>
            <w:r>
              <w:rPr>
                <w:rFonts w:ascii="Calibri" w:cs="Calibri" w:eastAsia="Calibri" w:hAnsi="Calibri"/>
                <w:sz w:val="14"/>
                <w:szCs w:val="14"/>
                <w:b w:val="1"/>
                <w:bCs w:val="1"/>
                <w:color w:val="auto"/>
                <w:w w:val="99"/>
              </w:rPr>
              <w:t>Retained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36"/>
        </w:trPr>
        <w:tc>
          <w:tcPr>
            <w:tcW w:w="2880" w:type="dxa"/>
            <w:vAlign w:val="bottom"/>
          </w:tcPr>
          <w:p>
            <w:pPr>
              <w:spacing w:after="0"/>
              <w:rPr>
                <w:sz w:val="11"/>
                <w:szCs w:val="11"/>
                <w:color w:val="auto"/>
              </w:rPr>
            </w:pPr>
          </w:p>
        </w:tc>
        <w:tc>
          <w:tcPr>
            <w:tcW w:w="1220" w:type="dxa"/>
            <w:vAlign w:val="bottom"/>
          </w:tcPr>
          <w:p>
            <w:pPr>
              <w:jc w:val="center"/>
              <w:ind w:left="128"/>
              <w:spacing w:after="0" w:line="136" w:lineRule="exact"/>
              <w:rPr>
                <w:sz w:val="20"/>
                <w:szCs w:val="20"/>
                <w:color w:val="auto"/>
              </w:rPr>
            </w:pPr>
            <w:r>
              <w:rPr>
                <w:rFonts w:ascii="Calibri" w:cs="Calibri" w:eastAsia="Calibri" w:hAnsi="Calibri"/>
                <w:sz w:val="14"/>
                <w:szCs w:val="14"/>
                <w:b w:val="1"/>
                <w:bCs w:val="1"/>
                <w:color w:val="auto"/>
              </w:rPr>
              <w:t>Common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48"/>
              <w:spacing w:after="0" w:line="136" w:lineRule="exact"/>
              <w:rPr>
                <w:sz w:val="20"/>
                <w:szCs w:val="20"/>
                <w:color w:val="auto"/>
              </w:rPr>
            </w:pPr>
            <w:r>
              <w:rPr>
                <w:rFonts w:ascii="Calibri" w:cs="Calibri" w:eastAsia="Calibri" w:hAnsi="Calibri"/>
                <w:sz w:val="14"/>
                <w:szCs w:val="14"/>
                <w:b w:val="1"/>
                <w:bCs w:val="1"/>
                <w:color w:val="auto"/>
              </w:rPr>
              <w:t>Additonal</w:t>
            </w:r>
          </w:p>
        </w:tc>
        <w:tc>
          <w:tcPr>
            <w:tcW w:w="180" w:type="dxa"/>
            <w:vAlign w:val="bottom"/>
          </w:tcPr>
          <w:p>
            <w:pPr>
              <w:spacing w:after="0"/>
              <w:rPr>
                <w:sz w:val="11"/>
                <w:szCs w:val="11"/>
                <w:color w:val="auto"/>
              </w:rPr>
            </w:pPr>
          </w:p>
        </w:tc>
        <w:tc>
          <w:tcPr>
            <w:tcW w:w="980" w:type="dxa"/>
            <w:vAlign w:val="bottom"/>
          </w:tcPr>
          <w:p>
            <w:pPr>
              <w:jc w:val="center"/>
              <w:ind w:right="68"/>
              <w:spacing w:after="0" w:line="136" w:lineRule="exact"/>
              <w:rPr>
                <w:sz w:val="20"/>
                <w:szCs w:val="20"/>
                <w:color w:val="auto"/>
              </w:rPr>
            </w:pPr>
            <w:r>
              <w:rPr>
                <w:rFonts w:ascii="Calibri" w:cs="Calibri" w:eastAsia="Calibri" w:hAnsi="Calibri"/>
                <w:sz w:val="14"/>
                <w:szCs w:val="14"/>
                <w:b w:val="1"/>
                <w:bCs w:val="1"/>
                <w:color w:val="auto"/>
              </w:rPr>
              <w:t>earnings</w:t>
            </w:r>
          </w:p>
        </w:tc>
        <w:tc>
          <w:tcPr>
            <w:tcW w:w="1280" w:type="dxa"/>
            <w:vAlign w:val="bottom"/>
            <w:gridSpan w:val="2"/>
          </w:tcPr>
          <w:p>
            <w:pPr>
              <w:ind w:left="80"/>
              <w:spacing w:after="0" w:line="136" w:lineRule="exact"/>
              <w:rPr>
                <w:sz w:val="20"/>
                <w:szCs w:val="20"/>
                <w:color w:val="auto"/>
              </w:rPr>
            </w:pPr>
            <w:r>
              <w:rPr>
                <w:rFonts w:ascii="Calibri" w:cs="Calibri" w:eastAsia="Calibri" w:hAnsi="Calibri"/>
                <w:sz w:val="14"/>
                <w:szCs w:val="14"/>
                <w:b w:val="1"/>
                <w:bCs w:val="1"/>
                <w:color w:val="auto"/>
              </w:rPr>
              <w:t>Accumulated other</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8"/>
        </w:trPr>
        <w:tc>
          <w:tcPr>
            <w:tcW w:w="2880" w:type="dxa"/>
            <w:vAlign w:val="bottom"/>
          </w:tcPr>
          <w:p>
            <w:pPr>
              <w:spacing w:after="0"/>
              <w:rPr>
                <w:sz w:val="12"/>
                <w:szCs w:val="12"/>
                <w:color w:val="auto"/>
              </w:rPr>
            </w:pPr>
          </w:p>
        </w:tc>
        <w:tc>
          <w:tcPr>
            <w:tcW w:w="1220" w:type="dxa"/>
            <w:vAlign w:val="bottom"/>
          </w:tcPr>
          <w:p>
            <w:pPr>
              <w:jc w:val="center"/>
              <w:ind w:left="128"/>
              <w:spacing w:after="0" w:line="149" w:lineRule="exact"/>
              <w:rPr>
                <w:sz w:val="20"/>
                <w:szCs w:val="20"/>
                <w:color w:val="auto"/>
              </w:rPr>
            </w:pPr>
            <w:r>
              <w:rPr>
                <w:rFonts w:ascii="Calibri" w:cs="Calibri" w:eastAsia="Calibri" w:hAnsi="Calibri"/>
                <w:sz w:val="14"/>
                <w:szCs w:val="14"/>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Calibri" w:cs="Calibri" w:eastAsia="Calibri" w:hAnsi="Calibri"/>
                <w:sz w:val="14"/>
                <w:szCs w:val="14"/>
                <w:b w:val="1"/>
                <w:bCs w:val="1"/>
                <w:color w:val="auto"/>
              </w:rPr>
              <w:t>Common</w:t>
            </w:r>
          </w:p>
        </w:tc>
        <w:tc>
          <w:tcPr>
            <w:tcW w:w="160" w:type="dxa"/>
            <w:vAlign w:val="bottom"/>
          </w:tcPr>
          <w:p>
            <w:pPr>
              <w:spacing w:after="0"/>
              <w:rPr>
                <w:sz w:val="12"/>
                <w:szCs w:val="12"/>
                <w:color w:val="auto"/>
              </w:rPr>
            </w:pPr>
          </w:p>
        </w:tc>
        <w:tc>
          <w:tcPr>
            <w:tcW w:w="700" w:type="dxa"/>
            <w:vAlign w:val="bottom"/>
          </w:tcPr>
          <w:p>
            <w:pPr>
              <w:jc w:val="right"/>
              <w:ind w:right="88"/>
              <w:spacing w:after="0" w:line="149" w:lineRule="exact"/>
              <w:rPr>
                <w:sz w:val="20"/>
                <w:szCs w:val="20"/>
                <w:color w:val="auto"/>
              </w:rPr>
            </w:pPr>
            <w:r>
              <w:rPr>
                <w:rFonts w:ascii="Calibri" w:cs="Calibri" w:eastAsia="Calibri" w:hAnsi="Calibri"/>
                <w:sz w:val="14"/>
                <w:szCs w:val="14"/>
                <w:b w:val="1"/>
                <w:bCs w:val="1"/>
                <w:color w:val="auto"/>
              </w:rPr>
              <w:t>Treasury</w:t>
            </w:r>
          </w:p>
        </w:tc>
        <w:tc>
          <w:tcPr>
            <w:tcW w:w="14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Calibri" w:cs="Calibri" w:eastAsia="Calibri" w:hAnsi="Calibri"/>
                <w:sz w:val="14"/>
                <w:szCs w:val="14"/>
                <w:b w:val="1"/>
                <w:bCs w:val="1"/>
                <w:color w:val="auto"/>
              </w:rPr>
              <w:t>paid-in</w:t>
            </w:r>
          </w:p>
        </w:tc>
        <w:tc>
          <w:tcPr>
            <w:tcW w:w="18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Calibri" w:cs="Calibri" w:eastAsia="Calibri" w:hAnsi="Calibri"/>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tcPr>
          <w:p>
            <w:pPr>
              <w:jc w:val="right"/>
              <w:ind w:right="108"/>
              <w:spacing w:after="0" w:line="149" w:lineRule="exact"/>
              <w:rPr>
                <w:sz w:val="20"/>
                <w:szCs w:val="20"/>
                <w:color w:val="auto"/>
              </w:rPr>
            </w:pPr>
            <w:r>
              <w:rPr>
                <w:rFonts w:ascii="Calibri" w:cs="Calibri" w:eastAsia="Calibri" w:hAnsi="Calibri"/>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right"/>
              <w:ind w:right="108"/>
              <w:spacing w:after="0" w:line="149" w:lineRule="exact"/>
              <w:rPr>
                <w:sz w:val="20"/>
                <w:szCs w:val="20"/>
                <w:color w:val="auto"/>
              </w:rPr>
            </w:pPr>
            <w:r>
              <w:rPr>
                <w:rFonts w:ascii="Calibri" w:cs="Calibri" w:eastAsia="Calibri" w:hAnsi="Calibri"/>
                <w:sz w:val="14"/>
                <w:szCs w:val="14"/>
                <w:b w:val="1"/>
                <w:bCs w:val="1"/>
                <w:color w:val="auto"/>
              </w:rPr>
              <w:t>Noncontrolling</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3"/>
        </w:trPr>
        <w:tc>
          <w:tcPr>
            <w:tcW w:w="288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22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outstanding</w:t>
            </w:r>
          </w:p>
        </w:tc>
        <w:tc>
          <w:tcPr>
            <w:tcW w:w="14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stock</w:t>
            </w:r>
          </w:p>
        </w:tc>
        <w:tc>
          <w:tcPr>
            <w:tcW w:w="160" w:type="dxa"/>
            <w:vAlign w:val="bottom"/>
          </w:tcPr>
          <w:p>
            <w:pPr>
              <w:spacing w:after="0"/>
              <w:rPr>
                <w:sz w:val="15"/>
                <w:szCs w:val="15"/>
                <w:color w:val="auto"/>
              </w:rPr>
            </w:pPr>
          </w:p>
        </w:tc>
        <w:tc>
          <w:tcPr>
            <w:tcW w:w="70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Calibri" w:cs="Calibri" w:eastAsia="Calibri" w:hAnsi="Calibri"/>
                <w:sz w:val="14"/>
                <w:szCs w:val="14"/>
                <w:b w:val="1"/>
                <w:bCs w:val="1"/>
                <w:color w:val="auto"/>
              </w:rPr>
              <w:t>capital</w:t>
            </w:r>
          </w:p>
        </w:tc>
        <w:tc>
          <w:tcPr>
            <w:tcW w:w="18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Calibri" w:cs="Calibri" w:eastAsia="Calibri" w:hAnsi="Calibri"/>
                <w:sz w:val="14"/>
                <w:szCs w:val="14"/>
                <w:b w:val="1"/>
                <w:bCs w:val="1"/>
                <w:color w:val="auto"/>
              </w:rPr>
              <w:t>defcit)</w:t>
            </w:r>
          </w:p>
        </w:tc>
        <w:tc>
          <w:tcPr>
            <w:tcW w:w="160" w:type="dxa"/>
            <w:vAlign w:val="bottom"/>
          </w:tcPr>
          <w:p>
            <w:pPr>
              <w:spacing w:after="0"/>
              <w:rPr>
                <w:sz w:val="15"/>
                <w:szCs w:val="15"/>
                <w:color w:val="auto"/>
              </w:rPr>
            </w:pPr>
          </w:p>
        </w:tc>
        <w:tc>
          <w:tcPr>
            <w:tcW w:w="1120" w:type="dxa"/>
            <w:vAlign w:val="bottom"/>
          </w:tcPr>
          <w:p>
            <w:pPr>
              <w:jc w:val="right"/>
              <w:ind w:right="448"/>
              <w:spacing w:after="0"/>
              <w:rPr>
                <w:sz w:val="20"/>
                <w:szCs w:val="20"/>
                <w:color w:val="auto"/>
              </w:rPr>
            </w:pPr>
            <w:r>
              <w:rPr>
                <w:rFonts w:ascii="Calibri" w:cs="Calibri" w:eastAsia="Calibri" w:hAnsi="Calibri"/>
                <w:sz w:val="14"/>
                <w:szCs w:val="14"/>
                <w:b w:val="1"/>
                <w:bCs w:val="1"/>
                <w:color w:val="auto"/>
              </w:rPr>
              <w:t>loss</w:t>
            </w:r>
          </w:p>
        </w:tc>
        <w:tc>
          <w:tcPr>
            <w:tcW w:w="160" w:type="dxa"/>
            <w:vAlign w:val="bottom"/>
          </w:tcPr>
          <w:p>
            <w:pPr>
              <w:spacing w:after="0"/>
              <w:rPr>
                <w:sz w:val="15"/>
                <w:szCs w:val="15"/>
                <w:color w:val="auto"/>
              </w:rPr>
            </w:pPr>
          </w:p>
        </w:tc>
        <w:tc>
          <w:tcPr>
            <w:tcW w:w="1100" w:type="dxa"/>
            <w:vAlign w:val="bottom"/>
          </w:tcPr>
          <w:p>
            <w:pPr>
              <w:jc w:val="right"/>
              <w:ind w:right="328"/>
              <w:spacing w:after="0"/>
              <w:rPr>
                <w:sz w:val="20"/>
                <w:szCs w:val="20"/>
                <w:color w:val="auto"/>
              </w:rPr>
            </w:pPr>
            <w:r>
              <w:rPr>
                <w:rFonts w:ascii="Calibri" w:cs="Calibri" w:eastAsia="Calibri" w:hAnsi="Calibri"/>
                <w:sz w:val="14"/>
                <w:szCs w:val="14"/>
                <w:b w:val="1"/>
                <w:bCs w:val="1"/>
                <w:color w:val="auto"/>
              </w:rPr>
              <w:t>interest</w:t>
            </w:r>
          </w:p>
        </w:tc>
        <w:tc>
          <w:tcPr>
            <w:tcW w:w="200" w:type="dxa"/>
            <w:vAlign w:val="bottom"/>
          </w:tcPr>
          <w:p>
            <w:pPr>
              <w:spacing w:after="0"/>
              <w:rPr>
                <w:sz w:val="15"/>
                <w:szCs w:val="15"/>
                <w:color w:val="auto"/>
              </w:rPr>
            </w:pPr>
          </w:p>
        </w:tc>
        <w:tc>
          <w:tcPr>
            <w:tcW w:w="60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March 31, 2023</w:t>
            </w:r>
          </w:p>
        </w:tc>
        <w:tc>
          <w:tcPr>
            <w:tcW w:w="12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1,764</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(6,524)</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19,619</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2,393</w:t>
            </w:r>
          </w:p>
        </w:tc>
        <w:tc>
          <w:tcPr>
            <w:tcW w:w="160" w:type="dxa"/>
            <w:vAlign w:val="bottom"/>
            <w:tcBorders>
              <w:bottom w:val="single" w:sz="8" w:color="CCEEFF"/>
            </w:tcBorders>
            <w:shd w:val="clear" w:color="auto" w:fill="CCEEFF"/>
          </w:tcPr>
          <w:p>
            <w:pPr>
              <w:ind w:left="80"/>
              <w:spacing w:after="0" w:line="164" w:lineRule="exact"/>
              <w:rPr>
                <w:sz w:val="20"/>
                <w:szCs w:val="20"/>
                <w:color w:val="auto"/>
              </w:rPr>
            </w:pPr>
            <w:r>
              <w:rPr>
                <w:rFonts w:ascii="Calibri" w:cs="Calibri" w:eastAsia="Calibri" w:hAnsi="Calibri"/>
                <w:sz w:val="14"/>
                <w:szCs w:val="14"/>
                <w:color w:val="auto"/>
                <w:w w:val="83"/>
              </w:rPr>
              <w:t>$</w:t>
            </w:r>
          </w:p>
        </w:tc>
        <w:tc>
          <w:tcPr>
            <w:tcW w:w="1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(2,232)</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29</w:t>
            </w:r>
          </w:p>
        </w:tc>
        <w:tc>
          <w:tcPr>
            <w:tcW w:w="20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13,303</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2,024</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2,024</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Other comprehensive loss, net of tax</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Dividends declared</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(2,628)</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(2,628)</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Purchases of treasury stock</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1</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6</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220</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226</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w:t>
            </w:r>
          </w:p>
        </w:tc>
      </w:tr>
      <w:tr>
        <w:trPr>
          <w:trHeight w:val="163"/>
        </w:trPr>
        <w:tc>
          <w:tcPr>
            <w:tcW w:w="28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2023</w:t>
            </w:r>
          </w:p>
        </w:tc>
        <w:tc>
          <w:tcPr>
            <w:tcW w:w="12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1,765</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(6,528)</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19,839</w:t>
            </w:r>
          </w:p>
        </w:tc>
        <w:tc>
          <w:tcPr>
            <w:tcW w:w="1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1,789</w:t>
            </w:r>
          </w:p>
        </w:tc>
        <w:tc>
          <w:tcPr>
            <w:tcW w:w="160" w:type="dxa"/>
            <w:vAlign w:val="bottom"/>
            <w:tcBorders>
              <w:top w:val="single" w:sz="8" w:color="auto"/>
            </w:tcBorders>
          </w:tcPr>
          <w:p>
            <w:pPr>
              <w:ind w:left="80"/>
              <w:spacing w:after="0" w:line="164" w:lineRule="exact"/>
              <w:rPr>
                <w:sz w:val="20"/>
                <w:szCs w:val="20"/>
                <w:color w:val="auto"/>
              </w:rPr>
            </w:pPr>
            <w:r>
              <w:rPr>
                <w:rFonts w:ascii="Calibri" w:cs="Calibri" w:eastAsia="Calibri" w:hAnsi="Calibri"/>
                <w:sz w:val="14"/>
                <w:szCs w:val="14"/>
                <w:color w:val="auto"/>
                <w:w w:val="83"/>
              </w:rPr>
              <w:t>$</w:t>
            </w:r>
          </w:p>
        </w:tc>
        <w:tc>
          <w:tcPr>
            <w:tcW w:w="1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(2,252)</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32</w:t>
            </w:r>
          </w:p>
        </w:tc>
        <w:tc>
          <w:tcPr>
            <w:tcW w:w="20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12,898</w:t>
            </w:r>
          </w:p>
        </w:tc>
      </w:tr>
      <w:tr>
        <w:trPr>
          <w:trHeight w:val="33"/>
        </w:trPr>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b w:val="1"/>
                <w:bCs w:val="1"/>
                <w:color w:val="auto"/>
              </w:rPr>
              <w:t>Balance at March 31, 2024</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1,766</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18</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(7,829)</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20,656</w:t>
            </w:r>
          </w:p>
        </w:tc>
        <w:tc>
          <w:tcPr>
            <w:tcW w:w="1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(2,384)</w:t>
            </w:r>
          </w:p>
        </w:tc>
        <w:tc>
          <w:tcPr>
            <w:tcW w:w="160" w:type="dxa"/>
            <w:vAlign w:val="bottom"/>
          </w:tcPr>
          <w:p>
            <w:pPr>
              <w:ind w:left="80"/>
              <w:spacing w:after="0"/>
              <w:rPr>
                <w:sz w:val="20"/>
                <w:szCs w:val="20"/>
                <w:color w:val="auto"/>
              </w:rPr>
            </w:pPr>
            <w:r>
              <w:rPr>
                <w:rFonts w:ascii="Calibri" w:cs="Calibri" w:eastAsia="Calibri" w:hAnsi="Calibri"/>
                <w:sz w:val="14"/>
                <w:szCs w:val="14"/>
                <w:color w:val="auto"/>
                <w:w w:val="83"/>
              </w:rPr>
              <w:t>$</w:t>
            </w:r>
          </w:p>
        </w:tc>
        <w:tc>
          <w:tcPr>
            <w:tcW w:w="1120" w:type="dxa"/>
            <w:vAlign w:val="bottom"/>
          </w:tcPr>
          <w:p>
            <w:pPr>
              <w:jc w:val="right"/>
              <w:spacing w:after="0"/>
              <w:rPr>
                <w:sz w:val="20"/>
                <w:szCs w:val="20"/>
                <w:color w:val="auto"/>
              </w:rPr>
            </w:pPr>
            <w:r>
              <w:rPr>
                <w:rFonts w:ascii="Calibri" w:cs="Calibri" w:eastAsia="Calibri" w:hAnsi="Calibri"/>
                <w:sz w:val="14"/>
                <w:szCs w:val="14"/>
                <w:color w:val="auto"/>
              </w:rPr>
              <w:t>(2,454)</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40</w:t>
            </w:r>
          </w:p>
        </w:tc>
        <w:tc>
          <w:tcPr>
            <w:tcW w:w="2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spacing w:after="0"/>
              <w:rPr>
                <w:sz w:val="20"/>
                <w:szCs w:val="20"/>
                <w:color w:val="auto"/>
              </w:rPr>
            </w:pPr>
            <w:r>
              <w:rPr>
                <w:rFonts w:ascii="Calibri" w:cs="Calibri" w:eastAsia="Calibri" w:hAnsi="Calibri"/>
                <w:sz w:val="14"/>
                <w:szCs w:val="14"/>
                <w:color w:val="auto"/>
              </w:rPr>
              <w:t>8,047</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1,370</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1,370</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Other comprehensive loss, net of tax</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(59)</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(59)</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Dividends declared</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(2,754)</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(2,754)</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Purchases of treasury stock</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(9)</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(9)</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223</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223</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3</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3</w:t>
            </w:r>
          </w:p>
        </w:tc>
      </w:tr>
      <w:tr>
        <w:trPr>
          <w:trHeight w:val="33"/>
        </w:trPr>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1"/>
        </w:trPr>
        <w:tc>
          <w:tcPr>
            <w:tcW w:w="28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2024</w:t>
            </w:r>
          </w:p>
        </w:tc>
        <w:tc>
          <w:tcPr>
            <w:tcW w:w="12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1,766</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(7,838)</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20,879</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(3,768)</w:t>
            </w:r>
          </w:p>
        </w:tc>
        <w:tc>
          <w:tcPr>
            <w:tcW w:w="160" w:type="dxa"/>
            <w:vAlign w:val="bottom"/>
            <w:tcBorders>
              <w:bottom w:val="single" w:sz="8" w:color="CCEEFF"/>
            </w:tcBorders>
            <w:shd w:val="clear" w:color="auto" w:fill="CCEEFF"/>
          </w:tcPr>
          <w:p>
            <w:pPr>
              <w:ind w:left="80"/>
              <w:spacing w:after="0" w:line="164" w:lineRule="exact"/>
              <w:rPr>
                <w:sz w:val="20"/>
                <w:szCs w:val="20"/>
                <w:color w:val="auto"/>
              </w:rPr>
            </w:pPr>
            <w:r>
              <w:rPr>
                <w:rFonts w:ascii="Calibri" w:cs="Calibri" w:eastAsia="Calibri" w:hAnsi="Calibri"/>
                <w:sz w:val="14"/>
                <w:szCs w:val="14"/>
                <w:color w:val="auto"/>
                <w:w w:val="83"/>
              </w:rPr>
              <w:t>$</w:t>
            </w:r>
          </w:p>
        </w:tc>
        <w:tc>
          <w:tcPr>
            <w:tcW w:w="1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(2,513)</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43</w:t>
            </w:r>
          </w:p>
        </w:tc>
        <w:tc>
          <w:tcPr>
            <w:tcW w:w="20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6,821</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Balance at December 31, 2022</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1,769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(4,594)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19,245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4,784</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Calibri" w:cs="Calibri" w:eastAsia="Calibri" w:hAnsi="Calibri"/>
                <w:sz w:val="14"/>
                <w:szCs w:val="14"/>
                <w:color w:val="auto"/>
                <w:w w:val="8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33</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17,287</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2,263</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2,263</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Other comprehensive loss, net of tax</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(53)</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(53)</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Dividends declared</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(5,258)</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(5,258)</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Purchases of treasury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(1,965)</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(1,965)</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8</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31</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594</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625</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r>
      <w:tr>
        <w:trPr>
          <w:trHeight w:val="163"/>
        </w:trPr>
        <w:tc>
          <w:tcPr>
            <w:tcW w:w="28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2023</w:t>
            </w:r>
          </w:p>
        </w:tc>
        <w:tc>
          <w:tcPr>
            <w:tcW w:w="12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1,765</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(6,528)</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19,839</w:t>
            </w:r>
          </w:p>
        </w:tc>
        <w:tc>
          <w:tcPr>
            <w:tcW w:w="1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1,789</w:t>
            </w:r>
          </w:p>
        </w:tc>
        <w:tc>
          <w:tcPr>
            <w:tcW w:w="160" w:type="dxa"/>
            <w:vAlign w:val="bottom"/>
            <w:tcBorders>
              <w:top w:val="single" w:sz="8" w:color="auto"/>
            </w:tcBorders>
          </w:tcPr>
          <w:p>
            <w:pPr>
              <w:ind w:left="80"/>
              <w:spacing w:after="0" w:line="164" w:lineRule="exact"/>
              <w:rPr>
                <w:sz w:val="20"/>
                <w:szCs w:val="20"/>
                <w:color w:val="auto"/>
              </w:rPr>
            </w:pPr>
            <w:r>
              <w:rPr>
                <w:rFonts w:ascii="Calibri" w:cs="Calibri" w:eastAsia="Calibri" w:hAnsi="Calibri"/>
                <w:sz w:val="14"/>
                <w:szCs w:val="14"/>
                <w:color w:val="auto"/>
                <w:w w:val="83"/>
              </w:rPr>
              <w:t>$</w:t>
            </w:r>
          </w:p>
        </w:tc>
        <w:tc>
          <w:tcPr>
            <w:tcW w:w="1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(2,252)</w:t>
            </w:r>
          </w:p>
        </w:tc>
        <w:tc>
          <w:tcPr>
            <w:tcW w:w="16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32</w:t>
            </w:r>
          </w:p>
        </w:tc>
        <w:tc>
          <w:tcPr>
            <w:tcW w:w="20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12,898</w:t>
            </w:r>
          </w:p>
        </w:tc>
      </w:tr>
      <w:tr>
        <w:trPr>
          <w:trHeight w:val="33"/>
        </w:trPr>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b w:val="1"/>
                <w:bCs w:val="1"/>
                <w:color w:val="auto"/>
              </w:rPr>
              <w:t>Balance at December 31, 2023</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1,766</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18</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(6,533)</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20,180</w:t>
            </w:r>
          </w:p>
        </w:tc>
        <w:tc>
          <w:tcPr>
            <w:tcW w:w="1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(1,000)</w:t>
            </w:r>
          </w:p>
        </w:tc>
        <w:tc>
          <w:tcPr>
            <w:tcW w:w="160" w:type="dxa"/>
            <w:vAlign w:val="bottom"/>
          </w:tcPr>
          <w:p>
            <w:pPr>
              <w:ind w:left="80"/>
              <w:spacing w:after="0"/>
              <w:rPr>
                <w:sz w:val="20"/>
                <w:szCs w:val="20"/>
                <w:color w:val="auto"/>
              </w:rPr>
            </w:pPr>
            <w:r>
              <w:rPr>
                <w:rFonts w:ascii="Calibri" w:cs="Calibri" w:eastAsia="Calibri" w:hAnsi="Calibri"/>
                <w:sz w:val="14"/>
                <w:szCs w:val="14"/>
                <w:color w:val="auto"/>
                <w:w w:val="83"/>
              </w:rPr>
              <w:t>$</w:t>
            </w:r>
          </w:p>
        </w:tc>
        <w:tc>
          <w:tcPr>
            <w:tcW w:w="1120" w:type="dxa"/>
            <w:vAlign w:val="bottom"/>
          </w:tcPr>
          <w:p>
            <w:pPr>
              <w:jc w:val="right"/>
              <w:spacing w:after="0"/>
              <w:rPr>
                <w:sz w:val="20"/>
                <w:szCs w:val="20"/>
                <w:color w:val="auto"/>
              </w:rPr>
            </w:pPr>
            <w:r>
              <w:rPr>
                <w:rFonts w:ascii="Calibri" w:cs="Calibri" w:eastAsia="Calibri" w:hAnsi="Calibri"/>
                <w:sz w:val="14"/>
                <w:szCs w:val="14"/>
                <w:color w:val="auto"/>
              </w:rPr>
              <w:t>(2,305)</w:t>
            </w: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37</w:t>
            </w:r>
          </w:p>
        </w:tc>
        <w:tc>
          <w:tcPr>
            <w:tcW w:w="20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600" w:type="dxa"/>
            <w:vAlign w:val="bottom"/>
          </w:tcPr>
          <w:p>
            <w:pPr>
              <w:jc w:val="right"/>
              <w:spacing w:after="0"/>
              <w:rPr>
                <w:sz w:val="20"/>
                <w:szCs w:val="20"/>
                <w:color w:val="auto"/>
              </w:rPr>
            </w:pPr>
            <w:r>
              <w:rPr>
                <w:rFonts w:ascii="Calibri" w:cs="Calibri" w:eastAsia="Calibri" w:hAnsi="Calibri"/>
                <w:sz w:val="14"/>
                <w:szCs w:val="14"/>
                <w:color w:val="auto"/>
              </w:rPr>
              <w:t>10,397</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2,739</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2,739</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Other comprehensive loss, net of tax</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(208)</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(208)</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Dividends declared</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(5,507)</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(5,507)</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Purchases of treasury stock</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(7)</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(1,333)</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(1,333)</w:t>
            </w: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Stock-based compensaton plans and other</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28</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699</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727</w:t>
            </w:r>
          </w:p>
        </w:tc>
      </w:tr>
      <w:tr>
        <w:trPr>
          <w:trHeight w:val="170"/>
        </w:trPr>
        <w:tc>
          <w:tcPr>
            <w:tcW w:w="2880" w:type="dxa"/>
            <w:vAlign w:val="bottom"/>
          </w:tcPr>
          <w:p>
            <w:pPr>
              <w:ind w:left="20"/>
              <w:spacing w:after="0"/>
              <w:rPr>
                <w:sz w:val="20"/>
                <w:szCs w:val="20"/>
                <w:color w:val="auto"/>
              </w:rPr>
            </w:pPr>
            <w:r>
              <w:rPr>
                <w:rFonts w:ascii="Calibri" w:cs="Calibri" w:eastAsia="Calibri" w:hAnsi="Calibri"/>
                <w:sz w:val="14"/>
                <w:szCs w:val="14"/>
                <w:color w:val="auto"/>
              </w:rPr>
              <w:t>Change in noncontrolling interest</w:t>
            </w:r>
          </w:p>
        </w:tc>
        <w:tc>
          <w:tcPr>
            <w:tcW w:w="12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6</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6</w:t>
            </w:r>
          </w:p>
        </w:tc>
      </w:tr>
      <w:tr>
        <w:trPr>
          <w:trHeight w:val="33"/>
        </w:trPr>
        <w:tc>
          <w:tcPr>
            <w:tcW w:w="2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1"/>
        </w:trPr>
        <w:tc>
          <w:tcPr>
            <w:tcW w:w="28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Balance at June 30, 2024</w:t>
            </w:r>
          </w:p>
        </w:tc>
        <w:tc>
          <w:tcPr>
            <w:tcW w:w="12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1,766</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(7,838)</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20,879</w:t>
            </w:r>
          </w:p>
        </w:tc>
        <w:tc>
          <w:tcPr>
            <w:tcW w:w="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(3,768)</w:t>
            </w:r>
          </w:p>
        </w:tc>
        <w:tc>
          <w:tcPr>
            <w:tcW w:w="160" w:type="dxa"/>
            <w:vAlign w:val="bottom"/>
            <w:tcBorders>
              <w:bottom w:val="single" w:sz="8" w:color="CCEEFF"/>
            </w:tcBorders>
            <w:shd w:val="clear" w:color="auto" w:fill="CCEEFF"/>
          </w:tcPr>
          <w:p>
            <w:pPr>
              <w:ind w:left="80"/>
              <w:spacing w:after="0" w:line="164" w:lineRule="exact"/>
              <w:rPr>
                <w:sz w:val="20"/>
                <w:szCs w:val="20"/>
                <w:color w:val="auto"/>
              </w:rPr>
            </w:pPr>
            <w:r>
              <w:rPr>
                <w:rFonts w:ascii="Calibri" w:cs="Calibri" w:eastAsia="Calibri" w:hAnsi="Calibri"/>
                <w:sz w:val="14"/>
                <w:szCs w:val="14"/>
                <w:color w:val="auto"/>
                <w:w w:val="83"/>
              </w:rPr>
              <w:t>$</w:t>
            </w:r>
          </w:p>
        </w:tc>
        <w:tc>
          <w:tcPr>
            <w:tcW w:w="1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(2,513)</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43</w:t>
            </w:r>
          </w:p>
        </w:tc>
        <w:tc>
          <w:tcPr>
            <w:tcW w:w="20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6,821</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400685</wp:posOffset>
            </wp:positionV>
            <wp:extent cx="51435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4</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 w:name="page7"/>
    <w:bookmarkEnd w:id="6"/>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Condensed Consolidated Statements of Cash Flows (unaudited)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(brackets denote cash outlows)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1"/>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4"/>
                <w:szCs w:val="14"/>
                <w:color w:val="auto"/>
              </w:rPr>
            </w:pPr>
          </w:p>
        </w:tc>
        <w:tc>
          <w:tcPr>
            <w:tcW w:w="860" w:type="dxa"/>
            <w:vAlign w:val="bottom"/>
          </w:tcPr>
          <w:p>
            <w:pPr>
              <w:jc w:val="right"/>
              <w:ind w:right="450"/>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8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operatng actvites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2,745</w:t>
            </w:r>
          </w:p>
        </w:tc>
        <w:tc>
          <w:tcPr>
            <w:tcW w:w="56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2,268</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Adjustments to reconcile net earnings to net cash from operatng actvites: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Depreciaton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367</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369</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Amortzaton of intangible assets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3,838</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4,018</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Deferred income taxes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(405)</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(635)</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Change in fair value of contngent consideraton liabilites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2,136</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3,424</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Payments of contngent consideraton liabilites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(876)</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Stock-based compensaton</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566</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492</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Acquired IPR&amp;D and milestones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1,101</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430</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Non-cash litgaton reserve adjustments, net of cash payments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27</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(118)</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Impairment of intangible assets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710</w:t>
            </w:r>
          </w:p>
        </w:tc>
        <w:tc>
          <w:tcPr>
            <w:tcW w:w="0" w:type="dxa"/>
            <w:vAlign w:val="bottom"/>
          </w:tcPr>
          <w:p>
            <w:pPr>
              <w:spacing w:after="0"/>
              <w:rPr>
                <w:sz w:val="1"/>
                <w:szCs w:val="1"/>
                <w:color w:val="auto"/>
              </w:rPr>
            </w:pPr>
          </w:p>
        </w:tc>
      </w:tr>
      <w:tr>
        <w:trPr>
          <w:trHeight w:val="222"/>
        </w:trPr>
        <w:tc>
          <w:tcPr>
            <w:tcW w:w="8400" w:type="dxa"/>
            <w:vAlign w:val="bottom"/>
          </w:tcPr>
          <w:p>
            <w:pPr>
              <w:ind w:left="180"/>
              <w:spacing w:after="0" w:line="215" w:lineRule="exact"/>
              <w:rPr>
                <w:sz w:val="20"/>
                <w:szCs w:val="20"/>
                <w:color w:val="auto"/>
              </w:rPr>
            </w:pPr>
            <w:r>
              <w:rPr>
                <w:rFonts w:ascii="Calibri" w:cs="Calibri" w:eastAsia="Calibri" w:hAnsi="Calibri"/>
                <w:sz w:val="18"/>
                <w:szCs w:val="18"/>
                <w:color w:val="auto"/>
              </w:rPr>
              <w:t>Other, net</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(53)</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(173)</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Changes in operatng assets and liabilites, net of acquisitons: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340"/>
              <w:spacing w:after="0" w:line="215" w:lineRule="exact"/>
              <w:rPr>
                <w:sz w:val="20"/>
                <w:szCs w:val="20"/>
                <w:color w:val="auto"/>
              </w:rPr>
            </w:pPr>
            <w:r>
              <w:rPr>
                <w:rFonts w:ascii="Calibri" w:cs="Calibri" w:eastAsia="Calibri" w:hAnsi="Calibri"/>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(524)</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(275)</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Inventories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(127)</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(458)</w:t>
            </w:r>
          </w:p>
        </w:tc>
        <w:tc>
          <w:tcPr>
            <w:tcW w:w="0" w:type="dxa"/>
            <w:vAlign w:val="bottom"/>
          </w:tcPr>
          <w:p>
            <w:pPr>
              <w:spacing w:after="0"/>
              <w:rPr>
                <w:sz w:val="1"/>
                <w:szCs w:val="1"/>
                <w:color w:val="auto"/>
              </w:rPr>
            </w:pPr>
          </w:p>
        </w:tc>
      </w:tr>
      <w:tr>
        <w:trPr>
          <w:trHeight w:val="222"/>
        </w:trPr>
        <w:tc>
          <w:tcPr>
            <w:tcW w:w="8400" w:type="dxa"/>
            <w:vAlign w:val="bottom"/>
          </w:tcPr>
          <w:p>
            <w:pPr>
              <w:ind w:left="340"/>
              <w:spacing w:after="0" w:line="215" w:lineRule="exact"/>
              <w:rPr>
                <w:sz w:val="20"/>
                <w:szCs w:val="20"/>
                <w:color w:val="auto"/>
              </w:rPr>
            </w:pPr>
            <w:r>
              <w:rPr>
                <w:rFonts w:ascii="Calibri" w:cs="Calibri" w:eastAsia="Calibri" w:hAnsi="Calibri"/>
                <w:sz w:val="18"/>
                <w:szCs w:val="18"/>
                <w:color w:val="auto"/>
              </w:rPr>
              <w:t>Prepaid expenses and other assets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309</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285</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Accounts payable and other liabilites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(1,337)</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Income tax assets and liabilites,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(1,456)</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Cash fows from operatng actvites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6,311</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10,512</w:t>
            </w:r>
          </w:p>
        </w:tc>
        <w:tc>
          <w:tcPr>
            <w:tcW w:w="0" w:type="dxa"/>
            <w:vAlign w:val="bottom"/>
          </w:tcPr>
          <w:p>
            <w:pPr>
              <w:spacing w:after="0"/>
              <w:rPr>
                <w:sz w:val="1"/>
                <w:szCs w:val="1"/>
                <w:color w:val="auto"/>
              </w:rPr>
            </w:pPr>
          </w:p>
        </w:tc>
      </w:tr>
      <w:tr>
        <w:trPr>
          <w:trHeight w:val="95"/>
        </w:trPr>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Acquisiton of businesses, net of cash acquired</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(9,199)</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acquisitons and investments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(1,033)</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(513)</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Acquisitons of property and equipment</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(434)</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(353)</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Purchases of investment securites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Sales and maturites of investment securites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9</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36</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Other, net</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25</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(10,690)</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(840)</w:t>
            </w:r>
          </w:p>
        </w:tc>
        <w:tc>
          <w:tcPr>
            <w:tcW w:w="0" w:type="dxa"/>
            <w:vAlign w:val="bottom"/>
          </w:tcPr>
          <w:p>
            <w:pPr>
              <w:spacing w:after="0"/>
              <w:rPr>
                <w:sz w:val="1"/>
                <w:szCs w:val="1"/>
                <w:color w:val="auto"/>
              </w:rPr>
            </w:pPr>
          </w:p>
        </w:tc>
      </w:tr>
      <w:tr>
        <w:trPr>
          <w:trHeight w:val="102"/>
        </w:trPr>
        <w:tc>
          <w:tcPr>
            <w:tcW w:w="8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Proceeds from issuance of other short-term borrowings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5,008</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Repayments of other short-term borrowings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(5,008)</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Proceeds from issuance of long-term debt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14,963</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Repayments of long-term debt and fnance lease obligatons</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(3,448)</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(2,353)</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Debt issuance costs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Dividends paid</w:t>
            </w: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(5,522)</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(5,286)</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Purchases of treasury stock</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(1,333)</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(1,965)</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Proceeds from the exercise of stock optons</w:t>
            </w:r>
          </w:p>
        </w:tc>
        <w:tc>
          <w:tcPr>
            <w:tcW w:w="320" w:type="dxa"/>
            <w:vAlign w:val="bottom"/>
          </w:tcPr>
          <w:p>
            <w:pPr>
              <w:spacing w:after="0"/>
              <w:rPr>
                <w:sz w:val="19"/>
                <w:szCs w:val="19"/>
                <w:color w:val="auto"/>
              </w:rPr>
            </w:pPr>
          </w:p>
        </w:tc>
        <w:tc>
          <w:tcPr>
            <w:tcW w:w="1100" w:type="dxa"/>
            <w:vAlign w:val="bottom"/>
          </w:tcPr>
          <w:p>
            <w:pPr>
              <w:jc w:val="right"/>
              <w:ind w:right="31"/>
              <w:spacing w:after="0" w:line="215" w:lineRule="exact"/>
              <w:rPr>
                <w:sz w:val="20"/>
                <w:szCs w:val="20"/>
                <w:color w:val="auto"/>
              </w:rPr>
            </w:pPr>
            <w:r>
              <w:rPr>
                <w:rFonts w:ascii="Calibri" w:cs="Calibri" w:eastAsia="Calibri" w:hAnsi="Calibri"/>
                <w:sz w:val="18"/>
                <w:szCs w:val="18"/>
                <w:color w:val="auto"/>
              </w:rPr>
              <w:t>137</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Payments of contngent consideraton liabilites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24</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4,722</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(10,112)</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Efect of exchange rate changes on cash and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change in cash and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line="215" w:lineRule="exact"/>
              <w:rPr>
                <w:sz w:val="20"/>
                <w:szCs w:val="20"/>
                <w:color w:val="auto"/>
              </w:rPr>
            </w:pPr>
            <w:r>
              <w:rPr>
                <w:rFonts w:ascii="Calibri" w:cs="Calibri" w:eastAsia="Calibri" w:hAnsi="Calibri"/>
                <w:sz w:val="18"/>
                <w:szCs w:val="18"/>
                <w:color w:val="auto"/>
              </w:rPr>
              <w:t>316</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(442)</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Cash and equivalents,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12,814</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9,201</w:t>
            </w:r>
          </w:p>
        </w:tc>
        <w:tc>
          <w:tcPr>
            <w:tcW w:w="0" w:type="dxa"/>
            <w:vAlign w:val="bottom"/>
          </w:tcPr>
          <w:p>
            <w:pPr>
              <w:spacing w:after="0"/>
              <w:rPr>
                <w:sz w:val="1"/>
                <w:szCs w:val="1"/>
                <w:color w:val="auto"/>
              </w:rPr>
            </w:pPr>
          </w:p>
        </w:tc>
      </w:tr>
      <w:tr>
        <w:trPr>
          <w:trHeight w:val="135"/>
        </w:trPr>
        <w:tc>
          <w:tcPr>
            <w:tcW w:w="84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Cash and equivalents, end of period</w:t>
            </w:r>
          </w:p>
        </w:tc>
        <w:tc>
          <w:tcPr>
            <w:tcW w:w="32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ind w:right="31"/>
              <w:spacing w:after="0" w:line="215" w:lineRule="exact"/>
              <w:rPr>
                <w:sz w:val="20"/>
                <w:szCs w:val="20"/>
                <w:color w:val="auto"/>
              </w:rPr>
            </w:pPr>
            <w:r>
              <w:rPr>
                <w:rFonts w:ascii="Calibri" w:cs="Calibri" w:eastAsia="Calibri" w:hAnsi="Calibri"/>
                <w:sz w:val="18"/>
                <w:szCs w:val="18"/>
                <w:color w:val="auto"/>
              </w:rPr>
              <w:t>13,130</w:t>
            </w:r>
          </w:p>
        </w:tc>
        <w:tc>
          <w:tcPr>
            <w:tcW w:w="56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8,759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condensed consolidated fnancial statements.</w:t>
      </w:r>
    </w:p>
    <w:p>
      <w:pPr>
        <w:sectPr>
          <w:pgSz w:w="11900" w:h="16838" w:orient="portrait"/>
          <w:cols w:equalWidth="0" w:num="1">
            <w:col w:w="11240"/>
          </w:cols>
          <w:pgMar w:left="320" w:top="10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3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 xml:space="preserve">| </w:t>
      </w:r>
      <w:r>
        <w:rPr>
          <w:sz w:val="1"/>
          <w:szCs w:val="1"/>
          <w:color w:val="auto"/>
        </w:rPr>
        <w:drawing>
          <wp:inline distT="0" distB="0" distL="0" distR="0">
            <wp:extent cx="514350"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35"/>
          <w:szCs w:val="35"/>
          <w:b w:val="1"/>
          <w:bCs w:val="1"/>
          <w:i w:val="1"/>
          <w:iCs w:val="1"/>
          <w:color w:val="auto"/>
          <w:vertAlign w:val="superscript"/>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22"/>
          <w:szCs w:val="22"/>
          <w:b w:val="1"/>
          <w:bCs w:val="1"/>
          <w:color w:val="444867"/>
        </w:rPr>
        <w:t>AbbVie Inc. and Subsidiaries</w:t>
      </w:r>
    </w:p>
    <w:p>
      <w:pPr>
        <w:spacing w:after="0" w:line="229" w:lineRule="auto"/>
        <w:rPr>
          <w:sz w:val="20"/>
          <w:szCs w:val="20"/>
          <w:color w:val="auto"/>
        </w:rPr>
      </w:pPr>
      <w:r>
        <w:rPr>
          <w:rFonts w:ascii="Calibri" w:cs="Calibri" w:eastAsia="Calibri" w:hAnsi="Calibri"/>
          <w:sz w:val="22"/>
          <w:szCs w:val="22"/>
          <w:b w:val="1"/>
          <w:bCs w:val="1"/>
          <w:color w:val="444867"/>
        </w:rPr>
        <w:t>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1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Basis of Historical Presentaton</w:t>
      </w:r>
    </w:p>
    <w:p>
      <w:pPr>
        <w:spacing w:after="0" w:line="15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unaudited interim condensed consolidated fnancial statements of AbbVie Inc. (AbbVie or the company) have been prepared pursuant to the rules and regulatons of the U.S. Securites and Exchange Commission. Accordingly, certain informaton and footnote disclosures normally included in annual fnancial statements prepared in accordance with generally accepted accountng principles in the United States (U.S. GAAP) have been omited. These unaudited interim condensed consolidated fnancial statements should be read in conjuncton with the company’s audited consolidated fnancial statements and notes included in the company’s Annual Report on Form 10-K for the year ended December 31, 2023.</w:t>
      </w:r>
    </w:p>
    <w:p>
      <w:pPr>
        <w:spacing w:after="0" w:line="153"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It is management’s opinion that these fnancial statements include all normal and recurring adjustments necessary for a fair presentaton of the company’s fnancial positon and operatng results. Net revenues and net earnings for any interim period are not necessarily indicatve of future or annual results. Certain other reclassifcatons were made to conform the prior period interim condensed consolidated fnancial statements to the current period presentaton.</w:t>
      </w:r>
    </w:p>
    <w:p>
      <w:pPr>
        <w:spacing w:after="0" w:line="124"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On February 12, 2024, AbbVie completed its previously announced acquisiton of ImmunoGen, Inc. (ImmunoGen). Refer to Note 4 and Note 8 for additonal informaton regarding this acquisiton.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Recent Accountng Pronouncements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Recent Accountng Pronouncements Not Yet Adopted</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ASU No. 2023-09</w:t>
      </w:r>
    </w:p>
    <w:p>
      <w:pPr>
        <w:spacing w:after="0" w:line="150" w:lineRule="exact"/>
        <w:rPr>
          <w:sz w:val="20"/>
          <w:szCs w:val="20"/>
          <w:color w:val="auto"/>
        </w:rPr>
      </w:pPr>
    </w:p>
    <w:p>
      <w:pPr>
        <w:ind w:right="220" w:firstLine="405"/>
        <w:spacing w:after="0" w:line="252" w:lineRule="auto"/>
        <w:rPr>
          <w:sz w:val="20"/>
          <w:szCs w:val="20"/>
          <w:color w:val="auto"/>
        </w:rPr>
      </w:pPr>
      <w:r>
        <w:rPr>
          <w:rFonts w:ascii="Calibri" w:cs="Calibri" w:eastAsia="Calibri" w:hAnsi="Calibri"/>
          <w:sz w:val="17"/>
          <w:szCs w:val="17"/>
          <w:color w:val="auto"/>
        </w:rPr>
        <w:t xml:space="preserve">In December 2023, the Financial Accountng Standards Board (FASB) issued Accountng Standards Update (ASU) No. 2023-09, </w:t>
      </w:r>
      <w:r>
        <w:rPr>
          <w:rFonts w:ascii="Calibri" w:cs="Calibri" w:eastAsia="Calibri" w:hAnsi="Calibri"/>
          <w:sz w:val="17"/>
          <w:szCs w:val="17"/>
          <w:i w:val="1"/>
          <w:iCs w:val="1"/>
          <w:color w:val="auto"/>
        </w:rPr>
        <w:t>Income Taxes -</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Improvements to Income Tax Disclosures (Topic 740)</w:t>
      </w:r>
      <w:r>
        <w:rPr>
          <w:rFonts w:ascii="Calibri" w:cs="Calibri" w:eastAsia="Calibri" w:hAnsi="Calibri"/>
          <w:sz w:val="17"/>
          <w:szCs w:val="17"/>
          <w:color w:val="auto"/>
        </w:rPr>
        <w:t>. The standard requires disaggregaton of the efectve rate reconciliaton into standard categories,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enhances disclosure of income taxes paid, and modifes other income tax-related disclosures. The standard will be efectve for AbbVie startng in annual periods in 2025, with early adopton permited. AbbVie is currently assessing the impact of adoptng this guidance on its consolidated fnancial statements.</w:t>
      </w:r>
    </w:p>
    <w:p>
      <w:pPr>
        <w:spacing w:after="0" w:line="123" w:lineRule="exact"/>
        <w:rPr>
          <w:sz w:val="20"/>
          <w:szCs w:val="20"/>
          <w:color w:val="auto"/>
        </w:rPr>
      </w:pPr>
    </w:p>
    <w:p>
      <w:pPr>
        <w:spacing w:after="0"/>
        <w:rPr>
          <w:sz w:val="20"/>
          <w:szCs w:val="20"/>
          <w:color w:val="auto"/>
        </w:rPr>
      </w:pPr>
      <w:r>
        <w:rPr>
          <w:rFonts w:ascii="Calibri" w:cs="Calibri" w:eastAsia="Calibri" w:hAnsi="Calibri"/>
          <w:sz w:val="18"/>
          <w:szCs w:val="18"/>
          <w:color w:val="auto"/>
        </w:rPr>
        <w:t>ASU No. 2023-07</w:t>
      </w:r>
    </w:p>
    <w:p>
      <w:pPr>
        <w:spacing w:after="0" w:line="150" w:lineRule="exact"/>
        <w:rPr>
          <w:sz w:val="20"/>
          <w:szCs w:val="20"/>
          <w:color w:val="auto"/>
        </w:rPr>
      </w:pPr>
    </w:p>
    <w:p>
      <w:pPr>
        <w:ind w:right="40" w:firstLine="405"/>
        <w:spacing w:after="0" w:line="235" w:lineRule="auto"/>
        <w:rPr>
          <w:sz w:val="20"/>
          <w:szCs w:val="20"/>
          <w:color w:val="auto"/>
        </w:rPr>
      </w:pPr>
      <w:r>
        <w:rPr>
          <w:rFonts w:ascii="Calibri" w:cs="Calibri" w:eastAsia="Calibri" w:hAnsi="Calibri"/>
          <w:sz w:val="18"/>
          <w:szCs w:val="18"/>
          <w:color w:val="auto"/>
        </w:rPr>
        <w:t xml:space="preserve">In November 2023, the FASB issued ASU No. 2023-07 </w:t>
      </w:r>
      <w:r>
        <w:rPr>
          <w:rFonts w:ascii="Calibri" w:cs="Calibri" w:eastAsia="Calibri" w:hAnsi="Calibri"/>
          <w:sz w:val="18"/>
          <w:szCs w:val="18"/>
          <w:i w:val="1"/>
          <w:iCs w:val="1"/>
          <w:color w:val="auto"/>
        </w:rPr>
        <w:t>Segment Reportng - Improving Reportable Segment Disclosures (Topic 280)</w:t>
      </w:r>
      <w:r>
        <w:rPr>
          <w:rFonts w:ascii="Calibri" w:cs="Calibri" w:eastAsia="Calibri" w:hAnsi="Calibri"/>
          <w:sz w:val="18"/>
          <w:szCs w:val="18"/>
          <w:color w:val="auto"/>
        </w:rPr>
        <w:t>. The standard requires disclosures to include signifcant segment expenses that are regularly provided to the chief operatng decision maker (CODM), a descripton of other segment items by reportable segment, and any additonal measures of a segment's proft or loss used by the CODM when deciding how to allocate resources. The ASU also requires all annual disclosures currently required by Topic 280 to be included in interim periods. The standard is efectve for AbbVie startng in annual periods in 2024 and interim periods in 2025, with early adopton permited and requires retrospectve applicaton to all prior periods presented in the fnancial statements. AbbVie is currently assessing the impact of adoptng this guidance on its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488950</wp:posOffset>
            </wp:positionV>
            <wp:extent cx="51435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6</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b w:val="1"/>
          <w:bCs w:val="1"/>
          <w:color w:val="444867"/>
        </w:rPr>
        <w:t>Note 2 Supplemental Financial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Interest Expense, Net</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92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rPr>
              <w:t>Three months ended</w:t>
            </w:r>
          </w:p>
        </w:tc>
        <w:tc>
          <w:tcPr>
            <w:tcW w:w="840" w:type="dxa"/>
            <w:vAlign w:val="bottom"/>
          </w:tcPr>
          <w:p>
            <w:pPr>
              <w:spacing w:after="0"/>
              <w:rPr>
                <w:sz w:val="14"/>
                <w:szCs w:val="14"/>
                <w:color w:val="auto"/>
              </w:rPr>
            </w:pPr>
          </w:p>
        </w:tc>
        <w:tc>
          <w:tcPr>
            <w:tcW w:w="1960" w:type="dxa"/>
            <w:vAlign w:val="bottom"/>
          </w:tcPr>
          <w:p>
            <w:pPr>
              <w:jc w:val="center"/>
              <w:ind w:right="788"/>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2"/>
          </w:tcPr>
          <w:p>
            <w:pPr>
              <w:jc w:val="center"/>
              <w:ind w:right="110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1960" w:type="dxa"/>
            <w:vAlign w:val="bottom"/>
          </w:tcPr>
          <w:p>
            <w:pPr>
              <w:jc w:val="center"/>
              <w:ind w:right="768"/>
              <w:spacing w:after="0"/>
              <w:rPr>
                <w:sz w:val="20"/>
                <w:szCs w:val="20"/>
                <w:color w:val="auto"/>
              </w:rPr>
            </w:pPr>
            <w:r>
              <w:rPr>
                <w:rFonts w:ascii="Calibri" w:cs="Calibri" w:eastAsia="Calibri" w:hAnsi="Calibri"/>
                <w:sz w:val="14"/>
                <w:szCs w:val="14"/>
                <w:b w:val="1"/>
                <w:bCs w:val="1"/>
                <w:color w:val="auto"/>
              </w:rPr>
              <w:t>June 30,</w:t>
            </w:r>
          </w:p>
        </w:tc>
        <w:tc>
          <w:tcPr>
            <w:tcW w:w="0" w:type="dxa"/>
            <w:vAlign w:val="bottom"/>
          </w:tcPr>
          <w:p>
            <w:pPr>
              <w:spacing w:after="0"/>
              <w:rPr>
                <w:sz w:val="1"/>
                <w:szCs w:val="1"/>
                <w:color w:val="auto"/>
              </w:rPr>
            </w:pPr>
          </w:p>
        </w:tc>
      </w:tr>
      <w:tr>
        <w:trPr>
          <w:trHeight w:val="33"/>
        </w:trPr>
        <w:tc>
          <w:tcPr>
            <w:tcW w:w="5500" w:type="dxa"/>
            <w:vAlign w:val="bottom"/>
            <w:vMerge w:val="restart"/>
          </w:tcPr>
          <w:p>
            <w:pPr>
              <w:spacing w:after="0"/>
              <w:rPr>
                <w:sz w:val="20"/>
                <w:szCs w:val="20"/>
                <w:color w:val="auto"/>
              </w:rPr>
            </w:pPr>
            <w:r>
              <w:rPr>
                <w:rFonts w:ascii="Calibri" w:cs="Calibri" w:eastAsia="Calibri" w:hAnsi="Calibri"/>
                <w:sz w:val="14"/>
                <w:szCs w:val="14"/>
                <w:b w:val="1"/>
                <w:bCs w:val="1"/>
                <w:color w:val="auto"/>
              </w:rPr>
              <w:t>(in millions)</w:t>
            </w:r>
          </w:p>
        </w:tc>
        <w:tc>
          <w:tcPr>
            <w:tcW w:w="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00" w:type="dxa"/>
            <w:vAlign w:val="bottom"/>
            <w:vMerge w:val="continue"/>
          </w:tcPr>
          <w:p>
            <w:pPr>
              <w:spacing w:after="0"/>
              <w:rPr>
                <w:sz w:val="14"/>
                <w:szCs w:val="14"/>
                <w:color w:val="auto"/>
              </w:rPr>
            </w:pPr>
          </w:p>
        </w:tc>
        <w:tc>
          <w:tcPr>
            <w:tcW w:w="980" w:type="dxa"/>
            <w:vAlign w:val="bottom"/>
          </w:tcPr>
          <w:p>
            <w:pPr>
              <w:jc w:val="right"/>
              <w:ind w:right="88"/>
              <w:spacing w:after="0" w:line="164" w:lineRule="exact"/>
              <w:rPr>
                <w:sz w:val="20"/>
                <w:szCs w:val="20"/>
                <w:color w:val="auto"/>
              </w:rPr>
            </w:pPr>
            <w:r>
              <w:rPr>
                <w:rFonts w:ascii="Calibri" w:cs="Calibri" w:eastAsia="Calibri" w:hAnsi="Calibri"/>
                <w:sz w:val="14"/>
                <w:szCs w:val="14"/>
                <w:b w:val="1"/>
                <w:bCs w:val="1"/>
                <w:color w:val="auto"/>
              </w:rPr>
              <w:t>2024</w:t>
            </w:r>
          </w:p>
        </w:tc>
        <w:tc>
          <w:tcPr>
            <w:tcW w:w="1820" w:type="dxa"/>
            <w:vAlign w:val="bottom"/>
          </w:tcPr>
          <w:p>
            <w:pPr>
              <w:jc w:val="right"/>
              <w:ind w:right="448"/>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1960" w:type="dxa"/>
            <w:vAlign w:val="bottom"/>
          </w:tcPr>
          <w:p>
            <w:pPr>
              <w:jc w:val="right"/>
              <w:ind w:right="448"/>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Interest expense</w:t>
            </w:r>
          </w:p>
        </w:tc>
        <w:tc>
          <w:tcPr>
            <w:tcW w:w="2160" w:type="dxa"/>
            <w:vAlign w:val="bottom"/>
            <w:tcBorders>
              <w:top w:val="single" w:sz="8" w:color="auto"/>
            </w:tcBorders>
            <w:shd w:val="clear" w:color="auto" w:fill="CCEEFF"/>
          </w:tcPr>
          <w:p>
            <w:pPr>
              <w:jc w:val="right"/>
              <w:ind w:right="330"/>
              <w:spacing w:after="0"/>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tcBorders>
            <w:shd w:val="clear" w:color="auto" w:fill="CCEEFF"/>
          </w:tcPr>
          <w:p>
            <w:pPr>
              <w:jc w:val="center"/>
              <w:ind w:left="290"/>
              <w:spacing w:after="0"/>
              <w:rPr>
                <w:sz w:val="20"/>
                <w:szCs w:val="20"/>
                <w:color w:val="auto"/>
              </w:rPr>
            </w:pPr>
            <w:r>
              <w:rPr>
                <w:rFonts w:ascii="Calibri" w:cs="Calibri" w:eastAsia="Calibri" w:hAnsi="Calibri"/>
                <w:sz w:val="18"/>
                <w:szCs w:val="18"/>
                <w:color w:val="auto"/>
                <w:w w:val="94"/>
              </w:rPr>
              <w:t>726</w:t>
            </w:r>
          </w:p>
        </w:tc>
        <w:tc>
          <w:tcPr>
            <w:tcW w:w="620" w:type="dxa"/>
            <w:vAlign w:val="bottom"/>
            <w:tcBorders>
              <w:top w:val="single" w:sz="8" w:color="auto"/>
            </w:tcBorders>
            <w:shd w:val="clear" w:color="auto" w:fill="CCEEFF"/>
          </w:tcPr>
          <w:p>
            <w:pPr>
              <w:jc w:val="right"/>
              <w:ind w:right="370"/>
              <w:spacing w:after="0"/>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Calibri" w:cs="Calibri" w:eastAsia="Calibri" w:hAnsi="Calibri"/>
                <w:sz w:val="18"/>
                <w:szCs w:val="18"/>
                <w:color w:val="auto"/>
              </w:rPr>
              <w:t>552</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1,386</w:t>
            </w:r>
          </w:p>
        </w:tc>
        <w:tc>
          <w:tcPr>
            <w:tcW w:w="24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1,105</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2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250"/>
              <w:spacing w:after="0" w:line="215" w:lineRule="exact"/>
              <w:rPr>
                <w:sz w:val="20"/>
                <w:szCs w:val="20"/>
                <w:color w:val="auto"/>
              </w:rPr>
            </w:pPr>
            <w:r>
              <w:rPr>
                <w:rFonts w:ascii="Calibri" w:cs="Calibri" w:eastAsia="Calibri" w:hAnsi="Calibri"/>
                <w:sz w:val="18"/>
                <w:szCs w:val="18"/>
                <w:color w:val="auto"/>
                <w:w w:val="99"/>
              </w:rPr>
              <w:t>(220)</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80"/>
              <w:spacing w:after="0" w:line="215" w:lineRule="exact"/>
              <w:rPr>
                <w:sz w:val="20"/>
                <w:szCs w:val="20"/>
                <w:color w:val="auto"/>
              </w:rPr>
            </w:pPr>
            <w:r>
              <w:rPr>
                <w:rFonts w:ascii="Calibri" w:cs="Calibri" w:eastAsia="Calibri" w:hAnsi="Calibri"/>
                <w:sz w:val="18"/>
                <w:szCs w:val="18"/>
                <w:color w:val="auto"/>
              </w:rPr>
              <w:t>(98)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(427)</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216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center"/>
              <w:ind w:left="290"/>
              <w:spacing w:after="0" w:line="215" w:lineRule="exact"/>
              <w:rPr>
                <w:sz w:val="20"/>
                <w:szCs w:val="20"/>
                <w:color w:val="auto"/>
              </w:rPr>
            </w:pPr>
            <w:r>
              <w:rPr>
                <w:rFonts w:ascii="Calibri" w:cs="Calibri" w:eastAsia="Calibri" w:hAnsi="Calibri"/>
                <w:sz w:val="18"/>
                <w:szCs w:val="18"/>
                <w:color w:val="auto"/>
                <w:w w:val="94"/>
              </w:rPr>
              <w:t>506</w:t>
            </w:r>
          </w:p>
        </w:tc>
        <w:tc>
          <w:tcPr>
            <w:tcW w:w="620" w:type="dxa"/>
            <w:vAlign w:val="bottom"/>
            <w:tcBorders>
              <w:bottom w:val="single" w:sz="8" w:color="auto"/>
            </w:tcBorders>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ind w:left="460"/>
              <w:spacing w:after="0" w:line="215" w:lineRule="exact"/>
              <w:rPr>
                <w:sz w:val="20"/>
                <w:szCs w:val="20"/>
                <w:color w:val="auto"/>
              </w:rPr>
            </w:pPr>
            <w:r>
              <w:rPr>
                <w:rFonts w:ascii="Calibri" w:cs="Calibri" w:eastAsia="Calibri" w:hAnsi="Calibri"/>
                <w:sz w:val="18"/>
                <w:szCs w:val="18"/>
                <w:color w:val="auto"/>
              </w:rPr>
              <w:t>454</w:t>
            </w:r>
          </w:p>
        </w:tc>
        <w:tc>
          <w:tcPr>
            <w:tcW w:w="34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959</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908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880" w:type="dxa"/>
            <w:vAlign w:val="bottom"/>
          </w:tcPr>
          <w:p>
            <w:pPr>
              <w:spacing w:after="0"/>
              <w:rPr>
                <w:sz w:val="20"/>
                <w:szCs w:val="20"/>
                <w:color w:val="auto"/>
              </w:rPr>
            </w:pPr>
            <w:r>
              <w:rPr>
                <w:rFonts w:ascii="Calibri" w:cs="Calibri" w:eastAsia="Calibri" w:hAnsi="Calibri"/>
                <w:sz w:val="18"/>
                <w:szCs w:val="18"/>
                <w:b w:val="1"/>
                <w:bCs w:val="1"/>
                <w:color w:val="444867"/>
              </w:rPr>
              <w:t>Inventories</w:t>
            </w:r>
          </w:p>
        </w:tc>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55"/>
              <w:spacing w:after="0"/>
              <w:rPr>
                <w:sz w:val="20"/>
                <w:szCs w:val="20"/>
                <w:color w:val="auto"/>
              </w:rPr>
            </w:pPr>
            <w:r>
              <w:rPr>
                <w:rFonts w:ascii="Calibri" w:cs="Calibri" w:eastAsia="Calibri" w:hAnsi="Calibri"/>
                <w:sz w:val="14"/>
                <w:szCs w:val="14"/>
                <w:b w:val="1"/>
                <w:bCs w:val="1"/>
                <w:color w:val="auto"/>
              </w:rPr>
              <w:t>June 30,</w:t>
            </w:r>
          </w:p>
        </w:tc>
        <w:tc>
          <w:tcPr>
            <w:tcW w:w="24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388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55"/>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46"/>
        </w:trPr>
        <w:tc>
          <w:tcPr>
            <w:tcW w:w="38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Finished goods</w:t>
            </w:r>
          </w:p>
        </w:tc>
        <w:tc>
          <w:tcPr>
            <w:tcW w:w="2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1,189</w:t>
            </w:r>
          </w:p>
        </w:tc>
        <w:tc>
          <w:tcPr>
            <w:tcW w:w="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1,356</w:t>
            </w:r>
          </w:p>
        </w:tc>
        <w:tc>
          <w:tcPr>
            <w:tcW w:w="0" w:type="dxa"/>
            <w:vAlign w:val="bottom"/>
          </w:tcPr>
          <w:p>
            <w:pPr>
              <w:spacing w:after="0"/>
              <w:rPr>
                <w:sz w:val="1"/>
                <w:szCs w:val="1"/>
                <w:color w:val="auto"/>
              </w:rPr>
            </w:pPr>
          </w:p>
        </w:tc>
      </w:tr>
      <w:tr>
        <w:trPr>
          <w:trHeight w:val="222"/>
        </w:trPr>
        <w:tc>
          <w:tcPr>
            <w:tcW w:w="3880" w:type="dxa"/>
            <w:vAlign w:val="bottom"/>
          </w:tcPr>
          <w:p>
            <w:pPr>
              <w:ind w:left="20"/>
              <w:spacing w:after="0" w:line="215" w:lineRule="exact"/>
              <w:rPr>
                <w:sz w:val="20"/>
                <w:szCs w:val="20"/>
                <w:color w:val="auto"/>
              </w:rPr>
            </w:pPr>
            <w:r>
              <w:rPr>
                <w:rFonts w:ascii="Calibri" w:cs="Calibri" w:eastAsia="Calibri" w:hAnsi="Calibri"/>
                <w:sz w:val="18"/>
                <w:szCs w:val="18"/>
                <w:color w:val="auto"/>
              </w:rPr>
              <w:t>Work-in-process</w:t>
            </w:r>
          </w:p>
        </w:tc>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1,930</w:t>
            </w:r>
          </w:p>
        </w:tc>
        <w:tc>
          <w:tcPr>
            <w:tcW w:w="24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1,643</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Raw materials</w:t>
            </w:r>
          </w:p>
        </w:tc>
        <w:tc>
          <w:tcPr>
            <w:tcW w:w="2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Calibri" w:cs="Calibri" w:eastAsia="Calibri" w:hAnsi="Calibri"/>
                <w:sz w:val="18"/>
                <w:szCs w:val="18"/>
                <w:color w:val="auto"/>
              </w:rPr>
              <w:t>1,099</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1,100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Inventories</w:t>
            </w:r>
          </w:p>
        </w:tc>
        <w:tc>
          <w:tcPr>
            <w:tcW w:w="2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4,218</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4,099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3880" w:type="dxa"/>
            <w:vAlign w:val="bottom"/>
          </w:tcPr>
          <w:p>
            <w:pPr>
              <w:spacing w:after="0"/>
              <w:rPr>
                <w:sz w:val="20"/>
                <w:szCs w:val="20"/>
                <w:color w:val="auto"/>
              </w:rPr>
            </w:pPr>
            <w:r>
              <w:rPr>
                <w:rFonts w:ascii="Calibri" w:cs="Calibri" w:eastAsia="Calibri" w:hAnsi="Calibri"/>
                <w:sz w:val="18"/>
                <w:szCs w:val="18"/>
                <w:b w:val="1"/>
                <w:bCs w:val="1"/>
                <w:color w:val="444867"/>
              </w:rPr>
              <w:t>Property and Equipment, Net</w:t>
            </w:r>
          </w:p>
        </w:tc>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55"/>
              <w:spacing w:after="0"/>
              <w:rPr>
                <w:sz w:val="20"/>
                <w:szCs w:val="20"/>
                <w:color w:val="auto"/>
              </w:rPr>
            </w:pPr>
            <w:r>
              <w:rPr>
                <w:rFonts w:ascii="Calibri" w:cs="Calibri" w:eastAsia="Calibri" w:hAnsi="Calibri"/>
                <w:sz w:val="14"/>
                <w:szCs w:val="14"/>
                <w:b w:val="1"/>
                <w:bCs w:val="1"/>
                <w:color w:val="auto"/>
              </w:rPr>
              <w:t>June 30,</w:t>
            </w:r>
          </w:p>
        </w:tc>
        <w:tc>
          <w:tcPr>
            <w:tcW w:w="240" w:type="dxa"/>
            <w:vAlign w:val="bottom"/>
          </w:tcPr>
          <w:p>
            <w:pPr>
              <w:spacing w:after="0"/>
              <w:rPr>
                <w:sz w:val="16"/>
                <w:szCs w:val="16"/>
                <w:color w:val="auto"/>
              </w:rPr>
            </w:pPr>
          </w:p>
        </w:tc>
        <w:tc>
          <w:tcPr>
            <w:tcW w:w="1180" w:type="dxa"/>
            <w:vAlign w:val="bottom"/>
          </w:tcPr>
          <w:p>
            <w:pPr>
              <w:jc w:val="center"/>
              <w:ind w:right="135"/>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388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55"/>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Property and equipment, gross</w:t>
            </w:r>
          </w:p>
        </w:tc>
        <w:tc>
          <w:tcPr>
            <w:tcW w:w="2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11,903</w:t>
            </w:r>
          </w:p>
        </w:tc>
        <w:tc>
          <w:tcPr>
            <w:tcW w:w="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11,635</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Accumulated depreciaton</w:t>
            </w:r>
          </w:p>
        </w:tc>
        <w:tc>
          <w:tcPr>
            <w:tcW w:w="2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(6,880)</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(6,646)</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Property and equipment, net</w:t>
            </w:r>
          </w:p>
        </w:tc>
        <w:tc>
          <w:tcPr>
            <w:tcW w:w="2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5,023</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4,989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Depreciaton expense was $184 million for the three months and $367 million for the six months ended June 30, 2024 and $190 million for the three months and $369 million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7</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b w:val="1"/>
          <w:bCs w:val="1"/>
          <w:color w:val="444867"/>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AbbVie grants certain restricted stock units (RSUs) that are considered to be partcipatng securites. Due to the presence of partcipatng securites, AbbVie calculates earnings per share (EPS) using the more dilutve of the treasury stock or the two-class method. For all periods presented, the two-class method was more dilutve.</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impact of the two-class method: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460"/>
              <w:spacing w:after="0"/>
              <w:rPr>
                <w:sz w:val="20"/>
                <w:szCs w:val="20"/>
                <w:color w:val="auto"/>
              </w:rPr>
            </w:pPr>
            <w:r>
              <w:rPr>
                <w:rFonts w:ascii="Calibri" w:cs="Calibri" w:eastAsia="Calibri" w:hAnsi="Calibri"/>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ind w:right="90"/>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except per share data)</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2024</w:t>
            </w:r>
          </w:p>
        </w:tc>
        <w:tc>
          <w:tcPr>
            <w:tcW w:w="440" w:type="dxa"/>
            <w:vAlign w:val="bottom"/>
          </w:tcPr>
          <w:p>
            <w:pPr>
              <w:spacing w:after="0"/>
              <w:rPr>
                <w:sz w:val="14"/>
                <w:szCs w:val="14"/>
                <w:color w:val="auto"/>
              </w:rPr>
            </w:pPr>
          </w:p>
        </w:tc>
        <w:tc>
          <w:tcPr>
            <w:tcW w:w="98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4"/>
              <w:spacing w:after="0" w:line="164"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4"/>
                <w:szCs w:val="14"/>
                <w:color w:val="auto"/>
              </w:rPr>
            </w:pPr>
          </w:p>
        </w:tc>
        <w:tc>
          <w:tcPr>
            <w:tcW w:w="840" w:type="dxa"/>
            <w:vAlign w:val="bottom"/>
          </w:tcPr>
          <w:p>
            <w:pPr>
              <w:jc w:val="right"/>
              <w:ind w:right="431"/>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Basic EPS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earnings atributable to AbbVie Inc.</w:t>
            </w: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4"/>
              <w:spacing w:after="0"/>
              <w:rPr>
                <w:sz w:val="20"/>
                <w:szCs w:val="20"/>
                <w:color w:val="auto"/>
              </w:rPr>
            </w:pPr>
            <w:r>
              <w:rPr>
                <w:rFonts w:ascii="Calibri" w:cs="Calibri" w:eastAsia="Calibri" w:hAnsi="Calibri"/>
                <w:sz w:val="18"/>
                <w:szCs w:val="18"/>
                <w:color w:val="auto"/>
              </w:rPr>
              <w:t>1,370</w:t>
            </w:r>
          </w:p>
        </w:tc>
        <w:tc>
          <w:tcPr>
            <w:tcW w:w="44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2,024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14"/>
              <w:spacing w:after="0"/>
              <w:rPr>
                <w:sz w:val="20"/>
                <w:szCs w:val="20"/>
                <w:color w:val="auto"/>
              </w:rPr>
            </w:pPr>
            <w:r>
              <w:rPr>
                <w:rFonts w:ascii="Calibri" w:cs="Calibri" w:eastAsia="Calibri" w:hAnsi="Calibri"/>
                <w:sz w:val="18"/>
                <w:szCs w:val="18"/>
                <w:color w:val="auto"/>
              </w:rPr>
              <w:t>2,739</w:t>
            </w:r>
          </w:p>
        </w:tc>
        <w:tc>
          <w:tcPr>
            <w:tcW w:w="58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2,263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Earnings allocated to partcipatng securites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10</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20</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Earnings available to common shareholders</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1,360</w:t>
            </w:r>
          </w:p>
        </w:tc>
        <w:tc>
          <w:tcPr>
            <w:tcW w:w="44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2,013</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2,719</w:t>
            </w:r>
          </w:p>
        </w:tc>
        <w:tc>
          <w:tcPr>
            <w:tcW w:w="580" w:type="dxa"/>
            <w:vAlign w:val="bottom"/>
            <w:tcBorders>
              <w:bottom w:val="single" w:sz="8" w:color="auto"/>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2,241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tcBorders>
              <w:bottom w:val="single" w:sz="8" w:color="auto"/>
            </w:tcBorders>
          </w:tcPr>
          <w:p>
            <w:pPr>
              <w:ind w:left="20"/>
              <w:spacing w:after="0" w:line="203" w:lineRule="exact"/>
              <w:rPr>
                <w:sz w:val="20"/>
                <w:szCs w:val="20"/>
                <w:color w:val="auto"/>
              </w:rPr>
            </w:pPr>
            <w:r>
              <w:rPr>
                <w:rFonts w:ascii="Calibri" w:cs="Calibri" w:eastAsia="Calibri" w:hAnsi="Calibri"/>
                <w:sz w:val="18"/>
                <w:szCs w:val="18"/>
                <w:color w:val="auto"/>
              </w:rPr>
              <w:t>Weighted-average basic shares outstanding</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3" w:lineRule="exact"/>
              <w:rPr>
                <w:sz w:val="20"/>
                <w:szCs w:val="20"/>
                <w:color w:val="auto"/>
              </w:rPr>
            </w:pPr>
            <w:r>
              <w:rPr>
                <w:rFonts w:ascii="Calibri" w:cs="Calibri" w:eastAsia="Calibri" w:hAnsi="Calibri"/>
                <w:sz w:val="18"/>
                <w:szCs w:val="18"/>
                <w:color w:val="auto"/>
              </w:rPr>
              <w:t>1,768</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1,767</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3" w:lineRule="exact"/>
              <w:rPr>
                <w:sz w:val="20"/>
                <w:szCs w:val="20"/>
                <w:color w:val="auto"/>
              </w:rPr>
            </w:pPr>
            <w:r>
              <w:rPr>
                <w:rFonts w:ascii="Calibri" w:cs="Calibri" w:eastAsia="Calibri" w:hAnsi="Calibri"/>
                <w:sz w:val="18"/>
                <w:szCs w:val="18"/>
                <w:color w:val="auto"/>
              </w:rPr>
              <w:t>1,769</w:t>
            </w: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8"/>
                <w:szCs w:val="18"/>
                <w:color w:val="auto"/>
              </w:rPr>
              <w:t>1,768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 atributable to AbbVie Inc.</w:t>
            </w: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0.77</w:t>
            </w:r>
          </w:p>
        </w:tc>
        <w:tc>
          <w:tcPr>
            <w:tcW w:w="44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1.54</w:t>
            </w:r>
          </w:p>
        </w:tc>
        <w:tc>
          <w:tcPr>
            <w:tcW w:w="580" w:type="dxa"/>
            <w:vAlign w:val="bottom"/>
            <w:tcBorders>
              <w:bottom w:val="single" w:sz="8" w:color="auto"/>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Diluted EPS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Net earnings atributable to AbbVie Inc.</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ind w:right="14"/>
              <w:spacing w:after="0" w:line="215" w:lineRule="exact"/>
              <w:rPr>
                <w:sz w:val="20"/>
                <w:szCs w:val="20"/>
                <w:color w:val="auto"/>
              </w:rPr>
            </w:pPr>
            <w:r>
              <w:rPr>
                <w:rFonts w:ascii="Calibri" w:cs="Calibri" w:eastAsia="Calibri" w:hAnsi="Calibri"/>
                <w:sz w:val="18"/>
                <w:szCs w:val="18"/>
                <w:color w:val="auto"/>
              </w:rPr>
              <w:t>1,370</w:t>
            </w:r>
          </w:p>
        </w:tc>
        <w:tc>
          <w:tcPr>
            <w:tcW w:w="4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ind w:right="14"/>
              <w:spacing w:after="0" w:line="215" w:lineRule="exact"/>
              <w:rPr>
                <w:sz w:val="20"/>
                <w:szCs w:val="20"/>
                <w:color w:val="auto"/>
              </w:rPr>
            </w:pPr>
            <w:r>
              <w:rPr>
                <w:rFonts w:ascii="Calibri" w:cs="Calibri" w:eastAsia="Calibri" w:hAnsi="Calibri"/>
                <w:sz w:val="18"/>
                <w:szCs w:val="18"/>
                <w:color w:val="auto"/>
              </w:rPr>
              <w:t>2,739</w:t>
            </w:r>
          </w:p>
        </w:tc>
        <w:tc>
          <w:tcPr>
            <w:tcW w:w="5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2,263</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Earnings allocated to partcipatng securites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Calibri" w:cs="Calibri" w:eastAsia="Calibri" w:hAnsi="Calibri"/>
                <w:sz w:val="18"/>
                <w:szCs w:val="18"/>
                <w:color w:val="auto"/>
              </w:rPr>
              <w:t>10</w:t>
            </w: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Calibri" w:cs="Calibri" w:eastAsia="Calibri" w:hAnsi="Calibri"/>
                <w:sz w:val="18"/>
                <w:szCs w:val="18"/>
                <w:color w:val="auto"/>
              </w:rPr>
              <w:t>20</w:t>
            </w: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Earnings available to common shareholders</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1,360</w:t>
            </w:r>
          </w:p>
        </w:tc>
        <w:tc>
          <w:tcPr>
            <w:tcW w:w="44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2,013</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2,719</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2,241</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Weighted-average shares of common stock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1,768</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1,769</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Efect of dilutve securites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3</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3</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1,771</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1,771</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line="215" w:lineRule="exact"/>
              <w:rPr>
                <w:sz w:val="20"/>
                <w:szCs w:val="20"/>
                <w:color w:val="auto"/>
              </w:rPr>
            </w:pPr>
            <w:r>
              <w:rPr>
                <w:rFonts w:ascii="Calibri" w:cs="Calibri" w:eastAsia="Calibri" w:hAnsi="Calibri"/>
                <w:sz w:val="18"/>
                <w:szCs w:val="18"/>
                <w:color w:val="auto"/>
              </w:rPr>
              <w:t>1,772</w:t>
            </w: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1,773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Diluted earnings per share atributable to AbbVie Inc.</w:t>
            </w: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0.77</w:t>
            </w:r>
          </w:p>
        </w:tc>
        <w:tc>
          <w:tcPr>
            <w:tcW w:w="44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14"/>
              <w:spacing w:after="0" w:line="215" w:lineRule="exact"/>
              <w:rPr>
                <w:sz w:val="20"/>
                <w:szCs w:val="20"/>
                <w:color w:val="auto"/>
              </w:rPr>
            </w:pPr>
            <w:r>
              <w:rPr>
                <w:rFonts w:ascii="Calibri" w:cs="Calibri" w:eastAsia="Calibri" w:hAnsi="Calibri"/>
                <w:sz w:val="18"/>
                <w:szCs w:val="18"/>
                <w:color w:val="auto"/>
              </w:rPr>
              <w:t>1.53</w:t>
            </w:r>
          </w:p>
        </w:tc>
        <w:tc>
          <w:tcPr>
            <w:tcW w:w="5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color w:val="auto"/>
        </w:rPr>
        <w:t>Certain shares issuable under stock-based compensaton plans were excluded from the computaton of EPS because the efect would have been antdilutve.</w:t>
      </w:r>
    </w:p>
    <w:p>
      <w:pPr>
        <w:spacing w:after="0" w:line="235" w:lineRule="auto"/>
        <w:rPr>
          <w:sz w:val="20"/>
          <w:szCs w:val="20"/>
          <w:color w:val="auto"/>
        </w:rPr>
      </w:pPr>
      <w:r>
        <w:rPr>
          <w:rFonts w:ascii="Calibri" w:cs="Calibri" w:eastAsia="Calibri" w:hAnsi="Calibri"/>
          <w:sz w:val="18"/>
          <w:szCs w:val="18"/>
          <w:color w:val="auto"/>
        </w:rPr>
        <w:t>The number of common shares excluded was insignifcant for all periods presented.</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4 Licensing, Acquisitons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Acquisiton of Cerevel Therapeutcs Holdings, Inc.</w:t>
      </w:r>
    </w:p>
    <w:p>
      <w:pPr>
        <w:spacing w:after="0" w:line="136" w:lineRule="exact"/>
        <w:rPr>
          <w:sz w:val="20"/>
          <w:szCs w:val="20"/>
          <w:color w:val="auto"/>
        </w:rPr>
      </w:pPr>
    </w:p>
    <w:p>
      <w:pPr>
        <w:jc w:val="both"/>
        <w:ind w:right="400"/>
        <w:spacing w:after="0" w:line="235" w:lineRule="auto"/>
        <w:rPr>
          <w:sz w:val="20"/>
          <w:szCs w:val="20"/>
          <w:color w:val="auto"/>
        </w:rPr>
      </w:pPr>
      <w:r>
        <w:rPr>
          <w:rFonts w:ascii="Calibri" w:cs="Calibri" w:eastAsia="Calibri" w:hAnsi="Calibri"/>
          <w:sz w:val="18"/>
          <w:szCs w:val="18"/>
          <w:color w:val="auto"/>
        </w:rPr>
        <w:t>Subsequent to June 30, 2024, on August 1, 2024, AbbVie completed its previously announced acquisiton of Cerevel Therapeutcs Holdings, Inc. (Cerevel Therapeutcs). Under the terms of the agreement, AbbVie acquired all outstanding shares of Cerevel Therapeutcs for $45.00 per share in cash for a total value of approximately $8.7 billion.</w:t>
      </w:r>
    </w:p>
    <w:p>
      <w:pPr>
        <w:spacing w:after="0" w:line="151"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Cerevel Therapeutcs is a clinical-stage biotechnology company focused on the discovery and development of diferentated therapies for neuroscience diseases. Cerevel Therapeutcs neuroscience pipeline includes multple clinical-stage and preclinical candidates with the potental to treat several diseases including schizophrenia, Parkinson's disease and mood disorders.</w:t>
      </w:r>
    </w:p>
    <w:p>
      <w:pPr>
        <w:spacing w:after="0" w:line="15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Due to the proximity of the closing date of the acquisiton to the date of fling this Quarterly Report on Form 10-Q, the inital accountng for the acquisiton is not complete. Signifcant, relevant informaton needed to complete the inital accountng, including the identfcaton and measurement of the fair value of assets acquired and liabilites assumed, is pending. As a result, it is not practcable to disclose the preliminary allocaton of the purchase price to assets acquired and liabilites assumed or provide other related disclosures. The accountng impact of this acquisiton and the operatng results of Cerevel Therapeutcs will be included in the consolidated fnancial statements beginning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642620</wp:posOffset>
            </wp:positionV>
            <wp:extent cx="51435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8</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444867"/>
        </w:rPr>
        <w:t>Acquisiton of ImmunoGen, Inc.</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February 12, 2024, AbbVie completed its previously announced acquisiton of ImmunoGen. ImmunoGen is a commercial-stage biotechnology company focused on the discovery, development and commercializaton of antbody-drug conjugates (ADC) for cancer patents. ImmunoGen's oncology portolio includes its fagship cancer therapy Elahere, a frst-in-class ADC approved for platnum-resistant ovarian cancer, and a pipeline of promising next-generaton ADC's targetng hematologic malignancies and solid tumors. The combinaton accelerates AbbVie’s entry into the solid tumor space and strengthens its oncology pipeline. Under the terms of the agreement, AbbVie acquired all outstanding shares of ImmunoGen for $31.26 per share in cash. The total fair value of the consideraton transferred to owners of ImmunoGen common stock was $9.8 billion ($9.2 billion, net of cash acquired).</w:t>
      </w:r>
    </w:p>
    <w:p>
      <w:pPr>
        <w:spacing w:after="0" w:line="140" w:lineRule="exact"/>
        <w:rPr>
          <w:sz w:val="20"/>
          <w:szCs w:val="20"/>
          <w:color w:val="auto"/>
        </w:rPr>
      </w:pPr>
    </w:p>
    <w:p>
      <w:pPr>
        <w:ind w:right="160"/>
        <w:spacing w:after="0" w:line="228" w:lineRule="auto"/>
        <w:rPr>
          <w:sz w:val="20"/>
          <w:szCs w:val="20"/>
          <w:color w:val="auto"/>
        </w:rPr>
      </w:pPr>
      <w:r>
        <w:rPr>
          <w:rFonts w:ascii="Calibri" w:cs="Calibri" w:eastAsia="Calibri" w:hAnsi="Calibri"/>
          <w:sz w:val="18"/>
          <w:szCs w:val="18"/>
          <w:color w:val="auto"/>
        </w:rPr>
        <w:t>The acquisiton of ImmunoGen has been accounted for as a business combinaton using the acquisiton method of accountng. The acquisiton method requires, among other things, that assets acquired and liabilites assumed in a business combinaton be recognized at their fair values as of the acquisiton date. The valuaton of assets acquired and liabilites assumed has not yet been fnalized as of June 30, 2024. As a result, AbbVie recorded preliminary estmates for the fair value of assets acquired and liabilites assumed as of the acquisiton date. Finalizaton of the valuaton during the measurement period could result in a change in the amounts recorded for the acquisiton date fair value of intangible assets, goodwill and income taxes among other items. The completon of the valuaton will occur no later than one year from the acquisiton date.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preliminary fair value of assets acquired and liabilites assumed as of the acquisiton date:</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20" w:type="dxa"/>
            <w:vAlign w:val="bottom"/>
          </w:tcPr>
          <w:p>
            <w:pPr>
              <w:ind w:left="20"/>
              <w:spacing w:after="0"/>
              <w:rPr>
                <w:sz w:val="20"/>
                <w:szCs w:val="20"/>
                <w:color w:val="auto"/>
              </w:rPr>
            </w:pPr>
            <w:r>
              <w:rPr>
                <w:rFonts w:ascii="Calibri" w:cs="Calibri" w:eastAsia="Calibri" w:hAnsi="Calibri"/>
                <w:sz w:val="18"/>
                <w:szCs w:val="18"/>
                <w:b w:val="1"/>
                <w:bCs w:val="1"/>
                <w:color w:val="auto"/>
              </w:rPr>
              <w:t>Assets acquired and liabilites assumed</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
        </w:trPr>
        <w:tc>
          <w:tcPr>
            <w:tcW w:w="6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4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Cash and equivalents</w:t>
            </w:r>
          </w:p>
        </w:tc>
        <w:tc>
          <w:tcPr>
            <w:tcW w:w="3700" w:type="dxa"/>
            <w:vAlign w:val="bottom"/>
            <w:shd w:val="clear" w:color="auto" w:fill="CCEEFF"/>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591</w:t>
            </w:r>
          </w:p>
        </w:tc>
      </w:tr>
      <w:tr>
        <w:trPr>
          <w:trHeight w:val="222"/>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receivable</w:t>
            </w:r>
          </w:p>
        </w:tc>
        <w:tc>
          <w:tcPr>
            <w:tcW w:w="37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171</w:t>
            </w:r>
          </w:p>
        </w:tc>
      </w:tr>
      <w:tr>
        <w:trPr>
          <w:trHeight w:val="237"/>
        </w:trPr>
        <w:tc>
          <w:tcPr>
            <w:tcW w:w="6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Inventories</w:t>
            </w:r>
          </w:p>
        </w:tc>
        <w:tc>
          <w:tcPr>
            <w:tcW w:w="37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211</w:t>
            </w:r>
          </w:p>
        </w:tc>
      </w:tr>
      <w:tr>
        <w:trPr>
          <w:trHeight w:val="222"/>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37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40</w:t>
            </w:r>
          </w:p>
        </w:tc>
      </w:tr>
      <w:tr>
        <w:trPr>
          <w:trHeight w:val="237"/>
        </w:trPr>
        <w:tc>
          <w:tcPr>
            <w:tcW w:w="6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Property and equipment, net</w:t>
            </w:r>
          </w:p>
        </w:tc>
        <w:tc>
          <w:tcPr>
            <w:tcW w:w="37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w:t>
            </w:r>
          </w:p>
        </w:tc>
      </w:tr>
      <w:tr>
        <w:trPr>
          <w:trHeight w:val="222"/>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3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64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Developed product rights</w:t>
            </w:r>
          </w:p>
        </w:tc>
        <w:tc>
          <w:tcPr>
            <w:tcW w:w="37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7,200</w:t>
            </w:r>
          </w:p>
        </w:tc>
      </w:tr>
      <w:tr>
        <w:trPr>
          <w:trHeight w:val="222"/>
        </w:trPr>
        <w:tc>
          <w:tcPr>
            <w:tcW w:w="6420" w:type="dxa"/>
            <w:vAlign w:val="bottom"/>
          </w:tcPr>
          <w:p>
            <w:pPr>
              <w:ind w:left="140"/>
              <w:spacing w:after="0" w:line="215" w:lineRule="exact"/>
              <w:rPr>
                <w:sz w:val="20"/>
                <w:szCs w:val="20"/>
                <w:color w:val="auto"/>
              </w:rPr>
            </w:pPr>
            <w:r>
              <w:rPr>
                <w:rFonts w:ascii="Calibri" w:cs="Calibri" w:eastAsia="Calibri" w:hAnsi="Calibri"/>
                <w:sz w:val="18"/>
                <w:szCs w:val="18"/>
                <w:color w:val="auto"/>
              </w:rPr>
              <w:t>License agreements</w:t>
            </w:r>
          </w:p>
        </w:tc>
        <w:tc>
          <w:tcPr>
            <w:tcW w:w="37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125</w:t>
            </w:r>
          </w:p>
        </w:tc>
      </w:tr>
      <w:tr>
        <w:trPr>
          <w:trHeight w:val="237"/>
        </w:trPr>
        <w:tc>
          <w:tcPr>
            <w:tcW w:w="64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Acquired in-process research and development</w:t>
            </w:r>
          </w:p>
        </w:tc>
        <w:tc>
          <w:tcPr>
            <w:tcW w:w="37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1,280</w:t>
            </w:r>
          </w:p>
        </w:tc>
      </w:tr>
      <w:tr>
        <w:trPr>
          <w:trHeight w:val="222"/>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Other noncurrent assets</w:t>
            </w:r>
          </w:p>
        </w:tc>
        <w:tc>
          <w:tcPr>
            <w:tcW w:w="37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273</w:t>
            </w:r>
          </w:p>
        </w:tc>
      </w:tr>
      <w:tr>
        <w:trPr>
          <w:trHeight w:val="237"/>
        </w:trPr>
        <w:tc>
          <w:tcPr>
            <w:tcW w:w="6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Current porton of long-term debt</w:t>
            </w:r>
          </w:p>
        </w:tc>
        <w:tc>
          <w:tcPr>
            <w:tcW w:w="37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(99)</w:t>
            </w:r>
          </w:p>
        </w:tc>
      </w:tr>
      <w:tr>
        <w:trPr>
          <w:trHeight w:val="222"/>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 and accrued liabilites</w:t>
            </w:r>
          </w:p>
        </w:tc>
        <w:tc>
          <w:tcPr>
            <w:tcW w:w="37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(312)</w:t>
            </w:r>
          </w:p>
        </w:tc>
      </w:tr>
      <w:tr>
        <w:trPr>
          <w:trHeight w:val="237"/>
        </w:trPr>
        <w:tc>
          <w:tcPr>
            <w:tcW w:w="64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Deferred income taxes</w:t>
            </w:r>
          </w:p>
        </w:tc>
        <w:tc>
          <w:tcPr>
            <w:tcW w:w="37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(899)</w:t>
            </w:r>
          </w:p>
        </w:tc>
      </w:tr>
      <w:tr>
        <w:trPr>
          <w:trHeight w:val="223"/>
        </w:trPr>
        <w:tc>
          <w:tcPr>
            <w:tcW w:w="64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Other long-term liabilites</w:t>
            </w:r>
          </w:p>
        </w:tc>
        <w:tc>
          <w:tcPr>
            <w:tcW w:w="3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w:t>
            </w:r>
          </w:p>
        </w:tc>
      </w:tr>
      <w:tr>
        <w:trPr>
          <w:trHeight w:val="230"/>
        </w:trPr>
        <w:tc>
          <w:tcPr>
            <w:tcW w:w="64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identfable net assets</w:t>
            </w:r>
          </w:p>
        </w:tc>
        <w:tc>
          <w:tcPr>
            <w:tcW w:w="3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8,541</w:t>
            </w:r>
          </w:p>
        </w:tc>
      </w:tr>
      <w:tr>
        <w:trPr>
          <w:trHeight w:val="223"/>
        </w:trPr>
        <w:tc>
          <w:tcPr>
            <w:tcW w:w="64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1,249</w:t>
            </w:r>
          </w:p>
        </w:tc>
      </w:tr>
      <w:tr>
        <w:trPr>
          <w:trHeight w:val="248"/>
        </w:trPr>
        <w:tc>
          <w:tcPr>
            <w:tcW w:w="64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assets acquired and liabilites assumed</w:t>
            </w:r>
          </w:p>
        </w:tc>
        <w:tc>
          <w:tcPr>
            <w:tcW w:w="3700" w:type="dxa"/>
            <w:vAlign w:val="bottom"/>
            <w:tcBorders>
              <w:bottom w:val="single" w:sz="8" w:color="auto"/>
            </w:tcBorders>
            <w:shd w:val="clear" w:color="auto" w:fill="CCEEFF"/>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9,790</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fair value step-up adjustment to inventories of $179 million is being amortzed to cost of products sold when the inventory is sold to customers, which is expected to be within approximately one year from the acquisiton date.</w:t>
      </w:r>
    </w:p>
    <w:p>
      <w:pPr>
        <w:spacing w:after="0" w:line="150"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Intangible assets relate to $7.3 billion of defnite-lived intangible assets and $1.3 billion of acquired in-process research and development (IPR&amp;D) associated with products that have not yet received regulatory approval. The acquired defnite-lived intangible assets consist of developed product rights and license agreements and are being amortzed over a weighted-average estmated useful life of approximately 12 years using the estmated patern of economic beneft. The estmated fair values of identfable intangible assets were determined using the "income approach" which is a valuaton technique that provides an estmate of the fair value of an asset based on market partcipant expectatons of the cash fows an asset would generate over its remaining useful life. Some of the more signifcant assumptons inherent in the development of these asset valuatons include the estmated net cash fows for each year for each asset or product, the appropriate discount rate necessary to measure the risk inherent in each future cash fow stream, the life cycle of each asset, the potental regulatory and commercial success risk, compettve trends impactng the asset and each cash fow stream, as well as other factors.</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color w:val="auto"/>
        </w:rPr>
        <w:t>Other noncurrent assets primarily consist of $250 million of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486410</wp:posOffset>
            </wp:positionV>
            <wp:extent cx="51435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6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880" w:type="dxa"/>
            <w:vAlign w:val="bottom"/>
          </w:tcPr>
          <w:p>
            <w:pPr>
              <w:jc w:val="right"/>
              <w:ind w:right="150"/>
              <w:spacing w:after="0"/>
              <w:rPr>
                <w:sz w:val="20"/>
                <w:szCs w:val="20"/>
                <w:color w:val="auto"/>
              </w:rPr>
            </w:pPr>
            <w:r>
              <w:rPr>
                <w:rFonts w:ascii="Calibri" w:cs="Calibri" w:eastAsia="Calibri" w:hAnsi="Calibri"/>
                <w:sz w:val="18"/>
                <w:szCs w:val="18"/>
                <w:b w:val="1"/>
                <w:bCs w:val="1"/>
                <w:i w:val="1"/>
                <w:iCs w:val="1"/>
                <w:color w:val="auto"/>
              </w:rPr>
              <w:t>9</w:t>
            </w:r>
          </w:p>
        </w:tc>
      </w:tr>
      <w:tr>
        <w:trPr>
          <w:trHeight w:val="243"/>
        </w:trPr>
        <w:tc>
          <w:tcPr>
            <w:tcW w:w="1036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1" w:name="page12"/>
    <w:bookmarkEnd w:id="11"/>
    <w:p>
      <w:pPr>
        <w:ind w:right="740"/>
        <w:spacing w:after="0" w:line="235" w:lineRule="auto"/>
        <w:rPr>
          <w:sz w:val="20"/>
          <w:szCs w:val="20"/>
          <w:color w:val="auto"/>
        </w:rPr>
      </w:pPr>
      <w:r>
        <w:rPr>
          <w:rFonts w:ascii="Calibri" w:cs="Calibri" w:eastAsia="Calibri" w:hAnsi="Calibri"/>
          <w:sz w:val="18"/>
          <w:szCs w:val="18"/>
          <w:color w:val="auto"/>
        </w:rPr>
        <w:t>The current porton of long-term debt assumed by AbbVie was repaid concurrent with the acquisiton at the fair value of $99 million. See Note 8 for additonal informaton.</w:t>
      </w:r>
    </w:p>
    <w:p>
      <w:pPr>
        <w:spacing w:after="0" w:line="137" w:lineRule="exact"/>
        <w:rPr>
          <w:sz w:val="20"/>
          <w:szCs w:val="20"/>
          <w:color w:val="auto"/>
        </w:rPr>
      </w:pPr>
    </w:p>
    <w:p>
      <w:pPr>
        <w:ind w:right="160"/>
        <w:spacing w:after="0" w:line="251" w:lineRule="auto"/>
        <w:rPr>
          <w:sz w:val="20"/>
          <w:szCs w:val="20"/>
          <w:color w:val="auto"/>
        </w:rPr>
      </w:pPr>
      <w:r>
        <w:rPr>
          <w:rFonts w:ascii="Calibri" w:cs="Calibri" w:eastAsia="Calibri" w:hAnsi="Calibri"/>
          <w:sz w:val="17"/>
          <w:szCs w:val="17"/>
          <w:color w:val="auto"/>
        </w:rPr>
        <w:t>Goodwill was calculated as the excess of the consideraton transferred over the fair value of net assets recognized and represents the future economic benefts arising from other assets acquired that could not be individually identfed and separately recognized. Specifcally, the goodwill recognized from the acquisiton of ImmunoGen represents expected synergies including, the ability to: (i) expand AbbVie’s product portolio as well as the potental to increase revenue from future growth platorms, (ii) accelerate AbbVie’s clinical and commercial presence in the solid tumor space within oncology, (iii) leverage the respectve strengths of each company, and (iv) enhance AbbVie’s existng ADC development eforts. The goodwill is not deductble for tax purposes.</w:t>
      </w:r>
    </w:p>
    <w:p>
      <w:pPr>
        <w:spacing w:after="0" w:line="14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Following the acquisiton date, the operatng results of ImmunoGen have been included in the condensed consolidated fnancial statements. For the period from the acquisiton date through June 30, 2024, net revenues atributable to ImmunoGen were $239 million and operatng losses atributable to ImmunoGen were $562 million, inclusive of $349 million of cash-setled, post-closing expense for ImmunoGen employee incentve awards, $124 million of inventory fair value step-up amortzaton and $65 million of intangible asset amortzaton. AbbVie also issued 0.3 million RSUs to holders of ImmunoGen equity awards based on a conversion factor described in the transacton agreement. Stock compensaton expense related to RSUs issued at the acquisiton date was not signifcant.</w:t>
      </w:r>
    </w:p>
    <w:p>
      <w:pPr>
        <w:spacing w:after="0" w:line="154"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Acquisiton-related expenses, which were comprised primarily of regulatory, fnancial advisory and legal fees, totaled $59 million for the six months ended June 30, 2024 and were included in selling, general and administratve (SG&amp;A) expense in the condensed consolidated statements of earnings.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 Forma Financial Informaton</w:t>
      </w:r>
    </w:p>
    <w:p>
      <w:pPr>
        <w:spacing w:after="0" w:line="150"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following table presents the unaudited pro forma combined results of AbbVie and ImmunoGen for the three and six months ended June 30, 2024 and 2023 as if the acquisiton of ImmunoGen had occurred on January 1,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2"/>
          </w:tcPr>
          <w:p>
            <w:pPr>
              <w:jc w:val="center"/>
              <w:ind w:right="216"/>
              <w:spacing w:after="0"/>
              <w:rPr>
                <w:sz w:val="20"/>
                <w:szCs w:val="20"/>
                <w:color w:val="auto"/>
              </w:rPr>
            </w:pPr>
            <w:r>
              <w:rPr>
                <w:rFonts w:ascii="Calibri" w:cs="Calibri" w:eastAsia="Calibri" w:hAnsi="Calibri"/>
                <w:sz w:val="14"/>
                <w:szCs w:val="14"/>
                <w:b w:val="1"/>
                <w:bCs w:val="1"/>
                <w:color w:val="auto"/>
              </w:rPr>
              <w:t>Three months ended</w:t>
            </w:r>
          </w:p>
        </w:tc>
        <w:tc>
          <w:tcPr>
            <w:tcW w:w="360" w:type="dxa"/>
            <w:vAlign w:val="bottom"/>
          </w:tcPr>
          <w:p>
            <w:pPr>
              <w:spacing w:after="0"/>
              <w:rPr>
                <w:sz w:val="14"/>
                <w:szCs w:val="14"/>
                <w:color w:val="auto"/>
              </w:rPr>
            </w:pPr>
          </w:p>
        </w:tc>
        <w:tc>
          <w:tcPr>
            <w:tcW w:w="2260" w:type="dxa"/>
            <w:vAlign w:val="bottom"/>
            <w:gridSpan w:val="2"/>
          </w:tcPr>
          <w:p>
            <w:pPr>
              <w:jc w:val="center"/>
              <w:ind w:right="216"/>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521"/>
              <w:spacing w:after="0"/>
              <w:rPr>
                <w:sz w:val="20"/>
                <w:szCs w:val="20"/>
                <w:color w:val="auto"/>
              </w:rPr>
            </w:pPr>
            <w:r>
              <w:rPr>
                <w:rFonts w:ascii="Calibri" w:cs="Calibri" w:eastAsia="Calibri" w:hAnsi="Calibri"/>
                <w:sz w:val="14"/>
                <w:szCs w:val="14"/>
                <w:b w:val="1"/>
                <w:bCs w:val="1"/>
                <w:color w:val="auto"/>
              </w:rPr>
              <w:t>June 30,</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center"/>
              <w:ind w:left="541"/>
              <w:spacing w:after="0"/>
              <w:rPr>
                <w:sz w:val="20"/>
                <w:szCs w:val="20"/>
                <w:color w:val="auto"/>
              </w:rPr>
            </w:pPr>
            <w:r>
              <w:rPr>
                <w:rFonts w:ascii="Calibri" w:cs="Calibri" w:eastAsia="Calibri" w:hAnsi="Calibri"/>
                <w:sz w:val="14"/>
                <w:szCs w:val="14"/>
                <w:b w:val="1"/>
                <w:bCs w:val="1"/>
                <w:color w:val="auto"/>
              </w:rPr>
              <w:t>June 30,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781"/>
              <w:spacing w:after="0" w:line="164" w:lineRule="exact"/>
              <w:rPr>
                <w:sz w:val="20"/>
                <w:szCs w:val="20"/>
                <w:color w:val="auto"/>
              </w:rPr>
            </w:pPr>
            <w:r>
              <w:rPr>
                <w:rFonts w:ascii="Calibri" w:cs="Calibri" w:eastAsia="Calibri" w:hAnsi="Calibri"/>
                <w:sz w:val="14"/>
                <w:szCs w:val="14"/>
                <w:b w:val="1"/>
                <w:bCs w:val="1"/>
                <w:color w:val="auto"/>
              </w:rPr>
              <w:t>2024</w:t>
            </w:r>
          </w:p>
        </w:tc>
        <w:tc>
          <w:tcPr>
            <w:tcW w:w="920" w:type="dxa"/>
            <w:vAlign w:val="bottom"/>
          </w:tcPr>
          <w:p>
            <w:pPr>
              <w:jc w:val="right"/>
              <w:ind w:right="436"/>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1340" w:type="dxa"/>
            <w:vAlign w:val="bottom"/>
          </w:tcPr>
          <w:p>
            <w:pPr>
              <w:jc w:val="right"/>
              <w:ind w:right="781"/>
              <w:spacing w:after="0" w:line="164" w:lineRule="exact"/>
              <w:rPr>
                <w:sz w:val="20"/>
                <w:szCs w:val="20"/>
                <w:color w:val="auto"/>
              </w:rPr>
            </w:pPr>
            <w:r>
              <w:rPr>
                <w:rFonts w:ascii="Calibri" w:cs="Calibri" w:eastAsia="Calibri" w:hAnsi="Calibri"/>
                <w:sz w:val="14"/>
                <w:szCs w:val="14"/>
                <w:b w:val="1"/>
                <w:bCs w:val="1"/>
                <w:color w:val="auto"/>
              </w:rPr>
              <w:t>2024</w:t>
            </w:r>
          </w:p>
        </w:tc>
        <w:tc>
          <w:tcPr>
            <w:tcW w:w="920" w:type="dxa"/>
            <w:vAlign w:val="bottom"/>
          </w:tcPr>
          <w:p>
            <w:pPr>
              <w:jc w:val="right"/>
              <w:ind w:right="416"/>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revenues</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ind w:right="201"/>
              <w:spacing w:after="0" w:line="215" w:lineRule="exact"/>
              <w:rPr>
                <w:sz w:val="20"/>
                <w:szCs w:val="20"/>
                <w:color w:val="auto"/>
              </w:rPr>
            </w:pPr>
            <w:r>
              <w:rPr>
                <w:rFonts w:ascii="Calibri" w:cs="Calibri" w:eastAsia="Calibri" w:hAnsi="Calibri"/>
                <w:sz w:val="18"/>
                <w:szCs w:val="18"/>
                <w:color w:val="auto"/>
              </w:rPr>
              <w:t>14,462 $</w:t>
            </w:r>
          </w:p>
        </w:tc>
        <w:tc>
          <w:tcPr>
            <w:tcW w:w="920" w:type="dxa"/>
            <w:vAlign w:val="bottom"/>
            <w:shd w:val="clear" w:color="auto" w:fill="CCEEFF"/>
          </w:tcPr>
          <w:p>
            <w:pPr>
              <w:jc w:val="right"/>
              <w:ind w:right="16"/>
              <w:spacing w:after="0" w:line="215" w:lineRule="exact"/>
              <w:rPr>
                <w:sz w:val="20"/>
                <w:szCs w:val="20"/>
                <w:color w:val="auto"/>
              </w:rPr>
            </w:pPr>
            <w:r>
              <w:rPr>
                <w:rFonts w:ascii="Calibri" w:cs="Calibri" w:eastAsia="Calibri" w:hAnsi="Calibri"/>
                <w:sz w:val="18"/>
                <w:szCs w:val="18"/>
                <w:color w:val="auto"/>
              </w:rPr>
              <w:t>13,948</w:t>
            </w:r>
          </w:p>
        </w:tc>
        <w:tc>
          <w:tcPr>
            <w:tcW w:w="36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ind w:right="181"/>
              <w:spacing w:after="0" w:line="215" w:lineRule="exact"/>
              <w:rPr>
                <w:sz w:val="20"/>
                <w:szCs w:val="20"/>
                <w:color w:val="auto"/>
              </w:rPr>
            </w:pPr>
            <w:r>
              <w:rPr>
                <w:rFonts w:ascii="Calibri" w:cs="Calibri" w:eastAsia="Calibri" w:hAnsi="Calibri"/>
                <w:sz w:val="18"/>
                <w:szCs w:val="18"/>
                <w:color w:val="auto"/>
              </w:rPr>
              <w:t>26,827 $</w:t>
            </w: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26,223</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earnings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81"/>
              <w:spacing w:after="0" w:line="215" w:lineRule="exact"/>
              <w:rPr>
                <w:sz w:val="20"/>
                <w:szCs w:val="20"/>
                <w:color w:val="auto"/>
              </w:rPr>
            </w:pPr>
            <w:r>
              <w:rPr>
                <w:rFonts w:ascii="Calibri" w:cs="Calibri" w:eastAsia="Calibri" w:hAnsi="Calibri"/>
                <w:sz w:val="18"/>
                <w:szCs w:val="18"/>
                <w:color w:val="auto"/>
              </w:rPr>
              <w:t>1,422</w:t>
            </w:r>
          </w:p>
        </w:tc>
        <w:tc>
          <w:tcPr>
            <w:tcW w:w="92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1,861</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1"/>
              <w:spacing w:after="0" w:line="215" w:lineRule="exact"/>
              <w:rPr>
                <w:sz w:val="20"/>
                <w:szCs w:val="20"/>
                <w:color w:val="auto"/>
              </w:rPr>
            </w:pPr>
            <w:r>
              <w:rPr>
                <w:rFonts w:ascii="Calibri" w:cs="Calibri" w:eastAsia="Calibri" w:hAnsi="Calibri"/>
                <w:sz w:val="18"/>
                <w:szCs w:val="18"/>
                <w:color w:val="auto"/>
              </w:rPr>
              <w:t>3,158</w:t>
            </w: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1,444</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unaudited pro forma combined fnancial informaton was prepared using the acquisiton method of accountng and was based on the historical fnancial informaton of AbbVie and ImmunoGen. In order to refect the occurrence of the acquisiton on January 1, 2023 as required, the unaudited pro forma fnancial informaton includes adjustments to refect incremental amortzaton expense to be incurred based on the current preliminary fair values of the identfable intangible assets acquired; the incremental cost of products sold related to the fair value adjustments associated with acquisiton date inventory; the additonal interest expense associated with the issuance of debt to fnance the acquisiton; and the reclassifcaton of acquisiton-related costs incurred during the three and six months ended June 30, 2024 to the six months ended June 30, 2023. The unaudited pro forma fnancial informaton is not necessarily indicatve of what the consolidated results of operatons would have been had the acquisiton been completed on January 1, 2023. In additon, the unaudited pro forma fnancial informaton is not a projecton of future results of operatons of the combined company nor does it refect the expected realizaton of any synergies or cost savings associated with the acquisiton.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490855</wp:posOffset>
            </wp:positionV>
            <wp:extent cx="51435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444867"/>
        </w:rPr>
        <w:t>Other Licensing &amp; Acquisitons Actvity</w:t>
      </w:r>
    </w:p>
    <w:p>
      <w:pPr>
        <w:spacing w:after="0" w:line="150"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Cash outlows related to other acquisitons and investments totaled $1.0 billion for the six months ended June 30, 2024 and $513 million for the six months ended June 30, 2023.</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acquired IPR&amp;D and milestones expense: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20" w:type="dxa"/>
            <w:vAlign w:val="bottom"/>
            <w:gridSpan w:val="3"/>
          </w:tcPr>
          <w:p>
            <w:pPr>
              <w:jc w:val="right"/>
              <w:ind w:right="36"/>
              <w:spacing w:after="0"/>
              <w:rPr>
                <w:sz w:val="20"/>
                <w:szCs w:val="20"/>
                <w:color w:val="auto"/>
              </w:rPr>
            </w:pPr>
            <w:r>
              <w:rPr>
                <w:rFonts w:ascii="Calibri" w:cs="Calibri" w:eastAsia="Calibri" w:hAnsi="Calibri"/>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right"/>
              <w:ind w:right="49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416"/>
              <w:spacing w:after="0"/>
              <w:rPr>
                <w:sz w:val="20"/>
                <w:szCs w:val="20"/>
                <w:color w:val="auto"/>
              </w:rPr>
            </w:pPr>
            <w:r>
              <w:rPr>
                <w:rFonts w:ascii="Calibri" w:cs="Calibri" w:eastAsia="Calibri" w:hAnsi="Calibri"/>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0"/>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7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38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Upfront charges</w:t>
            </w:r>
          </w:p>
        </w:tc>
        <w:tc>
          <w:tcPr>
            <w:tcW w:w="680" w:type="dxa"/>
            <w:vAlign w:val="bottom"/>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927</w:t>
            </w:r>
          </w:p>
        </w:tc>
        <w:tc>
          <w:tcPr>
            <w:tcW w:w="760" w:type="dxa"/>
            <w:vAlign w:val="bottom"/>
            <w:shd w:val="clear" w:color="auto" w:fill="CCEEFF"/>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1,006</w:t>
            </w:r>
          </w:p>
        </w:tc>
        <w:tc>
          <w:tcPr>
            <w:tcW w:w="3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352</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Development milestones</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10</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Acquired IPR&amp;D and milestones</w:t>
            </w:r>
          </w:p>
        </w:tc>
        <w:tc>
          <w:tcPr>
            <w:tcW w:w="680" w:type="dxa"/>
            <w:vAlign w:val="bottom"/>
            <w:tcBorders>
              <w:bottom w:val="single" w:sz="8" w:color="auto"/>
            </w:tcBorders>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auto"/>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937</w:t>
            </w:r>
          </w:p>
        </w:tc>
        <w:tc>
          <w:tcPr>
            <w:tcW w:w="760" w:type="dxa"/>
            <w:vAlign w:val="bottom"/>
            <w:tcBorders>
              <w:bottom w:val="single" w:sz="8" w:color="auto"/>
            </w:tcBorders>
            <w:shd w:val="clear" w:color="auto" w:fill="CCEEFF"/>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1,101</w:t>
            </w:r>
          </w:p>
        </w:tc>
        <w:tc>
          <w:tcPr>
            <w:tcW w:w="3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444867"/>
        </w:rPr>
        <w:t>Celsius Therapeutcs, Inc.</w:t>
      </w:r>
    </w:p>
    <w:p>
      <w:pPr>
        <w:spacing w:after="0" w:line="136" w:lineRule="exact"/>
        <w:rPr>
          <w:sz w:val="20"/>
          <w:szCs w:val="20"/>
          <w:color w:val="auto"/>
        </w:rPr>
      </w:pPr>
    </w:p>
    <w:p>
      <w:pPr>
        <w:spacing w:after="0" w:line="224" w:lineRule="auto"/>
        <w:rPr>
          <w:sz w:val="20"/>
          <w:szCs w:val="20"/>
          <w:color w:val="auto"/>
        </w:rPr>
      </w:pPr>
      <w:r>
        <w:rPr>
          <w:rFonts w:ascii="Calibri" w:cs="Calibri" w:eastAsia="Calibri" w:hAnsi="Calibri"/>
          <w:sz w:val="18"/>
          <w:szCs w:val="18"/>
          <w:color w:val="auto"/>
        </w:rPr>
        <w:t>In June 2024, AbbVie acquired Celsius Therapeutcs, Inc. (Celsius Therapeutcs) including its lead pipeline asset CEL383. Celsius Therapeutcs is a clinical-stage biotechnology company focused on the discovery and development of precision medicine in infammatory bowel disease. The transacton was accounted as an asset acquisiton as CEL383 represented substantally all of the fair value of the gross assets acquired. The upfront payment of $250 million was recorded in acquired IPR&amp;D and milestones expense in the condensed consolidated statement of earnings in the second quarter of 2024.</w:t>
      </w:r>
    </w:p>
    <w:p>
      <w:pPr>
        <w:spacing w:after="0" w:line="138"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AbbVie entered into several other individually insignifcant collaboratons, licensing agreements or other asset acquisitons in which the related upfront payments were recorded in acquired IPR&amp;D and milestones expense.</w:t>
      </w:r>
    </w:p>
    <w:p>
      <w:pPr>
        <w:spacing w:after="0" w:line="19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5 Collaboratons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The company has ongoing transactons with other enttes through collaboraton agreements. The following represent the signifcant collaboraton agreements impactng the periods ended June 30, 2024 and 2023.</w:t>
      </w:r>
    </w:p>
    <w:p>
      <w:pPr>
        <w:spacing w:after="0" w:line="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Collaboraton with Janssen Biotech, Inc.</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In December 2011, Pharmacyclics, a wholly-owned subsidiary of AbbVie, entered into a worldwide collaboraton and license agreement with Janssen Biotech, Inc. and its afliates (Janssen), one of the Janssen Pharmaceutcal companies of Johnson &amp; Johnson, for the joint development and commercializaton of Imbruvica, a novel, orally actve, selectve covalent inhibitor of Bruton’s tyrosine kinase and certain compounds structurally related to Imbruvica, for oncology and other indicatons, excluding all immune and infammatory mediated diseases or conditons and all psychiatric or psychological diseases or conditons, in the United States and outside the United States.</w:t>
      </w:r>
    </w:p>
    <w:p>
      <w:pPr>
        <w:spacing w:after="0" w:line="13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collaboraton provides Janssen with an exclusive license to commercialize Imbruvica outside of the United States and co-exclusively with AbbVie in the United States. Both partes are responsible for the development, manufacturing and marketng of any products generated as a result of the collaboraton. The collaboraton has no set duraton or specifc expiraton date and provides for potental future development, regulatory and approval milestone payments of up to $200 million to AbbVie. The collaboraton also includes a cost sharing arrangement for associated collaboraton actvites. Except in certain cases, Janssen is responsible for approximately 60% of collaboraton development costs and AbbVie is responsible for the remaining 40% of collaboraton development costs.</w:t>
      </w:r>
    </w:p>
    <w:p>
      <w:pPr>
        <w:spacing w:after="0" w:line="15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the United States, both partes have co-exclusive rights to commercialize the products; however, AbbVie is the principal in the end-customer product sales. AbbVie and Janssen share pre-tax profts and losses equally from the commercializaton of products. Sales of Imbruvica are included in AbbVie's net revenues. Janssen's share of profts is included in AbbVie's cost of products sold. Other costs incurred under the collaboraton are reported in their respectve expense line items, net of Janssen's share.</w:t>
      </w:r>
    </w:p>
    <w:p>
      <w:pPr>
        <w:spacing w:after="0" w:line="15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Outside the United States, Janssen is responsible for and has exclusive rights to commercialize Imbruvica. AbbVie and Janssen share pre-tax profts and losses equally from the commercializaton of products. AbbVie's share of profts is included in AbbVie's net revenues. Other costs incurred under the collaboraton are reported in their respectve expense line items, net of Janssen's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11</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color w:val="auto"/>
        </w:rPr>
        <w:t>The following table shows the proft and cost sharing relatonship between Janssen and AbbVie: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center"/>
              <w:ind w:right="380"/>
              <w:spacing w:after="0"/>
              <w:rPr>
                <w:sz w:val="20"/>
                <w:szCs w:val="20"/>
                <w:color w:val="auto"/>
              </w:rPr>
            </w:pPr>
            <w:r>
              <w:rPr>
                <w:rFonts w:ascii="Calibri" w:cs="Calibri" w:eastAsia="Calibri" w:hAnsi="Calibri"/>
                <w:sz w:val="14"/>
                <w:szCs w:val="14"/>
                <w:b w:val="1"/>
                <w:bCs w:val="1"/>
                <w:color w:val="auto"/>
              </w:rPr>
              <w:t>Three months ended</w:t>
            </w:r>
          </w:p>
        </w:tc>
        <w:tc>
          <w:tcPr>
            <w:tcW w:w="240" w:type="dxa"/>
            <w:vAlign w:val="bottom"/>
          </w:tcPr>
          <w:p>
            <w:pPr>
              <w:spacing w:after="0"/>
              <w:rPr>
                <w:sz w:val="14"/>
                <w:szCs w:val="14"/>
                <w:color w:val="auto"/>
              </w:rPr>
            </w:pPr>
          </w:p>
        </w:tc>
        <w:tc>
          <w:tcPr>
            <w:tcW w:w="1960" w:type="dxa"/>
            <w:vAlign w:val="bottom"/>
            <w:gridSpan w:val="3"/>
          </w:tcPr>
          <w:p>
            <w:pPr>
              <w:jc w:val="center"/>
              <w:ind w:right="15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left="439"/>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left="439"/>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5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36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39"/>
              <w:spacing w:after="0" w:line="164" w:lineRule="exact"/>
              <w:rPr>
                <w:sz w:val="20"/>
                <w:szCs w:val="20"/>
                <w:color w:val="auto"/>
              </w:rPr>
            </w:pPr>
            <w:r>
              <w:rPr>
                <w:rFonts w:ascii="Calibri" w:cs="Calibri" w:eastAsia="Calibri" w:hAnsi="Calibri"/>
                <w:sz w:val="14"/>
                <w:szCs w:val="14"/>
                <w:b w:val="1"/>
                <w:bCs w:val="1"/>
                <w:color w:val="auto"/>
              </w:rPr>
              <w:t>2024</w:t>
            </w:r>
          </w:p>
        </w:tc>
        <w:tc>
          <w:tcPr>
            <w:tcW w:w="36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United States - Janssen's share of profts (included in cost of products sold)</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284</w:t>
            </w:r>
          </w:p>
        </w:tc>
        <w:tc>
          <w:tcPr>
            <w:tcW w:w="3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567</w:t>
            </w:r>
          </w:p>
        </w:tc>
        <w:tc>
          <w:tcPr>
            <w:tcW w:w="36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609</w:t>
            </w:r>
          </w:p>
        </w:tc>
        <w:tc>
          <w:tcPr>
            <w:tcW w:w="0" w:type="dxa"/>
            <w:vAlign w:val="bottom"/>
          </w:tcPr>
          <w:p>
            <w:pPr>
              <w:spacing w:after="0"/>
              <w:rPr>
                <w:sz w:val="1"/>
                <w:szCs w:val="1"/>
                <w:color w:val="auto"/>
              </w:rPr>
            </w:pPr>
          </w:p>
        </w:tc>
      </w:tr>
      <w:tr>
        <w:trPr>
          <w:trHeight w:val="222"/>
        </w:trPr>
        <w:tc>
          <w:tcPr>
            <w:tcW w:w="6560" w:type="dxa"/>
            <w:vAlign w:val="bottom"/>
          </w:tcPr>
          <w:p>
            <w:pPr>
              <w:ind w:left="20"/>
              <w:spacing w:after="0" w:line="215" w:lineRule="exact"/>
              <w:rPr>
                <w:sz w:val="20"/>
                <w:szCs w:val="20"/>
                <w:color w:val="auto"/>
              </w:rPr>
            </w:pPr>
            <w:r>
              <w:rPr>
                <w:rFonts w:ascii="Calibri" w:cs="Calibri" w:eastAsia="Calibri" w:hAnsi="Calibri"/>
                <w:sz w:val="18"/>
                <w:szCs w:val="18"/>
                <w:color w:val="auto"/>
              </w:rPr>
              <w:t>Internatonal - AbbVie's share of profts (included in net revenues)</w:t>
            </w:r>
          </w:p>
        </w:tc>
        <w:tc>
          <w:tcPr>
            <w:tcW w:w="24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238</w:t>
            </w:r>
          </w:p>
        </w:tc>
        <w:tc>
          <w:tcPr>
            <w:tcW w:w="36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9"/>
              <w:spacing w:after="0" w:line="215" w:lineRule="exact"/>
              <w:rPr>
                <w:sz w:val="20"/>
                <w:szCs w:val="20"/>
                <w:color w:val="auto"/>
              </w:rPr>
            </w:pPr>
            <w:r>
              <w:rPr>
                <w:rFonts w:ascii="Calibri" w:cs="Calibri" w:eastAsia="Calibri" w:hAnsi="Calibri"/>
                <w:sz w:val="18"/>
                <w:szCs w:val="18"/>
                <w:color w:val="auto"/>
              </w:rPr>
              <w:t>466</w:t>
            </w:r>
          </w:p>
        </w:tc>
        <w:tc>
          <w:tcPr>
            <w:tcW w:w="36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481</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Global - AbbVie's share of other costs (included in respectve line items)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40</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57</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8"/>
                <w:szCs w:val="18"/>
                <w:color w:val="auto"/>
              </w:rPr>
              <w:t>82</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20"/>
        <w:spacing w:after="0" w:line="258" w:lineRule="auto"/>
        <w:rPr>
          <w:sz w:val="20"/>
          <w:szCs w:val="20"/>
          <w:color w:val="auto"/>
        </w:rPr>
      </w:pPr>
      <w:r>
        <w:rPr>
          <w:rFonts w:ascii="Calibri" w:cs="Calibri" w:eastAsia="Calibri" w:hAnsi="Calibri"/>
          <w:sz w:val="17"/>
          <w:szCs w:val="17"/>
          <w:color w:val="auto"/>
        </w:rPr>
        <w:t>AbbVie’s receivable from Janssen, included in accounts receivable, net, was $256 million at June 30, 2024 and $236 million at December 31, 2023. AbbVie’s payable to Janssen, included in accounts payable and accrued liabilites, was $270 million at June 30, 2024 and $307 million at December 31, 2023.</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Collaboraton with Genentech, Inc.</w:t>
      </w:r>
    </w:p>
    <w:p>
      <w:pPr>
        <w:spacing w:after="0" w:line="136" w:lineRule="exact"/>
        <w:rPr>
          <w:sz w:val="20"/>
          <w:szCs w:val="20"/>
          <w:color w:val="auto"/>
        </w:rPr>
      </w:pPr>
    </w:p>
    <w:p>
      <w:pPr>
        <w:ind w:right="260"/>
        <w:spacing w:after="0" w:line="252" w:lineRule="auto"/>
        <w:rPr>
          <w:sz w:val="20"/>
          <w:szCs w:val="20"/>
          <w:color w:val="auto"/>
        </w:rPr>
      </w:pPr>
      <w:r>
        <w:rPr>
          <w:rFonts w:ascii="Calibri" w:cs="Calibri" w:eastAsia="Calibri" w:hAnsi="Calibri"/>
          <w:sz w:val="17"/>
          <w:szCs w:val="17"/>
          <w:color w:val="auto"/>
        </w:rPr>
        <w:t>AbbVie and Genentech, Inc. (Genentech), a member of the Roche Group, are partes to a collaboraton and license agreement executed in 2007 to jointly research, develop and commercialize human therapeutc products containing BCL-2 inhibitors and certain other compound inhibitors which includes Venclexta, a BCL-2 inhibitor used to treat certain hematological malignancies. AbbVie shares equally with Genentech all pre-tax profts and losses from the development and commercializaton of Venclexta in the United States. AbbVie pays royaltes on Venclexta net revenues outside the United States.</w:t>
      </w:r>
    </w:p>
    <w:p>
      <w:pPr>
        <w:spacing w:after="0" w:line="14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manufactures and distributes Venclexta globally and is the principal in the end-customer product sales. Sales of Venclexta are included in AbbVie’s net revenues. Genentech’s share of United States profts is included in AbbVie’s cost of products sold. AbbVie records sales and marketng costs associated with the United States collaboraton as part of SG&amp;A expenses and global development costs as part of research and development (R&amp;D) expenses, net of Genentech’s share. Royaltes paid for Venclexta revenues outside the United States are also included in AbbVie’s cost of products sold.</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shows the proft and cost sharing relatonship between Genentech and AbbVie: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20" w:type="dxa"/>
            <w:vAlign w:val="bottom"/>
            <w:gridSpan w:val="3"/>
          </w:tcPr>
          <w:p>
            <w:pPr>
              <w:jc w:val="center"/>
              <w:ind w:left="262"/>
              <w:spacing w:after="0"/>
              <w:rPr>
                <w:sz w:val="20"/>
                <w:szCs w:val="20"/>
                <w:color w:val="auto"/>
              </w:rPr>
            </w:pPr>
            <w:r>
              <w:rPr>
                <w:rFonts w:ascii="Calibri" w:cs="Calibri" w:eastAsia="Calibri" w:hAnsi="Calibri"/>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center"/>
              <w:ind w:right="17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center"/>
              <w:ind w:right="259"/>
              <w:spacing w:after="0"/>
              <w:rPr>
                <w:sz w:val="20"/>
                <w:szCs w:val="20"/>
                <w:color w:val="auto"/>
              </w:rPr>
            </w:pPr>
            <w:r>
              <w:rPr>
                <w:rFonts w:ascii="Calibri" w:cs="Calibri" w:eastAsia="Calibri" w:hAnsi="Calibri"/>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left="419"/>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7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38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Genentech's share of profts, including royaltes (included in cost of products sold)</w:t>
            </w:r>
          </w:p>
        </w:tc>
        <w:tc>
          <w:tcPr>
            <w:tcW w:w="680" w:type="dxa"/>
            <w:vAlign w:val="bottom"/>
            <w:shd w:val="clear" w:color="auto" w:fill="CCEEFF"/>
          </w:tcPr>
          <w:p>
            <w:pPr>
              <w:jc w:val="right"/>
              <w:ind w:right="502"/>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243</w:t>
            </w:r>
          </w:p>
        </w:tc>
        <w:tc>
          <w:tcPr>
            <w:tcW w:w="760" w:type="dxa"/>
            <w:vAlign w:val="bottom"/>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470</w:t>
            </w:r>
          </w:p>
        </w:tc>
        <w:tc>
          <w:tcPr>
            <w:tcW w:w="3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416</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line="215" w:lineRule="exact"/>
              <w:rPr>
                <w:sz w:val="20"/>
                <w:szCs w:val="20"/>
                <w:color w:val="auto"/>
              </w:rPr>
            </w:pPr>
            <w:r>
              <w:rPr>
                <w:rFonts w:ascii="Calibri" w:cs="Calibri" w:eastAsia="Calibri" w:hAnsi="Calibri"/>
                <w:sz w:val="18"/>
                <w:szCs w:val="18"/>
                <w:color w:val="auto"/>
              </w:rPr>
              <w:t>AbbVie's share of sales and marketng costs from U.S. collaboraton (included in SG&amp;A)</w:t>
            </w:r>
          </w:p>
        </w:tc>
        <w:tc>
          <w:tcPr>
            <w:tcW w:w="680" w:type="dxa"/>
            <w:vAlign w:val="bottom"/>
          </w:tcPr>
          <w:p>
            <w:pPr>
              <w:spacing w:after="0"/>
              <w:rPr>
                <w:sz w:val="19"/>
                <w:szCs w:val="19"/>
                <w:color w:val="auto"/>
              </w:rPr>
            </w:pPr>
          </w:p>
        </w:tc>
        <w:tc>
          <w:tcPr>
            <w:tcW w:w="38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6</w:t>
            </w:r>
          </w:p>
        </w:tc>
        <w:tc>
          <w:tcPr>
            <w:tcW w:w="760" w:type="dxa"/>
            <w:vAlign w:val="bottom"/>
          </w:tcPr>
          <w:p>
            <w:pPr>
              <w:spacing w:after="0"/>
              <w:rPr>
                <w:sz w:val="19"/>
                <w:szCs w:val="19"/>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38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AbbVie's share of development costs (included in R&amp;D)</w:t>
            </w:r>
          </w:p>
        </w:tc>
        <w:tc>
          <w:tcPr>
            <w:tcW w:w="6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23</w:t>
            </w: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42</w:t>
            </w: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6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Goodwill</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changes in the carrying amount of goodwill:</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Balance as of December 31, 2023</w:t>
            </w:r>
          </w:p>
        </w:tc>
        <w:tc>
          <w:tcPr>
            <w:tcW w:w="3920" w:type="dxa"/>
            <w:vAlign w:val="bottom"/>
            <w:tcBorders>
              <w:top w:val="single" w:sz="8" w:color="auto"/>
            </w:tcBorders>
            <w:shd w:val="clear" w:color="auto" w:fill="CCEEFF"/>
          </w:tcPr>
          <w:p>
            <w:pPr>
              <w:jc w:val="right"/>
              <w:ind w:right="270"/>
              <w:spacing w:after="0"/>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32,293</w:t>
            </w:r>
          </w:p>
        </w:tc>
      </w:tr>
      <w:tr>
        <w:trPr>
          <w:trHeight w:val="229"/>
        </w:trPr>
        <w:tc>
          <w:tcPr>
            <w:tcW w:w="6420" w:type="dxa"/>
            <w:vAlign w:val="bottom"/>
          </w:tcPr>
          <w:p>
            <w:pPr>
              <w:ind w:left="20"/>
              <w:spacing w:after="0" w:line="230" w:lineRule="exact"/>
              <w:rPr>
                <w:sz w:val="20"/>
                <w:szCs w:val="20"/>
                <w:color w:val="auto"/>
              </w:rPr>
            </w:pPr>
            <w:r>
              <w:rPr>
                <w:rFonts w:ascii="Calibri" w:cs="Calibri" w:eastAsia="Calibri" w:hAnsi="Calibri"/>
                <w:sz w:val="18"/>
                <w:szCs w:val="18"/>
                <w:color w:val="auto"/>
              </w:rPr>
              <w:t>Additons</w:t>
            </w:r>
            <w:r>
              <w:rPr>
                <w:rFonts w:ascii="Calibri" w:cs="Calibri" w:eastAsia="Calibri" w:hAnsi="Calibri"/>
                <w:sz w:val="23"/>
                <w:szCs w:val="23"/>
                <w:color w:val="auto"/>
                <w:vertAlign w:val="superscript"/>
              </w:rPr>
              <w:t>(a)</w:t>
            </w:r>
          </w:p>
        </w:tc>
        <w:tc>
          <w:tcPr>
            <w:tcW w:w="39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1,249</w:t>
            </w:r>
          </w:p>
        </w:tc>
      </w:tr>
      <w:tr>
        <w:trPr>
          <w:trHeight w:val="223"/>
        </w:trPr>
        <w:tc>
          <w:tcPr>
            <w:tcW w:w="64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Foreign currency translaton adjustments</w:t>
            </w:r>
          </w:p>
        </w:tc>
        <w:tc>
          <w:tcPr>
            <w:tcW w:w="39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(156)</w:t>
            </w:r>
          </w:p>
        </w:tc>
      </w:tr>
      <w:tr>
        <w:trPr>
          <w:trHeight w:val="223"/>
        </w:trPr>
        <w:tc>
          <w:tcPr>
            <w:tcW w:w="64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Balance as of June 30, 2024</w:t>
            </w:r>
          </w:p>
        </w:tc>
        <w:tc>
          <w:tcPr>
            <w:tcW w:w="3920" w:type="dxa"/>
            <w:vAlign w:val="bottom"/>
            <w:tcBorders>
              <w:bottom w:val="single" w:sz="8" w:color="auto"/>
            </w:tcBorders>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33,386</w:t>
            </w:r>
          </w:p>
        </w:tc>
      </w:tr>
      <w:tr>
        <w:trPr>
          <w:trHeight w:val="27"/>
        </w:trPr>
        <w:tc>
          <w:tcPr>
            <w:tcW w:w="64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color w:val="auto"/>
        </w:rPr>
        <w:t>(a) Goodwill additons related to the acquisiton of ImmunoGen (see Note 4).</w:t>
      </w:r>
    </w:p>
    <w:p>
      <w:pPr>
        <w:spacing w:after="0" w:line="150"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company performs its annual goodwill impairment assessment in the third quarter, or earlier if impairment indicators exist. As of June 30, 2024, there were no accumulated goodwill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12</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444867"/>
        </w:rPr>
        <w:t>Intangible Assets, Net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Calibri" w:cs="Calibri" w:eastAsia="Calibri" w:hAnsi="Calibri"/>
                <w:sz w:val="14"/>
                <w:szCs w:val="14"/>
                <w:b w:val="1"/>
                <w:bCs w:val="1"/>
                <w:color w:val="auto"/>
              </w:rPr>
              <w:t>June 30, 2024</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December 31, 2023</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ind w:right="198"/>
              <w:spacing w:after="0" w:line="115" w:lineRule="exact"/>
              <w:rPr>
                <w:sz w:val="20"/>
                <w:szCs w:val="20"/>
                <w:color w:val="auto"/>
              </w:rPr>
            </w:pPr>
            <w:r>
              <w:rPr>
                <w:rFonts w:ascii="Calibri" w:cs="Calibri" w:eastAsia="Calibri" w:hAnsi="Calibri"/>
                <w:sz w:val="12"/>
                <w:szCs w:val="12"/>
                <w:b w:val="1"/>
                <w:bCs w:val="1"/>
                <w:color w:val="auto"/>
              </w:rPr>
              <w:t>Gross</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ind w:right="178"/>
              <w:spacing w:after="0" w:line="115" w:lineRule="exact"/>
              <w:rPr>
                <w:sz w:val="20"/>
                <w:szCs w:val="20"/>
                <w:color w:val="auto"/>
              </w:rPr>
            </w:pPr>
            <w:r>
              <w:rPr>
                <w:rFonts w:ascii="Calibri" w:cs="Calibri" w:eastAsia="Calibri" w:hAnsi="Calibri"/>
                <w:sz w:val="12"/>
                <w:szCs w:val="12"/>
                <w:b w:val="1"/>
                <w:bCs w:val="1"/>
                <w:color w:val="auto"/>
              </w:rPr>
              <w:t>Net</w:t>
            </w:r>
          </w:p>
        </w:tc>
        <w:tc>
          <w:tcPr>
            <w:tcW w:w="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178"/>
              <w:spacing w:after="0" w:line="115" w:lineRule="exact"/>
              <w:rPr>
                <w:sz w:val="20"/>
                <w:szCs w:val="20"/>
                <w:color w:val="auto"/>
              </w:rPr>
            </w:pPr>
            <w:r>
              <w:rPr>
                <w:rFonts w:ascii="Calibri" w:cs="Calibri" w:eastAsia="Calibri" w:hAnsi="Calibri"/>
                <w:sz w:val="12"/>
                <w:szCs w:val="12"/>
                <w:b w:val="1"/>
                <w:bCs w:val="1"/>
                <w:color w:val="auto"/>
              </w:rPr>
              <w:t>Gross</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right="178"/>
              <w:spacing w:after="0" w:line="115" w:lineRule="exact"/>
              <w:rPr>
                <w:sz w:val="20"/>
                <w:szCs w:val="20"/>
                <w:color w:val="auto"/>
              </w:rPr>
            </w:pPr>
            <w:r>
              <w:rPr>
                <w:rFonts w:ascii="Calibri" w:cs="Calibri" w:eastAsia="Calibri" w:hAnsi="Calibri"/>
                <w:sz w:val="12"/>
                <w:szCs w:val="12"/>
                <w:b w:val="1"/>
                <w:bCs w:val="1"/>
                <w:color w:val="auto"/>
              </w:rPr>
              <w:t>Net</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20" w:type="dxa"/>
            <w:vAlign w:val="bottom"/>
          </w:tcPr>
          <w:p>
            <w:pPr>
              <w:spacing w:after="0"/>
              <w:rPr>
                <w:sz w:val="12"/>
                <w:szCs w:val="12"/>
                <w:color w:val="auto"/>
              </w:rPr>
            </w:pPr>
          </w:p>
        </w:tc>
        <w:tc>
          <w:tcPr>
            <w:tcW w:w="960" w:type="dxa"/>
            <w:vAlign w:val="bottom"/>
          </w:tcPr>
          <w:p>
            <w:pPr>
              <w:jc w:val="center"/>
              <w:ind w:right="198"/>
              <w:spacing w:after="0" w:line="149" w:lineRule="exact"/>
              <w:rPr>
                <w:sz w:val="20"/>
                <w:szCs w:val="20"/>
                <w:color w:val="auto"/>
              </w:rPr>
            </w:pPr>
            <w:r>
              <w:rPr>
                <w:rFonts w:ascii="Calibri" w:cs="Calibri" w:eastAsia="Calibri" w:hAnsi="Calibri"/>
                <w:sz w:val="14"/>
                <w:szCs w:val="14"/>
                <w:b w:val="1"/>
                <w:bCs w:val="1"/>
                <w:color w:val="auto"/>
              </w:rPr>
              <w:t>carrying</w:t>
            </w:r>
          </w:p>
        </w:tc>
        <w:tc>
          <w:tcPr>
            <w:tcW w:w="20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Calibri" w:cs="Calibri" w:eastAsia="Calibri" w:hAnsi="Calibri"/>
                <w:sz w:val="14"/>
                <w:szCs w:val="14"/>
                <w:b w:val="1"/>
                <w:bCs w:val="1"/>
                <w:color w:val="auto"/>
              </w:rPr>
              <w:t>Accumulated</w:t>
            </w:r>
          </w:p>
        </w:tc>
        <w:tc>
          <w:tcPr>
            <w:tcW w:w="2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2"/>
                <w:szCs w:val="12"/>
                <w:color w:val="auto"/>
              </w:rPr>
            </w:pPr>
          </w:p>
        </w:tc>
        <w:tc>
          <w:tcPr>
            <w:tcW w:w="940" w:type="dxa"/>
            <w:vAlign w:val="bottom"/>
          </w:tcPr>
          <w:p>
            <w:pPr>
              <w:jc w:val="center"/>
              <w:ind w:right="178"/>
              <w:spacing w:after="0" w:line="149" w:lineRule="exact"/>
              <w:rPr>
                <w:sz w:val="20"/>
                <w:szCs w:val="20"/>
                <w:color w:val="auto"/>
              </w:rPr>
            </w:pPr>
            <w:r>
              <w:rPr>
                <w:rFonts w:ascii="Calibri" w:cs="Calibri" w:eastAsia="Calibri" w:hAnsi="Calibri"/>
                <w:sz w:val="14"/>
                <w:szCs w:val="14"/>
                <w:b w:val="1"/>
                <w:bCs w:val="1"/>
                <w:color w:val="auto"/>
              </w:rPr>
              <w:t>carrying</w:t>
            </w:r>
          </w:p>
        </w:tc>
        <w:tc>
          <w:tcPr>
            <w:tcW w:w="22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Calibri" w:cs="Calibri" w:eastAsia="Calibri" w:hAnsi="Calibri"/>
                <w:sz w:val="14"/>
                <w:szCs w:val="14"/>
                <w:b w:val="1"/>
                <w:bCs w:val="1"/>
                <w:color w:val="auto"/>
              </w:rPr>
              <w:t>Accumulated</w:t>
            </w:r>
          </w:p>
        </w:tc>
        <w:tc>
          <w:tcPr>
            <w:tcW w:w="260" w:type="dxa"/>
            <w:vAlign w:val="bottom"/>
          </w:tcPr>
          <w:p>
            <w:pPr>
              <w:spacing w:after="0"/>
              <w:rPr>
                <w:sz w:val="12"/>
                <w:szCs w:val="12"/>
                <w:color w:val="auto"/>
              </w:rPr>
            </w:pPr>
          </w:p>
        </w:tc>
        <w:tc>
          <w:tcPr>
            <w:tcW w:w="920" w:type="dxa"/>
            <w:vAlign w:val="bottom"/>
          </w:tcPr>
          <w:p>
            <w:pPr>
              <w:jc w:val="center"/>
              <w:ind w:right="158"/>
              <w:spacing w:after="0" w:line="149" w:lineRule="exact"/>
              <w:rPr>
                <w:sz w:val="20"/>
                <w:szCs w:val="20"/>
                <w:color w:val="auto"/>
              </w:rPr>
            </w:pPr>
            <w:r>
              <w:rPr>
                <w:rFonts w:ascii="Calibri" w:cs="Calibri" w:eastAsia="Calibri" w:hAnsi="Calibri"/>
                <w:sz w:val="14"/>
                <w:szCs w:val="14"/>
                <w:b w:val="1"/>
                <w:bCs w:val="1"/>
                <w:color w:val="auto"/>
              </w:rPr>
              <w:t>carrying</w:t>
            </w:r>
          </w:p>
        </w:tc>
        <w:tc>
          <w:tcPr>
            <w:tcW w:w="0" w:type="dxa"/>
            <w:vAlign w:val="bottom"/>
          </w:tcPr>
          <w:p>
            <w:pPr>
              <w:spacing w:after="0"/>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58"/>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Calibri" w:cs="Calibri" w:eastAsia="Calibri" w:hAnsi="Calibri"/>
                <w:sz w:val="14"/>
                <w:szCs w:val="14"/>
                <w:b w:val="1"/>
                <w:bCs w:val="1"/>
                <w:color w:val="auto"/>
              </w:rPr>
              <w:t>amortzaton</w:t>
            </w:r>
          </w:p>
        </w:tc>
        <w:tc>
          <w:tcPr>
            <w:tcW w:w="2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4"/>
                <w:szCs w:val="14"/>
                <w:color w:val="auto"/>
              </w:rPr>
            </w:pPr>
          </w:p>
        </w:tc>
        <w:tc>
          <w:tcPr>
            <w:tcW w:w="940" w:type="dxa"/>
            <w:vAlign w:val="bottom"/>
          </w:tcPr>
          <w:p>
            <w:pPr>
              <w:jc w:val="center"/>
              <w:ind w:right="158"/>
              <w:spacing w:after="0"/>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tcPr>
          <w:p>
            <w:pPr>
              <w:jc w:val="center"/>
              <w:ind w:right="115"/>
              <w:spacing w:after="0"/>
              <w:rPr>
                <w:sz w:val="20"/>
                <w:szCs w:val="20"/>
                <w:color w:val="auto"/>
              </w:rPr>
            </w:pPr>
            <w:r>
              <w:rPr>
                <w:rFonts w:ascii="Calibri" w:cs="Calibri" w:eastAsia="Calibri" w:hAnsi="Calibri"/>
                <w:sz w:val="14"/>
                <w:szCs w:val="14"/>
                <w:b w:val="1"/>
                <w:bCs w:val="1"/>
                <w:color w:val="auto"/>
              </w:rPr>
              <w:t>amortzaton</w:t>
            </w:r>
          </w:p>
        </w:tc>
        <w:tc>
          <w:tcPr>
            <w:tcW w:w="260" w:type="dxa"/>
            <w:vAlign w:val="bottom"/>
          </w:tcPr>
          <w:p>
            <w:pPr>
              <w:spacing w:after="0"/>
              <w:rPr>
                <w:sz w:val="14"/>
                <w:szCs w:val="14"/>
                <w:color w:val="auto"/>
              </w:rPr>
            </w:pPr>
          </w:p>
        </w:tc>
        <w:tc>
          <w:tcPr>
            <w:tcW w:w="920" w:type="dxa"/>
            <w:vAlign w:val="bottom"/>
          </w:tcPr>
          <w:p>
            <w:pPr>
              <w:jc w:val="center"/>
              <w:ind w:right="138"/>
              <w:spacing w:after="0"/>
              <w:rPr>
                <w:sz w:val="20"/>
                <w:szCs w:val="20"/>
                <w:color w:val="auto"/>
              </w:rPr>
            </w:pPr>
            <w:r>
              <w:rPr>
                <w:rFonts w:ascii="Calibri" w:cs="Calibri" w:eastAsia="Calibri" w:hAnsi="Calibri"/>
                <w:sz w:val="14"/>
                <w:szCs w:val="14"/>
                <w:b w:val="1"/>
                <w:bCs w:val="1"/>
                <w:color w:val="auto"/>
              </w:rPr>
              <w:t>amount</w:t>
            </w:r>
          </w:p>
        </w:tc>
        <w:tc>
          <w:tcPr>
            <w:tcW w:w="0" w:type="dxa"/>
            <w:vAlign w:val="bottom"/>
          </w:tcPr>
          <w:p>
            <w:pPr>
              <w:spacing w:after="0"/>
              <w:rPr>
                <w:sz w:val="1"/>
                <w:szCs w:val="1"/>
                <w:color w:val="auto"/>
              </w:rPr>
            </w:pPr>
          </w:p>
        </w:tc>
      </w:tr>
      <w:tr>
        <w:trPr>
          <w:trHeight w:val="46"/>
        </w:trPr>
        <w:tc>
          <w:tcPr>
            <w:tcW w:w="3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Defnite-lived intangible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Developed product rights</w:t>
            </w: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ind w:right="18"/>
              <w:spacing w:after="0"/>
              <w:rPr>
                <w:sz w:val="20"/>
                <w:szCs w:val="20"/>
                <w:color w:val="auto"/>
              </w:rPr>
            </w:pPr>
            <w:r>
              <w:rPr>
                <w:rFonts w:ascii="Calibri" w:cs="Calibri" w:eastAsia="Calibri" w:hAnsi="Calibri"/>
                <w:sz w:val="18"/>
                <w:szCs w:val="18"/>
                <w:color w:val="auto"/>
              </w:rPr>
              <w:t>81,497</w:t>
            </w: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(25,051)</w:t>
            </w:r>
          </w:p>
        </w:tc>
        <w:tc>
          <w:tcPr>
            <w:tcW w:w="28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56,446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75,142</w:t>
            </w:r>
          </w:p>
        </w:tc>
        <w:tc>
          <w:tcPr>
            <w:tcW w:w="2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(22,455)</w:t>
            </w:r>
          </w:p>
        </w:tc>
        <w:tc>
          <w:tcPr>
            <w:tcW w:w="26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52,687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180"/>
              <w:spacing w:after="0" w:line="215" w:lineRule="exact"/>
              <w:rPr>
                <w:sz w:val="20"/>
                <w:szCs w:val="20"/>
                <w:color w:val="auto"/>
              </w:rPr>
            </w:pPr>
            <w:r>
              <w:rPr>
                <w:rFonts w:ascii="Calibri" w:cs="Calibri" w:eastAsia="Calibri" w:hAnsi="Calibri"/>
                <w:sz w:val="18"/>
                <w:szCs w:val="18"/>
                <w:color w:val="auto"/>
              </w:rPr>
              <w:t>License agreements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8"/>
              <w:spacing w:after="0" w:line="215" w:lineRule="exact"/>
              <w:rPr>
                <w:sz w:val="20"/>
                <w:szCs w:val="20"/>
                <w:color w:val="auto"/>
              </w:rPr>
            </w:pPr>
            <w:r>
              <w:rPr>
                <w:rFonts w:ascii="Calibri" w:cs="Calibri" w:eastAsia="Calibri" w:hAnsi="Calibri"/>
                <w:sz w:val="18"/>
                <w:szCs w:val="18"/>
                <w:color w:val="auto"/>
              </w:rPr>
              <w:t>8,315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(6,098)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2,217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8,191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(5,571)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defnite-lived intangible assets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line="215" w:lineRule="exact"/>
              <w:rPr>
                <w:sz w:val="20"/>
                <w:szCs w:val="20"/>
                <w:color w:val="auto"/>
              </w:rPr>
            </w:pPr>
            <w:r>
              <w:rPr>
                <w:rFonts w:ascii="Calibri" w:cs="Calibri" w:eastAsia="Calibri" w:hAnsi="Calibri"/>
                <w:sz w:val="18"/>
                <w:szCs w:val="18"/>
                <w:color w:val="auto"/>
              </w:rPr>
              <w:t>89,812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(31,149)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83,333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(28,026)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55,307</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Indefnite-lived intangible assets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8"/>
              <w:spacing w:after="0" w:line="215" w:lineRule="exact"/>
              <w:rPr>
                <w:sz w:val="20"/>
                <w:szCs w:val="20"/>
                <w:color w:val="auto"/>
              </w:rPr>
            </w:pPr>
            <w:r>
              <w:rPr>
                <w:rFonts w:ascii="Calibri" w:cs="Calibri" w:eastAsia="Calibri" w:hAnsi="Calibri"/>
                <w:sz w:val="18"/>
                <w:szCs w:val="18"/>
                <w:color w:val="auto"/>
              </w:rPr>
              <w:t>1,580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1,580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303</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303</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intangible assets, net</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ind w:right="18"/>
              <w:spacing w:after="0" w:line="215" w:lineRule="exact"/>
              <w:rPr>
                <w:sz w:val="20"/>
                <w:szCs w:val="20"/>
                <w:color w:val="auto"/>
              </w:rPr>
            </w:pPr>
            <w:r>
              <w:rPr>
                <w:rFonts w:ascii="Calibri" w:cs="Calibri" w:eastAsia="Calibri" w:hAnsi="Calibri"/>
                <w:sz w:val="18"/>
                <w:szCs w:val="18"/>
                <w:color w:val="auto"/>
              </w:rPr>
              <w:t>91,392</w:t>
            </w:r>
          </w:p>
        </w:tc>
        <w:tc>
          <w:tcPr>
            <w:tcW w:w="2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(31,149)</w:t>
            </w:r>
          </w:p>
        </w:tc>
        <w:tc>
          <w:tcPr>
            <w:tcW w:w="28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60,243</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83,636</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(28,026)</w:t>
            </w:r>
          </w:p>
        </w:tc>
        <w:tc>
          <w:tcPr>
            <w:tcW w:w="26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55,610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Defnite-Lived Intangible Assets</w:t>
      </w:r>
    </w:p>
    <w:p>
      <w:pPr>
        <w:spacing w:after="0" w:line="15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increase in defnite-lived intangible assets during 2024 was primarily due to the acquisiton of ImmunoGen. The intangible assets will be amortzed using the estmated patern of economic beneft. Refer to Note 4 for additonal informaton regarding the acquisiton.</w:t>
      </w:r>
    </w:p>
    <w:p>
      <w:pPr>
        <w:spacing w:after="0" w:line="137"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Amortzaton expense was $1.9 billion for the three months and $3.8 billion for the six months ended June 30, 2024 and $2.1 billion for the three months and $4.0 billion for the six months ended June 30, 2023. Amortzaton expense was included in cost of products sold in the condensed consolidated statements of earnings.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Indefnite-Lived Intangible Assets</w:t>
      </w:r>
    </w:p>
    <w:p>
      <w:pPr>
        <w:spacing w:after="0" w:line="150" w:lineRule="exact"/>
        <w:rPr>
          <w:sz w:val="20"/>
          <w:szCs w:val="20"/>
          <w:color w:val="auto"/>
        </w:rPr>
      </w:pPr>
    </w:p>
    <w:p>
      <w:pPr>
        <w:jc w:val="both"/>
        <w:ind w:right="120"/>
        <w:spacing w:after="0" w:line="254" w:lineRule="auto"/>
        <w:rPr>
          <w:sz w:val="20"/>
          <w:szCs w:val="20"/>
          <w:color w:val="auto"/>
        </w:rPr>
      </w:pPr>
      <w:r>
        <w:rPr>
          <w:rFonts w:ascii="Calibri" w:cs="Calibri" w:eastAsia="Calibri" w:hAnsi="Calibri"/>
          <w:sz w:val="17"/>
          <w:szCs w:val="17"/>
          <w:color w:val="auto"/>
        </w:rPr>
        <w:t>Indefnite-lived intangible assets represent acquired IPR&amp;D associated with products that have not yet received regulatory approval. The company performs its annual impairment assessment of indefnite-lived intangible assets in the third quarter, or earlier if impairment indicators exist. The increase in indefnite-lived intangible assets during 2024 was primarily due to the acquisiton of ImmunoGen. Refer to Note 4 for additonal informaton regarding the acquisiton.</w:t>
      </w:r>
    </w:p>
    <w:p>
      <w:pPr>
        <w:spacing w:after="0" w:line="12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During the frst quarter of 2023, the company made a decision to revise the research and development plan for AGN-151607, a novel investgatonal neurotoxin for the preventon of postoperatve atrial fbrillaton in cardiac surgery patents. This decision contributed to a delay in the estmated tming of regulatory approval as well as a signifcant decrease in estmated future cash fows of the product and represented a triggering event which required the company to evaluate the underlying indefnite-lived intangible asset for impairment. The company utlized a discounted cash fow analysis to estmate the fair value which was below the carrying value of the intangible asset. Based on the revised cash fows, the company recorded a pre-tax impairment charge of $630 million to research and development expense in the condensed consolidated statements of earnings for the frst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488950</wp:posOffset>
            </wp:positionV>
            <wp:extent cx="514350"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13</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5" w:name="page16"/>
    <w:bookmarkEnd w:id="15"/>
    <w:p>
      <w:pPr>
        <w:spacing w:after="0"/>
        <w:rPr>
          <w:sz w:val="20"/>
          <w:szCs w:val="20"/>
          <w:color w:val="auto"/>
        </w:rPr>
      </w:pPr>
      <w:r>
        <w:rPr>
          <w:rFonts w:ascii="Calibri" w:cs="Calibri" w:eastAsia="Calibri" w:hAnsi="Calibri"/>
          <w:sz w:val="22"/>
          <w:szCs w:val="22"/>
          <w:b w:val="1"/>
          <w:bCs w:val="1"/>
          <w:color w:val="444867"/>
        </w:rPr>
        <w:t>Note 7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contnuously evaluates its operatons to identfy opportunites to optmize its manufacturing and R&amp;D operatons, commercial infrastructure and administratve costs and to respond to changes in its business environment. As a result, AbbVie management periodically approves individual restructuring plans to achieve these objectves. As of June 30, 2024 and 2023, no such plans were individually signifcant. Restructuring charges were $49 million for the three months and $64 million for the six months ended June 30, 2024 and $18 million for the three months and $45 million for the six months ended June 30, 2023. These charges are recorded in cost of products sold, R&amp;D expense and SG&amp;A expense in the condensed consolidated statements of earnings based on the classifcaton of the afected employees or the related operatons.</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cash actvity in the restructuring reserve for the six months ended June 30, 2024:</w:t>
      </w:r>
    </w:p>
    <w:p>
      <w:pPr>
        <w:spacing w:after="0" w:line="35"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6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Accrued balance as of December 31, 2023</w:t>
            </w:r>
          </w:p>
        </w:tc>
        <w:tc>
          <w:tcPr>
            <w:tcW w:w="3980" w:type="dxa"/>
            <w:vAlign w:val="bottom"/>
            <w:tcBorders>
              <w:top w:val="single" w:sz="8" w:color="auto"/>
            </w:tcBorders>
            <w:shd w:val="clear" w:color="auto" w:fill="CCEEFF"/>
          </w:tcPr>
          <w:p>
            <w:pPr>
              <w:jc w:val="right"/>
              <w:ind w:right="370"/>
              <w:spacing w:after="0"/>
              <w:rPr>
                <w:sz w:val="20"/>
                <w:szCs w:val="20"/>
                <w:color w:val="auto"/>
              </w:rPr>
            </w:pPr>
            <w:r>
              <w:rPr>
                <w:rFonts w:ascii="Calibri" w:cs="Calibri" w:eastAsia="Calibri" w:hAnsi="Calibri"/>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196</w:t>
            </w:r>
          </w:p>
        </w:tc>
      </w:tr>
      <w:tr>
        <w:trPr>
          <w:trHeight w:val="222"/>
        </w:trPr>
        <w:tc>
          <w:tcPr>
            <w:tcW w:w="6460" w:type="dxa"/>
            <w:vAlign w:val="bottom"/>
          </w:tcPr>
          <w:p>
            <w:pPr>
              <w:ind w:left="20"/>
              <w:spacing w:after="0" w:line="215" w:lineRule="exact"/>
              <w:rPr>
                <w:sz w:val="20"/>
                <w:szCs w:val="20"/>
                <w:color w:val="auto"/>
              </w:rPr>
            </w:pPr>
            <w:r>
              <w:rPr>
                <w:rFonts w:ascii="Calibri" w:cs="Calibri" w:eastAsia="Calibri" w:hAnsi="Calibri"/>
                <w:sz w:val="18"/>
                <w:szCs w:val="18"/>
                <w:color w:val="auto"/>
              </w:rPr>
              <w:t>Restructuring charges</w:t>
            </w:r>
          </w:p>
        </w:tc>
        <w:tc>
          <w:tcPr>
            <w:tcW w:w="398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63</w:t>
            </w: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Payments and other adjustments</w:t>
            </w:r>
          </w:p>
        </w:tc>
        <w:tc>
          <w:tcPr>
            <w:tcW w:w="39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(77)</w:t>
            </w:r>
          </w:p>
        </w:tc>
      </w:tr>
      <w:tr>
        <w:trPr>
          <w:trHeight w:val="223"/>
        </w:trPr>
        <w:tc>
          <w:tcPr>
            <w:tcW w:w="64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Accrued balance as of June 30, 2024</w:t>
            </w:r>
          </w:p>
        </w:tc>
        <w:tc>
          <w:tcPr>
            <w:tcW w:w="398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w:t>
            </w:r>
          </w:p>
        </w:tc>
      </w:tr>
      <w:tr>
        <w:trPr>
          <w:trHeight w:val="27"/>
        </w:trPr>
        <w:tc>
          <w:tcPr>
            <w:tcW w:w="6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Allergan Integraton Plan</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Following the closing of the Allergan acquisiton, AbbVie implemented an integraton plan designed to reduce costs, integrate and optmize the combined organizaton and incurred total cumulatve charges of $2.5 billion through December 31, 2023. These costs consisted of severance and employee beneft costs (cash severance, non-cash severance including accelerated equity award compensaton expense, retenton and other terminaton benefts) and other integraton expenses. The Allergan integraton plan was substantally complete as of December 31, 2023 and the remaining accrual as of June 30, 2024 is not signifcant.</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prior year charges associated with the Allergan acquisiton integraton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960" w:type="dxa"/>
            <w:vAlign w:val="bottom"/>
          </w:tcPr>
          <w:p>
            <w:pPr>
              <w:spacing w:after="0"/>
              <w:rPr>
                <w:sz w:val="14"/>
                <w:szCs w:val="14"/>
                <w:color w:val="auto"/>
              </w:rPr>
            </w:pPr>
          </w:p>
        </w:tc>
        <w:tc>
          <w:tcPr>
            <w:tcW w:w="1480" w:type="dxa"/>
            <w:vAlign w:val="bottom"/>
          </w:tcPr>
          <w:p>
            <w:pPr>
              <w:jc w:val="right"/>
              <w:ind w:right="116"/>
              <w:spacing w:after="0"/>
              <w:rPr>
                <w:sz w:val="20"/>
                <w:szCs w:val="20"/>
                <w:color w:val="auto"/>
              </w:rPr>
            </w:pPr>
            <w:r>
              <w:rPr>
                <w:rFonts w:ascii="Calibri" w:cs="Calibri" w:eastAsia="Calibri" w:hAnsi="Calibri"/>
                <w:sz w:val="14"/>
                <w:szCs w:val="14"/>
                <w:b w:val="1"/>
                <w:bCs w:val="1"/>
                <w:color w:val="auto"/>
              </w:rPr>
              <w:t>Three Months Ended</w:t>
            </w:r>
          </w:p>
        </w:tc>
        <w:tc>
          <w:tcPr>
            <w:tcW w:w="200" w:type="dxa"/>
            <w:vAlign w:val="bottom"/>
          </w:tcPr>
          <w:p>
            <w:pPr>
              <w:spacing w:after="0"/>
              <w:rPr>
                <w:sz w:val="14"/>
                <w:szCs w:val="14"/>
                <w:color w:val="auto"/>
              </w:rPr>
            </w:pPr>
          </w:p>
        </w:tc>
        <w:tc>
          <w:tcPr>
            <w:tcW w:w="1300" w:type="dxa"/>
            <w:vAlign w:val="bottom"/>
          </w:tcPr>
          <w:p>
            <w:pPr>
              <w:jc w:val="right"/>
              <w:ind w:right="96"/>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300" w:type="dxa"/>
            <w:vAlign w:val="bottom"/>
            <w:vMerge w:val="continue"/>
          </w:tcPr>
          <w:p>
            <w:pPr>
              <w:spacing w:after="0"/>
              <w:rPr>
                <w:sz w:val="14"/>
                <w:szCs w:val="14"/>
                <w:color w:val="auto"/>
              </w:rPr>
            </w:pPr>
          </w:p>
        </w:tc>
        <w:tc>
          <w:tcPr>
            <w:tcW w:w="296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Calibri" w:cs="Calibri" w:eastAsia="Calibri" w:hAnsi="Calibri"/>
                <w:sz w:val="14"/>
                <w:szCs w:val="14"/>
                <w:b w:val="1"/>
                <w:bCs w:val="1"/>
                <w:color w:val="auto"/>
              </w:rPr>
              <w:t>June 30, 2023</w:t>
            </w: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Calibri" w:cs="Calibri" w:eastAsia="Calibri" w:hAnsi="Calibri"/>
                <w:sz w:val="14"/>
                <w:szCs w:val="14"/>
                <w:b w:val="1"/>
                <w:bCs w:val="1"/>
                <w:color w:val="auto"/>
              </w:rPr>
              <w:t>June 30, 2023</w:t>
            </w:r>
          </w:p>
        </w:tc>
        <w:tc>
          <w:tcPr>
            <w:tcW w:w="0" w:type="dxa"/>
            <w:vAlign w:val="bottom"/>
          </w:tcPr>
          <w:p>
            <w:pPr>
              <w:spacing w:after="0"/>
              <w:rPr>
                <w:sz w:val="1"/>
                <w:szCs w:val="1"/>
                <w:color w:val="auto"/>
              </w:rPr>
            </w:pPr>
          </w:p>
        </w:tc>
      </w:tr>
      <w:tr>
        <w:trPr>
          <w:trHeight w:val="46"/>
        </w:trPr>
        <w:tc>
          <w:tcPr>
            <w:tcW w:w="5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2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w:t>
            </w: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w:t>
            </w: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2960" w:type="dxa"/>
            <w:vAlign w:val="bottom"/>
          </w:tcPr>
          <w:p>
            <w:pPr>
              <w:spacing w:after="0"/>
              <w:rPr>
                <w:sz w:val="19"/>
                <w:szCs w:val="19"/>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200" w:type="dxa"/>
            <w:vAlign w:val="bottom"/>
          </w:tcPr>
          <w:p>
            <w:pPr>
              <w:spacing w:after="0"/>
              <w:rPr>
                <w:sz w:val="19"/>
                <w:szCs w:val="19"/>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29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51</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charges</w:t>
            </w:r>
          </w:p>
        </w:tc>
        <w:tc>
          <w:tcPr>
            <w:tcW w:w="2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w:t>
            </w: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142</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8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Risk Management Policy</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 Note 11 to the company’s Annual Report on Form 10-K for the year ended December 31, 2023 for a summary of AbbVie’s risk management policy and use of derivatve instruments.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Financial Instruments</w:t>
      </w:r>
    </w:p>
    <w:p>
      <w:pPr>
        <w:spacing w:after="0" w:line="13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Various AbbVie foreign subsidiaries enter into foreign currency forward exchange contracts to manage exposures to changes in foreign exchange rates for antcipated intercompany transactons denominated in a currency other than the functonal currency of the local entty. These contracts, with notonal amounts totaling $1.3 billion at June 30, 2024 and $1.8 billion at December 31, 2023, are designated as cash fow hedges and are recorded at fair value. The duratons of these forward exchange contracts were generally less than 18 months. Accumulated gains and losses as of June 30, 2024 are reclassifed from accumulated other comprehensive income (loss) (AOCI) and included in cost of products sold at the tme the products are sold, generally not exceeding six months from the date of setlement.</w:t>
      </w:r>
    </w:p>
    <w:p>
      <w:pPr>
        <w:spacing w:after="0" w:line="154"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In 2019, the company entered into treasury rate lock agreements with notonal amounts totaling $10.0 billion to hedge exposure to variability in future cash fows resultng from changes in interest rates related to the issuance of long-term debt in connecton with the acquisiton of Allergan. The treasury rate lock agreements were designated as cash fow hedges and recorded at fair value. The agreements were net setled upon issuance of the senior notes in 2019 and the resultng net gain was recognized in AOCI. This gain is reclassifed to interest expense, net over the term of the related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487680</wp:posOffset>
            </wp:positionV>
            <wp:extent cx="51435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14</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6" w:name="page17"/>
    <w:bookmarkEnd w:id="16"/>
    <w:p>
      <w:pPr>
        <w:ind w:right="20"/>
        <w:spacing w:after="0" w:line="235" w:lineRule="auto"/>
        <w:rPr>
          <w:sz w:val="20"/>
          <w:szCs w:val="20"/>
          <w:color w:val="auto"/>
        </w:rPr>
      </w:pPr>
      <w:r>
        <w:rPr>
          <w:rFonts w:ascii="Calibri" w:cs="Calibri" w:eastAsia="Calibri" w:hAnsi="Calibri"/>
          <w:sz w:val="18"/>
          <w:szCs w:val="18"/>
          <w:color w:val="auto"/>
        </w:rPr>
        <w:t>In June 2023, the company entered into a cross-currency swap contract that matured in November 2023 with a notonal amount totaling €433 million to hedge the company’s exposure to changes in future cash fows of foreign currency denominated debt related to changes in foreign exchange rates. The cross-currency swap contract was designated as a cash fow hedge and efectvely converted the interest and principal payments of the related foreign currency denominated debt to U.S. dollars. The unrealized gains and losses on the contract were included in AOCI and reclassifed to net foreign exchange loss over the term of the related debt.</w:t>
      </w:r>
    </w:p>
    <w:p>
      <w:pPr>
        <w:spacing w:after="0" w:line="13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Resultng gains or losses are refected in net foreign exchange gain or loss in the condensed consolidated statements of earnings and are generally ofset by losses or gains on the foreign currency exposure being managed. These contracts had notonal amounts totaling $8.6 billion at June 30, 2024 and $7.9 billion at December 31, 2023.</w:t>
      </w:r>
    </w:p>
    <w:p>
      <w:pPr>
        <w:spacing w:after="0" w:line="152"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The company also uses foreign currency forward exchange contracts or foreign currency denominated debt to hedge its net investments in certain foreign subsidiaries and afliates. The company had an aggregate principal amount of senior Euro notes designated as net investment hedges of €3.2 billion at June 30, 2024 and €5.4 billion at December 31, 2023. In additon, the company had foreign currency forward exchange contracts designated as net investment hedges with notonal amounts totaling €7.1 billion, SEK1.9 billion, CAD750 million and CHF70 million at June 30, 2024 and €4.9 billion, SEK1.4 billion, CAD750 million and CHF50 million at December 31, 2023. The company uses the spot method of assessing hedge efectveness for derivatve instruments designated as net investment hedges. Realized and unrealized gains and losses from these hedges are included in AOCI and the inital fair value of hedge components excluded from the assessment of efectveness is recognized in interest expense, net over the life of the hedging instrument.</w:t>
      </w:r>
    </w:p>
    <w:p>
      <w:pPr>
        <w:spacing w:after="0" w:line="141"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company is a party to interest rate swap contracts designated as fair value hedges with notonal amounts totaling $3.5 billion at June 30, 2024 and $5.0 billion at December 31, 2023. The efect of the hedge contracts is to change a fxed-rate interest obligaton to a foatng rate for that porton of the debt. AbbVie records the contracts at fair value and adjusts the carrying amount of the fxed-rate debt by an ofsetng amount.</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No amounts are excluded from the assessment of efectveness for cash fow hedges or fair value hedges.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amounts and locaton of AbbVie’s derivatve instruments on the condensed 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800" w:type="dxa"/>
            <w:vAlign w:val="bottom"/>
            <w:gridSpan w:val="2"/>
          </w:tcPr>
          <w:p>
            <w:pPr>
              <w:jc w:val="right"/>
              <w:ind w:right="429"/>
              <w:spacing w:after="0"/>
              <w:rPr>
                <w:sz w:val="20"/>
                <w:szCs w:val="20"/>
                <w:color w:val="auto"/>
              </w:rPr>
            </w:pPr>
            <w:r>
              <w:rPr>
                <w:rFonts w:ascii="Calibri" w:cs="Calibri" w:eastAsia="Calibri" w:hAnsi="Calibri"/>
                <w:sz w:val="14"/>
                <w:szCs w:val="14"/>
                <w:b w:val="1"/>
                <w:bCs w:val="1"/>
                <w:color w:val="auto"/>
              </w:rPr>
              <w:t>Fair value –</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jc w:val="right"/>
              <w:ind w:right="409"/>
              <w:spacing w:after="0"/>
              <w:rPr>
                <w:sz w:val="20"/>
                <w:szCs w:val="20"/>
                <w:color w:val="auto"/>
              </w:rPr>
            </w:pPr>
            <w:r>
              <w:rPr>
                <w:rFonts w:ascii="Calibri" w:cs="Calibri" w:eastAsia="Calibri" w:hAnsi="Calibri"/>
                <w:sz w:val="14"/>
                <w:szCs w:val="14"/>
                <w:b w:val="1"/>
                <w:bCs w:val="1"/>
                <w:color w:val="auto"/>
              </w:rPr>
              <w:t>Fair value –</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Derivatves in asset positon</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Derivatves in liability positon</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880" w:type="dxa"/>
            <w:vAlign w:val="bottom"/>
            <w:vMerge w:val="restart"/>
          </w:tcPr>
          <w:p>
            <w:pPr>
              <w:jc w:val="right"/>
              <w:ind w:right="308"/>
              <w:spacing w:after="0"/>
              <w:rPr>
                <w:sz w:val="20"/>
                <w:szCs w:val="20"/>
                <w:color w:val="auto"/>
              </w:rPr>
            </w:pPr>
            <w:r>
              <w:rPr>
                <w:rFonts w:ascii="Calibri" w:cs="Calibri" w:eastAsia="Calibri" w:hAnsi="Calibri"/>
                <w:sz w:val="14"/>
                <w:szCs w:val="14"/>
                <w:b w:val="1"/>
                <w:bCs w:val="1"/>
                <w:color w:val="auto"/>
              </w:rPr>
              <w:t>Balance sheet capton</w:t>
            </w:r>
          </w:p>
        </w:tc>
        <w:tc>
          <w:tcPr>
            <w:tcW w:w="920" w:type="dxa"/>
            <w:vAlign w:val="bottom"/>
          </w:tcPr>
          <w:p>
            <w:pPr>
              <w:jc w:val="right"/>
              <w:ind w:right="249"/>
              <w:spacing w:after="0" w:line="127" w:lineRule="exact"/>
              <w:rPr>
                <w:sz w:val="20"/>
                <w:szCs w:val="20"/>
                <w:color w:val="auto"/>
              </w:rPr>
            </w:pPr>
            <w:r>
              <w:rPr>
                <w:rFonts w:ascii="Calibri" w:cs="Calibri" w:eastAsia="Calibri" w:hAnsi="Calibri"/>
                <w:sz w:val="13"/>
                <w:szCs w:val="13"/>
                <w:b w:val="1"/>
                <w:bCs w:val="1"/>
                <w:color w:val="auto"/>
              </w:rPr>
              <w:t>June 30,</w:t>
            </w:r>
          </w:p>
        </w:tc>
        <w:tc>
          <w:tcPr>
            <w:tcW w:w="100" w:type="dxa"/>
            <w:vAlign w:val="bottom"/>
          </w:tcPr>
          <w:p>
            <w:pPr>
              <w:spacing w:after="0"/>
              <w:rPr>
                <w:sz w:val="11"/>
                <w:szCs w:val="11"/>
                <w:color w:val="auto"/>
              </w:rPr>
            </w:pPr>
          </w:p>
        </w:tc>
        <w:tc>
          <w:tcPr>
            <w:tcW w:w="1040" w:type="dxa"/>
            <w:vAlign w:val="bottom"/>
          </w:tcPr>
          <w:p>
            <w:pPr>
              <w:jc w:val="right"/>
              <w:ind w:right="109"/>
              <w:spacing w:after="0" w:line="127" w:lineRule="exact"/>
              <w:rPr>
                <w:sz w:val="20"/>
                <w:szCs w:val="20"/>
                <w:color w:val="auto"/>
              </w:rPr>
            </w:pPr>
            <w:r>
              <w:rPr>
                <w:rFonts w:ascii="Calibri" w:cs="Calibri" w:eastAsia="Calibri" w:hAnsi="Calibri"/>
                <w:sz w:val="13"/>
                <w:szCs w:val="13"/>
                <w:b w:val="1"/>
                <w:bCs w:val="1"/>
                <w:color w:val="auto"/>
              </w:rPr>
              <w:t>December 31,</w:t>
            </w:r>
          </w:p>
        </w:tc>
        <w:tc>
          <w:tcPr>
            <w:tcW w:w="100" w:type="dxa"/>
            <w:vAlign w:val="bottom"/>
            <w:vMerge w:val="continue"/>
          </w:tcPr>
          <w:p>
            <w:pPr>
              <w:spacing w:after="0"/>
              <w:rPr>
                <w:sz w:val="11"/>
                <w:szCs w:val="11"/>
                <w:color w:val="auto"/>
              </w:rPr>
            </w:pPr>
          </w:p>
        </w:tc>
        <w:tc>
          <w:tcPr>
            <w:tcW w:w="1880" w:type="dxa"/>
            <w:vAlign w:val="bottom"/>
            <w:vMerge w:val="restart"/>
          </w:tcPr>
          <w:p>
            <w:pPr>
              <w:jc w:val="right"/>
              <w:ind w:right="308"/>
              <w:spacing w:after="0"/>
              <w:rPr>
                <w:sz w:val="20"/>
                <w:szCs w:val="20"/>
                <w:color w:val="auto"/>
              </w:rPr>
            </w:pPr>
            <w:r>
              <w:rPr>
                <w:rFonts w:ascii="Calibri" w:cs="Calibri" w:eastAsia="Calibri" w:hAnsi="Calibri"/>
                <w:sz w:val="14"/>
                <w:szCs w:val="14"/>
                <w:b w:val="1"/>
                <w:bCs w:val="1"/>
                <w:color w:val="auto"/>
              </w:rPr>
              <w:t>Balance sheet capton</w:t>
            </w:r>
          </w:p>
        </w:tc>
        <w:tc>
          <w:tcPr>
            <w:tcW w:w="920" w:type="dxa"/>
            <w:vAlign w:val="bottom"/>
          </w:tcPr>
          <w:p>
            <w:pPr>
              <w:jc w:val="right"/>
              <w:ind w:right="229"/>
              <w:spacing w:after="0" w:line="127" w:lineRule="exact"/>
              <w:rPr>
                <w:sz w:val="20"/>
                <w:szCs w:val="20"/>
                <w:color w:val="auto"/>
              </w:rPr>
            </w:pPr>
            <w:r>
              <w:rPr>
                <w:rFonts w:ascii="Calibri" w:cs="Calibri" w:eastAsia="Calibri" w:hAnsi="Calibri"/>
                <w:sz w:val="13"/>
                <w:szCs w:val="13"/>
                <w:b w:val="1"/>
                <w:bCs w:val="1"/>
                <w:color w:val="auto"/>
              </w:rPr>
              <w:t>June 30,</w:t>
            </w:r>
          </w:p>
        </w:tc>
        <w:tc>
          <w:tcPr>
            <w:tcW w:w="140" w:type="dxa"/>
            <w:vAlign w:val="bottom"/>
          </w:tcPr>
          <w:p>
            <w:pPr>
              <w:spacing w:after="0"/>
              <w:rPr>
                <w:sz w:val="11"/>
                <w:szCs w:val="11"/>
                <w:color w:val="auto"/>
              </w:rPr>
            </w:pPr>
          </w:p>
        </w:tc>
        <w:tc>
          <w:tcPr>
            <w:tcW w:w="1040" w:type="dxa"/>
            <w:vAlign w:val="bottom"/>
          </w:tcPr>
          <w:p>
            <w:pPr>
              <w:jc w:val="right"/>
              <w:ind w:right="109"/>
              <w:spacing w:after="0" w:line="127" w:lineRule="exact"/>
              <w:rPr>
                <w:sz w:val="20"/>
                <w:szCs w:val="20"/>
                <w:color w:val="auto"/>
              </w:rPr>
            </w:pPr>
            <w:r>
              <w:rPr>
                <w:rFonts w:ascii="Calibri" w:cs="Calibri" w:eastAsia="Calibri" w:hAnsi="Calibri"/>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320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Calibri" w:cs="Calibri" w:eastAsia="Calibri" w:hAnsi="Calibri"/>
                <w:sz w:val="14"/>
                <w:szCs w:val="14"/>
                <w:b w:val="1"/>
                <w:bCs w:val="1"/>
                <w:color w:val="auto"/>
              </w:rPr>
              <w:t>2024</w:t>
            </w:r>
          </w:p>
        </w:tc>
        <w:tc>
          <w:tcPr>
            <w:tcW w:w="140" w:type="dxa"/>
            <w:vAlign w:val="bottom"/>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64" w:lineRule="exact"/>
              <w:rPr>
                <w:sz w:val="20"/>
                <w:szCs w:val="20"/>
                <w:color w:val="auto"/>
              </w:rPr>
            </w:pPr>
            <w:r>
              <w:rPr>
                <w:rFonts w:ascii="Calibri" w:cs="Calibri" w:eastAsia="Calibri" w:hAnsi="Calibri"/>
                <w:sz w:val="14"/>
                <w:szCs w:val="14"/>
                <w:color w:val="auto"/>
              </w:rPr>
              <w:t>Foreign currency forward exchange contracts</w:t>
            </w: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20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148"/>
              <w:spacing w:after="0" w:line="122" w:lineRule="exact"/>
              <w:rPr>
                <w:sz w:val="20"/>
                <w:szCs w:val="20"/>
                <w:color w:val="auto"/>
              </w:rPr>
            </w:pPr>
            <w:r>
              <w:rPr>
                <w:rFonts w:ascii="Calibri" w:cs="Calibri" w:eastAsia="Calibri" w:hAnsi="Calibri"/>
                <w:sz w:val="13"/>
                <w:szCs w:val="13"/>
                <w:color w:val="auto"/>
              </w:rPr>
              <w:t>Accounts payable and</w:t>
            </w: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Designated as cash fow hedges</w:t>
            </w:r>
          </w:p>
        </w:tc>
        <w:tc>
          <w:tcPr>
            <w:tcW w:w="188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Prepaid expenses and other $</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Calibri" w:cs="Calibri" w:eastAsia="Calibri" w:hAnsi="Calibri"/>
                <w:sz w:val="14"/>
                <w:szCs w:val="14"/>
                <w:color w:val="auto"/>
              </w:rPr>
              <w:t>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accrued liabilites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32</w:t>
            </w:r>
          </w:p>
        </w:tc>
        <w:tc>
          <w:tcPr>
            <w:tcW w:w="0" w:type="dxa"/>
            <w:vAlign w:val="bottom"/>
          </w:tcPr>
          <w:p>
            <w:pPr>
              <w:spacing w:after="0"/>
              <w:rPr>
                <w:sz w:val="1"/>
                <w:szCs w:val="1"/>
                <w:color w:val="auto"/>
              </w:rPr>
            </w:pPr>
          </w:p>
        </w:tc>
      </w:tr>
      <w:tr>
        <w:trPr>
          <w:trHeight w:val="170"/>
        </w:trPr>
        <w:tc>
          <w:tcPr>
            <w:tcW w:w="3200" w:type="dxa"/>
            <w:vAlign w:val="bottom"/>
          </w:tcPr>
          <w:p>
            <w:pPr>
              <w:ind w:left="220"/>
              <w:spacing w:after="0"/>
              <w:rPr>
                <w:sz w:val="20"/>
                <w:szCs w:val="20"/>
                <w:color w:val="auto"/>
              </w:rPr>
            </w:pPr>
            <w:r>
              <w:rPr>
                <w:rFonts w:ascii="Calibri" w:cs="Calibri" w:eastAsia="Calibri" w:hAnsi="Calibri"/>
                <w:sz w:val="14"/>
                <w:szCs w:val="14"/>
                <w:color w:val="auto"/>
              </w:rPr>
              <w:t>Designated as cash fow hedges</w:t>
            </w:r>
          </w:p>
        </w:tc>
        <w:tc>
          <w:tcPr>
            <w:tcW w:w="1880" w:type="dxa"/>
            <w:vAlign w:val="bottom"/>
          </w:tcPr>
          <w:p>
            <w:pPr>
              <w:jc w:val="right"/>
              <w:ind w:right="148"/>
              <w:spacing w:after="0"/>
              <w:rPr>
                <w:sz w:val="20"/>
                <w:szCs w:val="20"/>
                <w:color w:val="auto"/>
              </w:rPr>
            </w:pPr>
            <w:r>
              <w:rPr>
                <w:rFonts w:ascii="Calibri" w:cs="Calibri" w:eastAsia="Calibri" w:hAnsi="Calibri"/>
                <w:sz w:val="14"/>
                <w:szCs w:val="14"/>
                <w:color w:val="auto"/>
              </w:rPr>
              <w:t>Other assets</w:t>
            </w:r>
          </w:p>
        </w:tc>
        <w:tc>
          <w:tcPr>
            <w:tcW w:w="920" w:type="dxa"/>
            <w:vAlign w:val="bottom"/>
          </w:tcPr>
          <w:p>
            <w:pPr>
              <w:jc w:val="right"/>
              <w:ind w:right="9"/>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1880" w:type="dxa"/>
            <w:vAlign w:val="bottom"/>
          </w:tcPr>
          <w:p>
            <w:pPr>
              <w:jc w:val="right"/>
              <w:ind w:right="148"/>
              <w:spacing w:after="0"/>
              <w:rPr>
                <w:sz w:val="20"/>
                <w:szCs w:val="20"/>
                <w:color w:val="auto"/>
              </w:rPr>
            </w:pPr>
            <w:r>
              <w:rPr>
                <w:rFonts w:ascii="Calibri" w:cs="Calibri" w:eastAsia="Calibri" w:hAnsi="Calibri"/>
                <w:sz w:val="14"/>
                <w:szCs w:val="14"/>
                <w:color w:val="auto"/>
              </w:rPr>
              <w:t>Other long-term liabilites</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20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Designated as net investment hedges</w:t>
            </w:r>
          </w:p>
        </w:tc>
        <w:tc>
          <w:tcPr>
            <w:tcW w:w="1880" w:type="dxa"/>
            <w:vAlign w:val="bottom"/>
            <w:vMerge w:val="restart"/>
            <w:shd w:val="clear" w:color="auto" w:fill="CCEEFF"/>
          </w:tcPr>
          <w:p>
            <w:pPr>
              <w:jc w:val="right"/>
              <w:ind w:right="148"/>
              <w:spacing w:after="0"/>
              <w:rPr>
                <w:sz w:val="20"/>
                <w:szCs w:val="20"/>
                <w:color w:val="auto"/>
              </w:rPr>
            </w:pPr>
            <w:r>
              <w:rPr>
                <w:rFonts w:ascii="Calibri" w:cs="Calibri" w:eastAsia="Calibri" w:hAnsi="Calibri"/>
                <w:sz w:val="14"/>
                <w:szCs w:val="14"/>
                <w:color w:val="auto"/>
              </w:rPr>
              <w:t>Prepaid expenses and other</w:t>
            </w:r>
          </w:p>
        </w:tc>
        <w:tc>
          <w:tcPr>
            <w:tcW w:w="920" w:type="dxa"/>
            <w:vAlign w:val="bottom"/>
            <w:vMerge w:val="restart"/>
            <w:shd w:val="clear" w:color="auto" w:fill="CCEEFF"/>
          </w:tcPr>
          <w:p>
            <w:pPr>
              <w:jc w:val="right"/>
              <w:ind w:right="9"/>
              <w:spacing w:after="0"/>
              <w:rPr>
                <w:sz w:val="20"/>
                <w:szCs w:val="20"/>
                <w:color w:val="auto"/>
              </w:rPr>
            </w:pPr>
            <w:r>
              <w:rPr>
                <w:rFonts w:ascii="Calibri" w:cs="Calibri" w:eastAsia="Calibri" w:hAnsi="Calibri"/>
                <w:sz w:val="14"/>
                <w:szCs w:val="14"/>
                <w:color w:val="auto"/>
              </w:rPr>
              <w:t>78</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13</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right"/>
              <w:ind w:right="148"/>
              <w:spacing w:after="0" w:line="134" w:lineRule="exact"/>
              <w:rPr>
                <w:sz w:val="20"/>
                <w:szCs w:val="20"/>
                <w:color w:val="auto"/>
              </w:rPr>
            </w:pPr>
            <w:r>
              <w:rPr>
                <w:rFonts w:ascii="Calibri" w:cs="Calibri" w:eastAsia="Calibri" w:hAnsi="Calibri"/>
                <w:sz w:val="14"/>
                <w:szCs w:val="14"/>
                <w:color w:val="auto"/>
              </w:rPr>
              <w:t>Accounts payable and</w:t>
            </w:r>
          </w:p>
        </w:tc>
        <w:tc>
          <w:tcPr>
            <w:tcW w:w="9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17</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66</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vMerge w:val="continue"/>
            <w:shd w:val="clear" w:color="auto" w:fill="CCEEFF"/>
          </w:tcPr>
          <w:p>
            <w:pPr>
              <w:spacing w:after="0"/>
              <w:rPr>
                <w:sz w:val="15"/>
                <w:szCs w:val="15"/>
                <w:color w:val="auto"/>
              </w:rPr>
            </w:pPr>
          </w:p>
        </w:tc>
        <w:tc>
          <w:tcPr>
            <w:tcW w:w="1880" w:type="dxa"/>
            <w:vAlign w:val="bottom"/>
            <w:tcBorders>
              <w:bottom w:val="single" w:sz="8" w:color="CCEEFF"/>
            </w:tcBorders>
            <w:vMerge w:val="continue"/>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ind w:right="148"/>
              <w:spacing w:after="0"/>
              <w:rPr>
                <w:sz w:val="20"/>
                <w:szCs w:val="20"/>
                <w:color w:val="auto"/>
              </w:rPr>
            </w:pPr>
            <w:r>
              <w:rPr>
                <w:rFonts w:ascii="Calibri" w:cs="Calibri" w:eastAsia="Calibri" w:hAnsi="Calibri"/>
                <w:sz w:val="14"/>
                <w:szCs w:val="14"/>
                <w:color w:val="auto"/>
              </w:rPr>
              <w:t>accrued liabilites</w:t>
            </w: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20"/>
              <w:spacing w:after="0"/>
              <w:rPr>
                <w:sz w:val="20"/>
                <w:szCs w:val="20"/>
                <w:color w:val="auto"/>
              </w:rPr>
            </w:pPr>
            <w:r>
              <w:rPr>
                <w:rFonts w:ascii="Calibri" w:cs="Calibri" w:eastAsia="Calibri" w:hAnsi="Calibri"/>
                <w:sz w:val="14"/>
                <w:szCs w:val="14"/>
                <w:color w:val="auto"/>
              </w:rPr>
              <w:t>Designated as net investment hedges</w:t>
            </w:r>
          </w:p>
        </w:tc>
        <w:tc>
          <w:tcPr>
            <w:tcW w:w="1880" w:type="dxa"/>
            <w:vAlign w:val="bottom"/>
          </w:tcPr>
          <w:p>
            <w:pPr>
              <w:jc w:val="right"/>
              <w:ind w:right="148"/>
              <w:spacing w:after="0"/>
              <w:rPr>
                <w:sz w:val="20"/>
                <w:szCs w:val="20"/>
                <w:color w:val="auto"/>
              </w:rPr>
            </w:pPr>
            <w:r>
              <w:rPr>
                <w:rFonts w:ascii="Calibri" w:cs="Calibri" w:eastAsia="Calibri" w:hAnsi="Calibri"/>
                <w:sz w:val="14"/>
                <w:szCs w:val="14"/>
                <w:color w:val="auto"/>
              </w:rPr>
              <w:t>Other assets</w:t>
            </w:r>
          </w:p>
        </w:tc>
        <w:tc>
          <w:tcPr>
            <w:tcW w:w="920" w:type="dxa"/>
            <w:vAlign w:val="bottom"/>
          </w:tcPr>
          <w:p>
            <w:pPr>
              <w:jc w:val="right"/>
              <w:ind w:right="9"/>
              <w:spacing w:after="0"/>
              <w:rPr>
                <w:sz w:val="20"/>
                <w:szCs w:val="20"/>
                <w:color w:val="auto"/>
              </w:rPr>
            </w:pPr>
            <w:r>
              <w:rPr>
                <w:rFonts w:ascii="Calibri" w:cs="Calibri" w:eastAsia="Calibri" w:hAnsi="Calibri"/>
                <w:sz w:val="14"/>
                <w:szCs w:val="14"/>
                <w:color w:val="auto"/>
              </w:rPr>
              <w:t>55</w:t>
            </w: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w:t>
            </w:r>
          </w:p>
        </w:tc>
        <w:tc>
          <w:tcPr>
            <w:tcW w:w="1880" w:type="dxa"/>
            <w:vAlign w:val="bottom"/>
          </w:tcPr>
          <w:p>
            <w:pPr>
              <w:jc w:val="right"/>
              <w:ind w:right="148"/>
              <w:spacing w:after="0"/>
              <w:rPr>
                <w:sz w:val="20"/>
                <w:szCs w:val="20"/>
                <w:color w:val="auto"/>
              </w:rPr>
            </w:pPr>
            <w:r>
              <w:rPr>
                <w:rFonts w:ascii="Calibri" w:cs="Calibri" w:eastAsia="Calibri" w:hAnsi="Calibri"/>
                <w:sz w:val="14"/>
                <w:szCs w:val="14"/>
                <w:color w:val="auto"/>
              </w:rPr>
              <w:t>Other long-term liabilites</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4</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69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3200" w:type="dxa"/>
            <w:vAlign w:val="bottom"/>
            <w:vMerge w:val="restart"/>
            <w:shd w:val="clear" w:color="auto" w:fill="CCEEFF"/>
          </w:tcPr>
          <w:p>
            <w:pPr>
              <w:ind w:left="220"/>
              <w:spacing w:after="0"/>
              <w:rPr>
                <w:sz w:val="20"/>
                <w:szCs w:val="20"/>
                <w:color w:val="auto"/>
              </w:rPr>
            </w:pPr>
            <w:r>
              <w:rPr>
                <w:rFonts w:ascii="Calibri" w:cs="Calibri" w:eastAsia="Calibri" w:hAnsi="Calibri"/>
                <w:sz w:val="14"/>
                <w:szCs w:val="14"/>
                <w:color w:val="auto"/>
              </w:rPr>
              <w:t>Not designated as hedges</w:t>
            </w:r>
          </w:p>
        </w:tc>
        <w:tc>
          <w:tcPr>
            <w:tcW w:w="1880" w:type="dxa"/>
            <w:vAlign w:val="bottom"/>
            <w:vMerge w:val="restart"/>
            <w:shd w:val="clear" w:color="auto" w:fill="CCEEFF"/>
          </w:tcPr>
          <w:p>
            <w:pPr>
              <w:jc w:val="right"/>
              <w:ind w:right="148"/>
              <w:spacing w:after="0"/>
              <w:rPr>
                <w:sz w:val="20"/>
                <w:szCs w:val="20"/>
                <w:color w:val="auto"/>
              </w:rPr>
            </w:pPr>
            <w:r>
              <w:rPr>
                <w:rFonts w:ascii="Calibri" w:cs="Calibri" w:eastAsia="Calibri" w:hAnsi="Calibri"/>
                <w:sz w:val="14"/>
                <w:szCs w:val="14"/>
                <w:color w:val="auto"/>
              </w:rPr>
              <w:t>Prepaid expenses and other</w:t>
            </w:r>
          </w:p>
        </w:tc>
        <w:tc>
          <w:tcPr>
            <w:tcW w:w="920" w:type="dxa"/>
            <w:vAlign w:val="bottom"/>
            <w:vMerge w:val="restart"/>
            <w:shd w:val="clear" w:color="auto" w:fill="CCEEFF"/>
          </w:tcPr>
          <w:p>
            <w:pPr>
              <w:jc w:val="right"/>
              <w:ind w:right="9"/>
              <w:spacing w:after="0"/>
              <w:rPr>
                <w:sz w:val="20"/>
                <w:szCs w:val="20"/>
                <w:color w:val="auto"/>
              </w:rPr>
            </w:pPr>
            <w:r>
              <w:rPr>
                <w:rFonts w:ascii="Calibri" w:cs="Calibri" w:eastAsia="Calibri" w:hAnsi="Calibri"/>
                <w:sz w:val="14"/>
                <w:szCs w:val="14"/>
                <w:color w:val="auto"/>
              </w:rPr>
              <w:t>37</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41</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right"/>
              <w:ind w:right="148"/>
              <w:spacing w:after="0" w:line="134" w:lineRule="exact"/>
              <w:rPr>
                <w:sz w:val="20"/>
                <w:szCs w:val="20"/>
                <w:color w:val="auto"/>
              </w:rPr>
            </w:pPr>
            <w:r>
              <w:rPr>
                <w:rFonts w:ascii="Calibri" w:cs="Calibri" w:eastAsia="Calibri" w:hAnsi="Calibri"/>
                <w:sz w:val="14"/>
                <w:szCs w:val="14"/>
                <w:color w:val="auto"/>
              </w:rPr>
              <w:t>Accounts payable and</w:t>
            </w:r>
          </w:p>
        </w:tc>
        <w:tc>
          <w:tcPr>
            <w:tcW w:w="92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14</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Calibri" w:cs="Calibri" w:eastAsia="Calibri" w:hAnsi="Calibri"/>
                <w:sz w:val="14"/>
                <w:szCs w:val="14"/>
                <w:color w:val="auto"/>
              </w:rPr>
              <w:t>36</w:t>
            </w: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vMerge w:val="continue"/>
            <w:shd w:val="clear" w:color="auto" w:fill="CCEEFF"/>
          </w:tcPr>
          <w:p>
            <w:pPr>
              <w:spacing w:after="0"/>
              <w:rPr>
                <w:sz w:val="15"/>
                <w:szCs w:val="15"/>
                <w:color w:val="auto"/>
              </w:rPr>
            </w:pPr>
          </w:p>
        </w:tc>
        <w:tc>
          <w:tcPr>
            <w:tcW w:w="1880" w:type="dxa"/>
            <w:vAlign w:val="bottom"/>
            <w:tcBorders>
              <w:bottom w:val="single" w:sz="8" w:color="CCEEFF"/>
            </w:tcBorders>
            <w:vMerge w:val="continue"/>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ind w:right="148"/>
              <w:spacing w:after="0"/>
              <w:rPr>
                <w:sz w:val="20"/>
                <w:szCs w:val="20"/>
                <w:color w:val="auto"/>
              </w:rPr>
            </w:pPr>
            <w:r>
              <w:rPr>
                <w:rFonts w:ascii="Calibri" w:cs="Calibri" w:eastAsia="Calibri" w:hAnsi="Calibri"/>
                <w:sz w:val="14"/>
                <w:szCs w:val="14"/>
                <w:color w:val="auto"/>
              </w:rPr>
              <w:t>accrued liabilites</w:t>
            </w: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Calibri" w:cs="Calibri" w:eastAsia="Calibri" w:hAnsi="Calibri"/>
                <w:sz w:val="14"/>
                <w:szCs w:val="14"/>
                <w:color w:val="auto"/>
              </w:rPr>
              <w:t>Interest rate swap contracts</w:t>
            </w: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4"/>
                <w:szCs w:val="14"/>
                <w:color w:val="auto"/>
              </w:rPr>
              <w:t>Designated as fair value hedges</w:t>
            </w:r>
          </w:p>
        </w:tc>
        <w:tc>
          <w:tcPr>
            <w:tcW w:w="1880" w:type="dxa"/>
            <w:vAlign w:val="bottom"/>
            <w:tcBorders>
              <w:bottom w:val="single" w:sz="8" w:color="CCEEFF"/>
            </w:tcBorders>
            <w:shd w:val="clear" w:color="auto" w:fill="CCEEFF"/>
          </w:tcPr>
          <w:p>
            <w:pPr>
              <w:jc w:val="right"/>
              <w:ind w:right="148"/>
              <w:spacing w:after="0"/>
              <w:rPr>
                <w:sz w:val="20"/>
                <w:szCs w:val="20"/>
                <w:color w:val="auto"/>
              </w:rPr>
            </w:pPr>
            <w:r>
              <w:rPr>
                <w:rFonts w:ascii="Calibri" w:cs="Calibri" w:eastAsia="Calibri" w:hAnsi="Calibri"/>
                <w:sz w:val="14"/>
                <w:szCs w:val="14"/>
                <w:color w:val="auto"/>
              </w:rPr>
              <w:t>Other assets</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w:t>
            </w:r>
          </w:p>
        </w:tc>
        <w:tc>
          <w:tcPr>
            <w:tcW w:w="1880" w:type="dxa"/>
            <w:vAlign w:val="bottom"/>
            <w:tcBorders>
              <w:bottom w:val="single" w:sz="8" w:color="CCEEFF"/>
            </w:tcBorders>
            <w:shd w:val="clear" w:color="auto" w:fill="CCEEFF"/>
          </w:tcPr>
          <w:p>
            <w:pPr>
              <w:jc w:val="right"/>
              <w:ind w:right="148"/>
              <w:spacing w:after="0"/>
              <w:rPr>
                <w:sz w:val="20"/>
                <w:szCs w:val="20"/>
                <w:color w:val="auto"/>
              </w:rPr>
            </w:pPr>
            <w:r>
              <w:rPr>
                <w:rFonts w:ascii="Calibri" w:cs="Calibri" w:eastAsia="Calibri" w:hAnsi="Calibri"/>
                <w:sz w:val="14"/>
                <w:szCs w:val="14"/>
                <w:color w:val="auto"/>
              </w:rPr>
              <w:t>Other long-term liabilites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304</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293</w:t>
            </w:r>
          </w:p>
        </w:tc>
        <w:tc>
          <w:tcPr>
            <w:tcW w:w="0" w:type="dxa"/>
            <w:vAlign w:val="bottom"/>
          </w:tcPr>
          <w:p>
            <w:pPr>
              <w:spacing w:after="0"/>
              <w:rPr>
                <w:sz w:val="1"/>
                <w:szCs w:val="1"/>
                <w:color w:val="auto"/>
              </w:rPr>
            </w:pPr>
          </w:p>
        </w:tc>
      </w:tr>
      <w:tr>
        <w:trPr>
          <w:trHeight w:val="163"/>
        </w:trPr>
        <w:tc>
          <w:tcPr>
            <w:tcW w:w="320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derivatves</w:t>
            </w:r>
          </w:p>
        </w:tc>
        <w:tc>
          <w:tcPr>
            <w:tcW w:w="18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920" w:type="dxa"/>
            <w:vAlign w:val="bottom"/>
            <w:tcBorders>
              <w:top w:val="single" w:sz="8" w:color="auto"/>
            </w:tcBorders>
          </w:tcPr>
          <w:p>
            <w:pPr>
              <w:jc w:val="right"/>
              <w:ind w:right="9"/>
              <w:spacing w:after="0" w:line="164" w:lineRule="exact"/>
              <w:rPr>
                <w:sz w:val="20"/>
                <w:szCs w:val="20"/>
                <w:color w:val="auto"/>
              </w:rPr>
            </w:pPr>
            <w:r>
              <w:rPr>
                <w:rFonts w:ascii="Calibri" w:cs="Calibri" w:eastAsia="Calibri" w:hAnsi="Calibri"/>
                <w:sz w:val="14"/>
                <w:szCs w:val="14"/>
                <w:color w:val="auto"/>
              </w:rPr>
              <w:t>192</w:t>
            </w:r>
          </w:p>
        </w:tc>
        <w:tc>
          <w:tcPr>
            <w:tcW w:w="1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66</w:t>
            </w:r>
          </w:p>
        </w:tc>
        <w:tc>
          <w:tcPr>
            <w:tcW w:w="1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9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341</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496</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While certain derivatves are subject to netng arrangements with the company’s counterpartes, the company does not ofset derivatve assets and liabilites within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15</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color w:val="auto"/>
        </w:rPr>
        <w:t>The following table presents the pre-tax amounts of gains (losses) from derivatve instruments recognized in other comprehensive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600" w:type="dxa"/>
            <w:vAlign w:val="bottom"/>
            <w:gridSpan w:val="3"/>
          </w:tcPr>
          <w:p>
            <w:pPr>
              <w:ind w:left="320"/>
              <w:spacing w:after="0"/>
              <w:rPr>
                <w:sz w:val="20"/>
                <w:szCs w:val="20"/>
                <w:color w:val="auto"/>
              </w:rPr>
            </w:pPr>
            <w:r>
              <w:rPr>
                <w:rFonts w:ascii="Calibri" w:cs="Calibri" w:eastAsia="Calibri" w:hAnsi="Calibri"/>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center"/>
              <w:ind w:right="11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7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right"/>
              <w:ind w:right="339"/>
              <w:spacing w:after="0"/>
              <w:rPr>
                <w:sz w:val="20"/>
                <w:szCs w:val="20"/>
                <w:color w:val="auto"/>
              </w:rPr>
            </w:pPr>
            <w:r>
              <w:rPr>
                <w:rFonts w:ascii="Calibri" w:cs="Calibri" w:eastAsia="Calibri" w:hAnsi="Calibri"/>
                <w:sz w:val="14"/>
                <w:szCs w:val="14"/>
                <w:b w:val="1"/>
                <w:bCs w:val="1"/>
                <w:color w:val="auto"/>
              </w:rPr>
              <w:t>June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359"/>
              <w:spacing w:after="0"/>
              <w:rPr>
                <w:sz w:val="20"/>
                <w:szCs w:val="20"/>
                <w:color w:val="auto"/>
              </w:rPr>
            </w:pPr>
            <w:r>
              <w:rPr>
                <w:rFonts w:ascii="Calibri" w:cs="Calibri" w:eastAsia="Calibri" w:hAnsi="Calibri"/>
                <w:sz w:val="14"/>
                <w:szCs w:val="14"/>
                <w:b w:val="1"/>
                <w:bCs w:val="1"/>
                <w:color w:val="auto"/>
              </w:rPr>
              <w:t>June 30,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400" w:type="dxa"/>
            <w:vAlign w:val="bottom"/>
            <w:vMerge w:val="continue"/>
          </w:tcPr>
          <w:p>
            <w:pPr>
              <w:spacing w:after="0"/>
              <w:rPr>
                <w:sz w:val="14"/>
                <w:szCs w:val="14"/>
                <w:color w:val="auto"/>
              </w:rPr>
            </w:pPr>
          </w:p>
        </w:tc>
        <w:tc>
          <w:tcPr>
            <w:tcW w:w="620" w:type="dxa"/>
            <w:vAlign w:val="bottom"/>
          </w:tcPr>
          <w:p>
            <w:pPr>
              <w:ind w:left="300"/>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9"/>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640" w:type="dxa"/>
            <w:vAlign w:val="bottom"/>
          </w:tcPr>
          <w:p>
            <w:pPr>
              <w:jc w:val="right"/>
              <w:ind w:right="21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7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forward exchange contracts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Designated as cash fow hedges</w:t>
            </w:r>
          </w:p>
        </w:tc>
        <w:tc>
          <w:tcPr>
            <w:tcW w:w="620" w:type="dxa"/>
            <w:vAlign w:val="bottom"/>
            <w:shd w:val="clear" w:color="auto" w:fill="CCEEFF"/>
          </w:tcPr>
          <w:p>
            <w:pPr>
              <w:jc w:val="right"/>
              <w:ind w:right="422"/>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jc w:val="right"/>
              <w:ind w:right="15"/>
              <w:spacing w:after="0"/>
              <w:rPr>
                <w:sz w:val="20"/>
                <w:szCs w:val="20"/>
                <w:color w:val="auto"/>
              </w:rPr>
            </w:pPr>
            <w:r>
              <w:rPr>
                <w:rFonts w:ascii="Calibri" w:cs="Calibri" w:eastAsia="Calibri" w:hAnsi="Calibri"/>
                <w:sz w:val="18"/>
                <w:szCs w:val="18"/>
                <w:color w:val="auto"/>
                <w:w w:val="98"/>
              </w:rPr>
              <w:t>20</w:t>
            </w:r>
          </w:p>
        </w:tc>
        <w:tc>
          <w:tcPr>
            <w:tcW w:w="680" w:type="dxa"/>
            <w:vAlign w:val="bottom"/>
            <w:shd w:val="clear" w:color="auto" w:fill="CCEEFF"/>
          </w:tcPr>
          <w:p>
            <w:pPr>
              <w:jc w:val="right"/>
              <w:ind w:right="419"/>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98"/>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7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w:t>
            </w:r>
          </w:p>
        </w:tc>
        <w:tc>
          <w:tcPr>
            <w:tcW w:w="32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6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22"/>
        </w:trPr>
        <w:tc>
          <w:tcPr>
            <w:tcW w:w="7400" w:type="dxa"/>
            <w:vAlign w:val="bottom"/>
          </w:tcPr>
          <w:p>
            <w:pPr>
              <w:ind w:left="220"/>
              <w:spacing w:after="0" w:line="215" w:lineRule="exact"/>
              <w:rPr>
                <w:sz w:val="20"/>
                <w:szCs w:val="20"/>
                <w:color w:val="auto"/>
              </w:rPr>
            </w:pPr>
            <w:r>
              <w:rPr>
                <w:rFonts w:ascii="Calibri" w:cs="Calibri" w:eastAsia="Calibri" w:hAnsi="Calibri"/>
                <w:sz w:val="18"/>
                <w:szCs w:val="18"/>
                <w:color w:val="auto"/>
              </w:rPr>
              <w:t>Designated as net investment hedges</w:t>
            </w:r>
          </w:p>
        </w:tc>
        <w:tc>
          <w:tcPr>
            <w:tcW w:w="620" w:type="dxa"/>
            <w:vAlign w:val="bottom"/>
          </w:tcPr>
          <w:p>
            <w:pPr>
              <w:spacing w:after="0"/>
              <w:rPr>
                <w:sz w:val="19"/>
                <w:szCs w:val="19"/>
                <w:color w:val="auto"/>
              </w:rPr>
            </w:pPr>
          </w:p>
        </w:tc>
        <w:tc>
          <w:tcPr>
            <w:tcW w:w="30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w w:val="98"/>
              </w:rPr>
              <w:t>88</w:t>
            </w:r>
          </w:p>
        </w:tc>
        <w:tc>
          <w:tcPr>
            <w:tcW w:w="680" w:type="dxa"/>
            <w:vAlign w:val="bottom"/>
          </w:tcPr>
          <w:p>
            <w:pPr>
              <w:spacing w:after="0"/>
              <w:rPr>
                <w:sz w:val="19"/>
                <w:szCs w:val="19"/>
                <w:color w:val="auto"/>
              </w:rPr>
            </w:pP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222</w:t>
            </w:r>
          </w:p>
        </w:tc>
        <w:tc>
          <w:tcPr>
            <w:tcW w:w="320" w:type="dxa"/>
            <w:vAlign w:val="bottom"/>
          </w:tcPr>
          <w:p>
            <w:pPr>
              <w:spacing w:after="0"/>
              <w:rPr>
                <w:sz w:val="19"/>
                <w:szCs w:val="19"/>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(88)</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Cross-currency swap contracts designated as cash fow hedges</w:t>
            </w:r>
          </w:p>
        </w:tc>
        <w:tc>
          <w:tcPr>
            <w:tcW w:w="6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Calibri" w:cs="Calibri" w:eastAsia="Calibri" w:hAnsi="Calibri"/>
                <w:sz w:val="18"/>
                <w:szCs w:val="18"/>
                <w:color w:val="auto"/>
              </w:rPr>
              <w:t>—</w:t>
            </w:r>
          </w:p>
        </w:tc>
        <w:tc>
          <w:tcPr>
            <w:tcW w:w="6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Assuming market rates remain constant through contract maturites, the company expects to reclassify pre-tax gains of $55 million into cost of products sold for foreign currency cash fow hedges and pre-tax gains of $22 million into interest expense, net for treasury rate lock agreement cash fow hedges during the next 12 months.</w:t>
      </w:r>
    </w:p>
    <w:p>
      <w:pPr>
        <w:spacing w:after="0" w:line="151"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Related to AbbVie’s non-derivatve, foreign currency denominated debt designated as net investment hedges, the company recognized in other comprehensive loss pre-tax gains of $50 million for the three months and $207 million for the six months ended June 30, 2024 and pre-tax gains of $36 million for the three months and pre-tax losses of $126 million for the six months ended June 30, 2023.</w:t>
      </w:r>
    </w:p>
    <w:p>
      <w:pPr>
        <w:spacing w:after="0" w:line="13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following table summarizes the pre-tax amounts and locaton of derivatve instrument net gains (losses) recognized in the condensed consolidated statements of earnings, including the net gains (losses) reclassifed out of AOCI into net earnings. See Note 10 for the amount of net gains (losses) reclassifed out of AOCI.</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Calibri" w:cs="Calibri" w:eastAsia="Calibri" w:hAnsi="Calibri"/>
                <w:sz w:val="14"/>
                <w:szCs w:val="14"/>
                <w:b w:val="1"/>
                <w:bCs w:val="1"/>
                <w:color w:val="auto"/>
              </w:rPr>
              <w:t>Three months ended</w:t>
            </w:r>
          </w:p>
        </w:tc>
        <w:tc>
          <w:tcPr>
            <w:tcW w:w="180" w:type="dxa"/>
            <w:vAlign w:val="bottom"/>
          </w:tcPr>
          <w:p>
            <w:pPr>
              <w:spacing w:after="0"/>
              <w:rPr>
                <w:sz w:val="14"/>
                <w:szCs w:val="14"/>
                <w:color w:val="auto"/>
              </w:rPr>
            </w:pPr>
          </w:p>
        </w:tc>
        <w:tc>
          <w:tcPr>
            <w:tcW w:w="1480" w:type="dxa"/>
            <w:vAlign w:val="bottom"/>
            <w:gridSpan w:val="3"/>
          </w:tcPr>
          <w:p>
            <w:pPr>
              <w:jc w:val="center"/>
              <w:ind w:right="92"/>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left="315"/>
              <w:spacing w:after="0"/>
              <w:rPr>
                <w:sz w:val="20"/>
                <w:szCs w:val="20"/>
                <w:color w:val="auto"/>
              </w:rPr>
            </w:pPr>
            <w:r>
              <w:rPr>
                <w:rFonts w:ascii="Calibri" w:cs="Calibri" w:eastAsia="Calibri" w:hAnsi="Calibri"/>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left="295"/>
              <w:spacing w:after="0"/>
              <w:rPr>
                <w:sz w:val="20"/>
                <w:szCs w:val="20"/>
                <w:color w:val="auto"/>
              </w:rPr>
            </w:pPr>
            <w:r>
              <w:rPr>
                <w:rFonts w:ascii="Calibri" w:cs="Calibri" w:eastAsia="Calibri" w:hAnsi="Calibri"/>
                <w:sz w:val="14"/>
                <w:szCs w:val="14"/>
                <w:b w:val="1"/>
                <w:bCs w:val="1"/>
                <w:color w:val="auto"/>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1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600" w:type="dxa"/>
            <w:vAlign w:val="bottom"/>
            <w:vMerge w:val="restart"/>
          </w:tcPr>
          <w:p>
            <w:pPr>
              <w:jc w:val="right"/>
              <w:ind w:right="32"/>
              <w:spacing w:after="0"/>
              <w:rPr>
                <w:sz w:val="20"/>
                <w:szCs w:val="20"/>
                <w:color w:val="auto"/>
              </w:rPr>
            </w:pPr>
            <w:r>
              <w:rPr>
                <w:rFonts w:ascii="Calibri" w:cs="Calibri" w:eastAsia="Calibri" w:hAnsi="Calibri"/>
                <w:sz w:val="14"/>
                <w:szCs w:val="14"/>
                <w:b w:val="1"/>
                <w:bCs w:val="1"/>
                <w:color w:val="auto"/>
              </w:rPr>
              <w:t>Statement of earnings capton</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10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5"/>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600" w:type="dxa"/>
            <w:vAlign w:val="bottom"/>
          </w:tcPr>
          <w:p>
            <w:pPr>
              <w:jc w:val="right"/>
              <w:ind w:right="172"/>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5"/>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60" w:type="dxa"/>
            <w:vAlign w:val="bottom"/>
          </w:tcPr>
          <w:p>
            <w:pPr>
              <w:jc w:val="right"/>
              <w:ind w:right="152"/>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auto"/>
              </w:rPr>
              <w:t>Foreign currency forward exchange contracts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Designated as cash fow hedges</w:t>
            </w:r>
          </w:p>
        </w:tc>
        <w:tc>
          <w:tcPr>
            <w:tcW w:w="2800" w:type="dxa"/>
            <w:vAlign w:val="bottom"/>
            <w:gridSpan w:val="2"/>
            <w:shd w:val="clear" w:color="auto" w:fill="CCEEFF"/>
          </w:tcPr>
          <w:p>
            <w:pPr>
              <w:ind w:left="980"/>
              <w:spacing w:after="0"/>
              <w:rPr>
                <w:sz w:val="20"/>
                <w:szCs w:val="20"/>
                <w:color w:val="auto"/>
              </w:rPr>
            </w:pPr>
            <w:r>
              <w:rPr>
                <w:rFonts w:ascii="Calibri" w:cs="Calibri" w:eastAsia="Calibri" w:hAnsi="Calibri"/>
                <w:sz w:val="18"/>
                <w:szCs w:val="18"/>
                <w:color w:val="auto"/>
              </w:rPr>
              <w:t>Cost of products sold  $</w:t>
            </w:r>
          </w:p>
        </w:tc>
        <w:tc>
          <w:tcPr>
            <w:tcW w:w="720" w:type="dxa"/>
            <w:vAlign w:val="bottom"/>
            <w:shd w:val="clear" w:color="auto" w:fill="CCEEFF"/>
          </w:tcPr>
          <w:p>
            <w:pPr>
              <w:jc w:val="right"/>
              <w:ind w:right="35"/>
              <w:spacing w:after="0"/>
              <w:rPr>
                <w:sz w:val="20"/>
                <w:szCs w:val="20"/>
                <w:color w:val="auto"/>
              </w:rPr>
            </w:pPr>
            <w:r>
              <w:rPr>
                <w:rFonts w:ascii="Calibri" w:cs="Calibri" w:eastAsia="Calibri" w:hAnsi="Calibri"/>
                <w:sz w:val="18"/>
                <w:szCs w:val="18"/>
                <w:color w:val="auto"/>
              </w:rPr>
              <w:t>10</w:t>
            </w:r>
          </w:p>
        </w:tc>
        <w:tc>
          <w:tcPr>
            <w:tcW w:w="26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660" w:type="dxa"/>
            <w:vAlign w:val="bottom"/>
            <w:shd w:val="clear" w:color="auto" w:fill="CCEEFF"/>
          </w:tcPr>
          <w:p>
            <w:pPr>
              <w:jc w:val="right"/>
              <w:ind w:right="15"/>
              <w:spacing w:after="0"/>
              <w:rPr>
                <w:sz w:val="20"/>
                <w:szCs w:val="20"/>
                <w:color w:val="auto"/>
              </w:rPr>
            </w:pPr>
            <w:r>
              <w:rPr>
                <w:rFonts w:ascii="Calibri" w:cs="Calibri" w:eastAsia="Calibri" w:hAnsi="Calibri"/>
                <w:sz w:val="18"/>
                <w:szCs w:val="18"/>
                <w:color w:val="auto"/>
              </w:rPr>
              <w:t>22</w:t>
            </w:r>
          </w:p>
        </w:tc>
        <w:tc>
          <w:tcPr>
            <w:tcW w:w="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w:t>
            </w:r>
          </w:p>
        </w:tc>
        <w:tc>
          <w:tcPr>
            <w:tcW w:w="0" w:type="dxa"/>
            <w:vAlign w:val="bottom"/>
          </w:tcPr>
          <w:p>
            <w:pPr>
              <w:spacing w:after="0"/>
              <w:rPr>
                <w:sz w:val="1"/>
                <w:szCs w:val="1"/>
                <w:color w:val="auto"/>
              </w:rPr>
            </w:pPr>
          </w:p>
        </w:tc>
      </w:tr>
      <w:tr>
        <w:trPr>
          <w:trHeight w:val="222"/>
        </w:trPr>
        <w:tc>
          <w:tcPr>
            <w:tcW w:w="5100" w:type="dxa"/>
            <w:vAlign w:val="bottom"/>
          </w:tcPr>
          <w:p>
            <w:pPr>
              <w:ind w:left="240"/>
              <w:spacing w:after="0" w:line="215" w:lineRule="exact"/>
              <w:rPr>
                <w:sz w:val="20"/>
                <w:szCs w:val="20"/>
                <w:color w:val="auto"/>
              </w:rPr>
            </w:pPr>
            <w:r>
              <w:rPr>
                <w:rFonts w:ascii="Calibri" w:cs="Calibri" w:eastAsia="Calibri" w:hAnsi="Calibri"/>
                <w:sz w:val="18"/>
                <w:szCs w:val="18"/>
                <w:color w:val="auto"/>
              </w:rPr>
              <w:t>Designated as net investment hedges</w:t>
            </w:r>
          </w:p>
        </w:tc>
        <w:tc>
          <w:tcPr>
            <w:tcW w:w="28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31</w:t>
            </w:r>
          </w:p>
        </w:tc>
        <w:tc>
          <w:tcPr>
            <w:tcW w:w="2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58</w:t>
            </w:r>
          </w:p>
        </w:tc>
        <w:tc>
          <w:tcPr>
            <w:tcW w:w="2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Not designated as hedges</w:t>
            </w:r>
          </w:p>
        </w:tc>
        <w:tc>
          <w:tcPr>
            <w:tcW w:w="280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8"/>
                <w:szCs w:val="18"/>
                <w:color w:val="auto"/>
              </w:rPr>
              <w:t>Net foreign exchange loss</w:t>
            </w:r>
          </w:p>
        </w:tc>
        <w:tc>
          <w:tcPr>
            <w:tcW w:w="720" w:type="dxa"/>
            <w:vAlign w:val="bottom"/>
            <w:shd w:val="clear" w:color="auto" w:fill="CCEEFF"/>
          </w:tcPr>
          <w:p>
            <w:pPr>
              <w:jc w:val="right"/>
              <w:ind w:right="35"/>
              <w:spacing w:after="0"/>
              <w:rPr>
                <w:sz w:val="20"/>
                <w:szCs w:val="20"/>
                <w:color w:val="auto"/>
              </w:rPr>
            </w:pPr>
            <w:r>
              <w:rPr>
                <w:rFonts w:ascii="Calibri" w:cs="Calibri" w:eastAsia="Calibri" w:hAnsi="Calibri"/>
                <w:sz w:val="18"/>
                <w:szCs w:val="18"/>
                <w:color w:val="auto"/>
              </w:rPr>
              <w:t>34</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
              <w:spacing w:after="0"/>
              <w:rPr>
                <w:sz w:val="20"/>
                <w:szCs w:val="20"/>
                <w:color w:val="auto"/>
              </w:rPr>
            </w:pPr>
            <w:r>
              <w:rPr>
                <w:rFonts w:ascii="Calibri" w:cs="Calibri" w:eastAsia="Calibri" w:hAnsi="Calibri"/>
                <w:sz w:val="18"/>
                <w:szCs w:val="18"/>
                <w:color w:val="auto"/>
              </w:rPr>
              <w:t>16</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auto"/>
              </w:rPr>
              <w:t>Treasury rate lock agreements designated as cash fow hedges</w:t>
            </w:r>
          </w:p>
        </w:tc>
        <w:tc>
          <w:tcPr>
            <w:tcW w:w="280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6</w:t>
            </w:r>
          </w:p>
        </w:tc>
        <w:tc>
          <w:tcPr>
            <w:tcW w:w="26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12</w:t>
            </w:r>
          </w:p>
        </w:tc>
        <w:tc>
          <w:tcPr>
            <w:tcW w:w="26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Cross-currency swap contracts designated as cash fow hedges</w:t>
            </w:r>
          </w:p>
        </w:tc>
        <w:tc>
          <w:tcPr>
            <w:tcW w:w="280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8"/>
                <w:szCs w:val="18"/>
                <w:color w:val="auto"/>
              </w:rPr>
              <w:t>Net foreign exchange loss</w:t>
            </w:r>
          </w:p>
        </w:tc>
        <w:tc>
          <w:tcPr>
            <w:tcW w:w="720" w:type="dxa"/>
            <w:vAlign w:val="bottom"/>
            <w:shd w:val="clear" w:color="auto" w:fill="CCEEFF"/>
          </w:tcPr>
          <w:p>
            <w:pPr>
              <w:jc w:val="right"/>
              <w:ind w:right="35"/>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rate swap contracts</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Designated as fair value hedges</w:t>
            </w:r>
          </w:p>
        </w:tc>
        <w:tc>
          <w:tcPr>
            <w:tcW w:w="2800" w:type="dxa"/>
            <w:vAlign w:val="bottom"/>
            <w:gridSpan w:val="2"/>
            <w:shd w:val="clear" w:color="auto" w:fill="CCEEFF"/>
          </w:tcPr>
          <w:p>
            <w:pPr>
              <w:jc w:val="right"/>
              <w:ind w:right="320"/>
              <w:spacing w:after="0"/>
              <w:rPr>
                <w:sz w:val="20"/>
                <w:szCs w:val="20"/>
                <w:color w:val="auto"/>
              </w:rPr>
            </w:pPr>
            <w:r>
              <w:rPr>
                <w:rFonts w:ascii="Calibri" w:cs="Calibri" w:eastAsia="Calibri" w:hAnsi="Calibri"/>
                <w:sz w:val="18"/>
                <w:szCs w:val="18"/>
                <w:color w:val="auto"/>
              </w:rPr>
              <w:t>Interest expense, net</w:t>
            </w:r>
          </w:p>
        </w:tc>
        <w:tc>
          <w:tcPr>
            <w:tcW w:w="720" w:type="dxa"/>
            <w:vAlign w:val="bottom"/>
            <w:shd w:val="clear" w:color="auto" w:fill="CCEEFF"/>
          </w:tcPr>
          <w:p>
            <w:pPr>
              <w:jc w:val="right"/>
              <w:ind w:right="35"/>
              <w:spacing w:after="0"/>
              <w:rPr>
                <w:sz w:val="20"/>
                <w:szCs w:val="20"/>
                <w:color w:val="auto"/>
              </w:rPr>
            </w:pPr>
            <w:r>
              <w:rPr>
                <w:rFonts w:ascii="Calibri" w:cs="Calibri" w:eastAsia="Calibri" w:hAnsi="Calibri"/>
                <w:sz w:val="18"/>
                <w:szCs w:val="18"/>
                <w:color w:val="auto"/>
              </w:rPr>
              <w:t>54</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Debt designated as hedged item in fair value hedges</w:t>
            </w:r>
          </w:p>
        </w:tc>
        <w:tc>
          <w:tcPr>
            <w:tcW w:w="2800" w:type="dxa"/>
            <w:vAlign w:val="bottom"/>
            <w:tcBorders>
              <w:bottom w:val="single" w:sz="8" w:color="auto"/>
            </w:tcBorders>
            <w:gridSpan w:val="2"/>
          </w:tcPr>
          <w:p>
            <w:pPr>
              <w:jc w:val="right"/>
              <w:ind w:right="320"/>
              <w:spacing w:after="0" w:line="215" w:lineRule="exact"/>
              <w:rPr>
                <w:sz w:val="20"/>
                <w:szCs w:val="20"/>
                <w:color w:val="auto"/>
              </w:rPr>
            </w:pPr>
            <w:r>
              <w:rPr>
                <w:rFonts w:ascii="Calibri" w:cs="Calibri" w:eastAsia="Calibri" w:hAnsi="Calibri"/>
                <w:sz w:val="18"/>
                <w:szCs w:val="18"/>
                <w:color w:val="auto"/>
              </w:rPr>
              <w:t>Interest expense, net</w:t>
            </w: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11</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Fair Value Measures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 hierarchy consists of the following three levels:</w:t>
      </w:r>
    </w:p>
    <w:p>
      <w:pPr>
        <w:spacing w:after="0" w:line="145" w:lineRule="exact"/>
        <w:rPr>
          <w:sz w:val="20"/>
          <w:szCs w:val="20"/>
          <w:color w:val="auto"/>
        </w:rPr>
      </w:pPr>
    </w:p>
    <w:p>
      <w:pPr>
        <w:ind w:left="480" w:hanging="189"/>
        <w:spacing w:after="0"/>
        <w:tabs>
          <w:tab w:leader="none" w:pos="4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Level 1 – Valuatons based on unadjusted quoted prices in actve markets for identcal assets that the company has the ability to access;</w:t>
      </w:r>
    </w:p>
    <w:p>
      <w:pPr>
        <w:spacing w:after="0" w:line="149" w:lineRule="exact"/>
        <w:rPr>
          <w:rFonts w:ascii="Calibri" w:cs="Calibri" w:eastAsia="Calibri" w:hAnsi="Calibri"/>
          <w:sz w:val="18"/>
          <w:szCs w:val="18"/>
          <w:color w:val="auto"/>
        </w:rPr>
      </w:pPr>
    </w:p>
    <w:p>
      <w:pPr>
        <w:ind w:left="500" w:right="80" w:hanging="209"/>
        <w:spacing w:after="0" w:line="235" w:lineRule="auto"/>
        <w:tabs>
          <w:tab w:leader="none" w:pos="4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Level 2 – Valuatons based on quoted prices for similar instruments in actve markets, quoted prices for identcal or similar instruments in markets that are not actve and model-based valuatons in which all signifcant inputs are observable in the market; and</w:t>
      </w:r>
    </w:p>
    <w:p>
      <w:pPr>
        <w:spacing w:after="0" w:line="136" w:lineRule="exact"/>
        <w:rPr>
          <w:rFonts w:ascii="Calibri" w:cs="Calibri" w:eastAsia="Calibri" w:hAnsi="Calibri"/>
          <w:sz w:val="18"/>
          <w:szCs w:val="18"/>
          <w:color w:val="auto"/>
        </w:rPr>
      </w:pPr>
    </w:p>
    <w:p>
      <w:pPr>
        <w:ind w:left="500" w:right="20" w:hanging="209"/>
        <w:spacing w:after="0" w:line="235" w:lineRule="auto"/>
        <w:tabs>
          <w:tab w:leader="none" w:pos="4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Level 3 – Valuatons using signifcant inputs that are unobservable in the market and include the use of judgment by the company’s management about the assumptons market partcipants would use in pricing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16</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8" w:name="page19"/>
    <w:bookmarkEnd w:id="18"/>
    <w:p>
      <w:pPr>
        <w:ind w:right="880"/>
        <w:spacing w:after="0" w:line="235" w:lineRule="auto"/>
        <w:rPr>
          <w:sz w:val="20"/>
          <w:szCs w:val="20"/>
          <w:color w:val="auto"/>
        </w:rPr>
      </w:pPr>
      <w:r>
        <w:rPr>
          <w:rFonts w:ascii="Calibri" w:cs="Calibri" w:eastAsia="Calibri" w:hAnsi="Calibri"/>
          <w:sz w:val="18"/>
          <w:szCs w:val="18"/>
          <w:color w:val="auto"/>
        </w:rPr>
        <w:t>The following table summarizes the bases used to measure certain assets and liabilites carried at fair value on a recurring basis on the condensed consolidated balance sheet as of June 30,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4"/>
          </w:tcPr>
          <w:p>
            <w:pPr>
              <w:jc w:val="center"/>
              <w:ind w:left="897"/>
              <w:spacing w:after="0"/>
              <w:rPr>
                <w:sz w:val="20"/>
                <w:szCs w:val="20"/>
                <w:color w:val="auto"/>
              </w:rPr>
            </w:pPr>
            <w:r>
              <w:rPr>
                <w:rFonts w:ascii="Calibri" w:cs="Calibri" w:eastAsia="Calibri" w:hAnsi="Calibri"/>
                <w:sz w:val="14"/>
                <w:szCs w:val="14"/>
                <w:b w:val="1"/>
                <w:bCs w:val="1"/>
                <w:color w:val="auto"/>
              </w:rPr>
              <w:t>Basis of fair value measurement</w:t>
            </w:r>
          </w:p>
        </w:tc>
        <w:tc>
          <w:tcPr>
            <w:tcW w:w="1100" w:type="dxa"/>
            <w:vAlign w:val="bottom"/>
          </w:tcPr>
          <w:p>
            <w:pPr>
              <w:spacing w:after="0"/>
              <w:rPr>
                <w:sz w:val="14"/>
                <w:szCs w:val="14"/>
                <w:color w:val="auto"/>
              </w:rPr>
            </w:pPr>
          </w:p>
        </w:tc>
      </w:tr>
      <w:tr>
        <w:trPr>
          <w:trHeight w:val="47"/>
        </w:trPr>
        <w:tc>
          <w:tcPr>
            <w:tcW w:w="4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15"/>
        </w:trPr>
        <w:tc>
          <w:tcPr>
            <w:tcW w:w="4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ind w:right="57"/>
              <w:spacing w:after="0" w:line="115" w:lineRule="exact"/>
              <w:rPr>
                <w:sz w:val="20"/>
                <w:szCs w:val="20"/>
                <w:color w:val="auto"/>
              </w:rPr>
            </w:pPr>
            <w:r>
              <w:rPr>
                <w:rFonts w:ascii="Calibri" w:cs="Calibri" w:eastAsia="Calibri" w:hAnsi="Calibri"/>
                <w:sz w:val="12"/>
                <w:szCs w:val="12"/>
                <w:b w:val="1"/>
                <w:bCs w:val="1"/>
                <w:color w:val="auto"/>
              </w:rPr>
              <w:t>Quoted prices in</w:t>
            </w:r>
          </w:p>
        </w:tc>
        <w:tc>
          <w:tcPr>
            <w:tcW w:w="240" w:type="dxa"/>
            <w:vAlign w:val="bottom"/>
          </w:tcPr>
          <w:p>
            <w:pPr>
              <w:spacing w:after="0"/>
              <w:rPr>
                <w:sz w:val="10"/>
                <w:szCs w:val="10"/>
                <w:color w:val="auto"/>
              </w:rPr>
            </w:pPr>
          </w:p>
        </w:tc>
        <w:tc>
          <w:tcPr>
            <w:tcW w:w="1240" w:type="dxa"/>
            <w:vAlign w:val="bottom"/>
          </w:tcPr>
          <w:p>
            <w:pPr>
              <w:jc w:val="center"/>
              <w:ind w:right="96"/>
              <w:spacing w:after="0" w:line="115" w:lineRule="exact"/>
              <w:rPr>
                <w:sz w:val="20"/>
                <w:szCs w:val="20"/>
                <w:color w:val="auto"/>
              </w:rPr>
            </w:pPr>
            <w:r>
              <w:rPr>
                <w:rFonts w:ascii="Calibri" w:cs="Calibri" w:eastAsia="Calibri" w:hAnsi="Calibri"/>
                <w:sz w:val="12"/>
                <w:szCs w:val="12"/>
                <w:b w:val="1"/>
                <w:bCs w:val="1"/>
                <w:color w:val="auto"/>
              </w:rPr>
              <w:t>Signifcant other</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8"/>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77"/>
              <w:spacing w:after="0" w:line="149" w:lineRule="exact"/>
              <w:rPr>
                <w:sz w:val="20"/>
                <w:szCs w:val="20"/>
                <w:color w:val="auto"/>
              </w:rPr>
            </w:pPr>
            <w:r>
              <w:rPr>
                <w:rFonts w:ascii="Calibri" w:cs="Calibri" w:eastAsia="Calibri" w:hAnsi="Calibri"/>
                <w:sz w:val="14"/>
                <w:szCs w:val="14"/>
                <w:b w:val="1"/>
                <w:bCs w:val="1"/>
                <w:color w:val="auto"/>
              </w:rPr>
              <w:t>actve markets for</w:t>
            </w:r>
          </w:p>
        </w:tc>
        <w:tc>
          <w:tcPr>
            <w:tcW w:w="240" w:type="dxa"/>
            <w:vAlign w:val="bottom"/>
          </w:tcPr>
          <w:p>
            <w:pPr>
              <w:spacing w:after="0"/>
              <w:rPr>
                <w:sz w:val="12"/>
                <w:szCs w:val="12"/>
                <w:color w:val="auto"/>
              </w:rPr>
            </w:pPr>
          </w:p>
        </w:tc>
        <w:tc>
          <w:tcPr>
            <w:tcW w:w="1240" w:type="dxa"/>
            <w:vAlign w:val="bottom"/>
          </w:tcPr>
          <w:p>
            <w:pPr>
              <w:jc w:val="center"/>
              <w:ind w:right="136"/>
              <w:spacing w:after="0" w:line="149" w:lineRule="exact"/>
              <w:rPr>
                <w:sz w:val="20"/>
                <w:szCs w:val="20"/>
                <w:color w:val="auto"/>
              </w:rPr>
            </w:pPr>
            <w:r>
              <w:rPr>
                <w:rFonts w:ascii="Calibri" w:cs="Calibri" w:eastAsia="Calibri" w:hAnsi="Calibri"/>
                <w:sz w:val="14"/>
                <w:szCs w:val="14"/>
                <w:b w:val="1"/>
                <w:bCs w:val="1"/>
                <w:color w:val="auto"/>
              </w:rPr>
              <w:t>observable</w:t>
            </w:r>
          </w:p>
        </w:tc>
        <w:tc>
          <w:tcPr>
            <w:tcW w:w="360" w:type="dxa"/>
            <w:vAlign w:val="bottom"/>
          </w:tcPr>
          <w:p>
            <w:pPr>
              <w:spacing w:after="0"/>
              <w:rPr>
                <w:sz w:val="12"/>
                <w:szCs w:val="12"/>
                <w:color w:val="auto"/>
              </w:rPr>
            </w:pPr>
          </w:p>
        </w:tc>
        <w:tc>
          <w:tcPr>
            <w:tcW w:w="1100" w:type="dxa"/>
            <w:vAlign w:val="bottom"/>
          </w:tcPr>
          <w:p>
            <w:pPr>
              <w:jc w:val="center"/>
              <w:ind w:right="193"/>
              <w:spacing w:after="0" w:line="149" w:lineRule="exact"/>
              <w:rPr>
                <w:sz w:val="20"/>
                <w:szCs w:val="20"/>
                <w:color w:val="auto"/>
              </w:rPr>
            </w:pPr>
            <w:r>
              <w:rPr>
                <w:rFonts w:ascii="Calibri" w:cs="Calibri" w:eastAsia="Calibri" w:hAnsi="Calibri"/>
                <w:sz w:val="14"/>
                <w:szCs w:val="14"/>
                <w:b w:val="1"/>
                <w:bCs w:val="1"/>
                <w:color w:val="auto"/>
              </w:rPr>
              <w:t>Signifcant</w:t>
            </w:r>
          </w:p>
        </w:tc>
      </w:tr>
      <w:tr>
        <w:trPr>
          <w:trHeight w:val="148"/>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97"/>
              <w:spacing w:after="0" w:line="148" w:lineRule="exact"/>
              <w:rPr>
                <w:sz w:val="20"/>
                <w:szCs w:val="20"/>
                <w:color w:val="auto"/>
              </w:rPr>
            </w:pPr>
            <w:r>
              <w:rPr>
                <w:rFonts w:ascii="Calibri" w:cs="Calibri" w:eastAsia="Calibri" w:hAnsi="Calibri"/>
                <w:sz w:val="14"/>
                <w:szCs w:val="14"/>
                <w:b w:val="1"/>
                <w:bCs w:val="1"/>
                <w:color w:val="auto"/>
              </w:rPr>
              <w:t>identcal assets</w:t>
            </w:r>
          </w:p>
        </w:tc>
        <w:tc>
          <w:tcPr>
            <w:tcW w:w="240" w:type="dxa"/>
            <w:vAlign w:val="bottom"/>
          </w:tcPr>
          <w:p>
            <w:pPr>
              <w:spacing w:after="0"/>
              <w:rPr>
                <w:sz w:val="12"/>
                <w:szCs w:val="12"/>
                <w:color w:val="auto"/>
              </w:rPr>
            </w:pPr>
          </w:p>
        </w:tc>
        <w:tc>
          <w:tcPr>
            <w:tcW w:w="1240" w:type="dxa"/>
            <w:vAlign w:val="bottom"/>
          </w:tcPr>
          <w:p>
            <w:pPr>
              <w:jc w:val="center"/>
              <w:ind w:right="136"/>
              <w:spacing w:after="0" w:line="148" w:lineRule="exact"/>
              <w:rPr>
                <w:sz w:val="20"/>
                <w:szCs w:val="20"/>
                <w:color w:val="auto"/>
              </w:rPr>
            </w:pPr>
            <w:r>
              <w:rPr>
                <w:rFonts w:ascii="Calibri" w:cs="Calibri" w:eastAsia="Calibri" w:hAnsi="Calibri"/>
                <w:sz w:val="14"/>
                <w:szCs w:val="14"/>
                <w:b w:val="1"/>
                <w:bCs w:val="1"/>
                <w:color w:val="auto"/>
              </w:rPr>
              <w:t>inputs</w:t>
            </w:r>
          </w:p>
        </w:tc>
        <w:tc>
          <w:tcPr>
            <w:tcW w:w="1460" w:type="dxa"/>
            <w:vAlign w:val="bottom"/>
            <w:gridSpan w:val="2"/>
          </w:tcPr>
          <w:p>
            <w:pPr>
              <w:jc w:val="center"/>
              <w:spacing w:after="0" w:line="148" w:lineRule="exact"/>
              <w:rPr>
                <w:sz w:val="20"/>
                <w:szCs w:val="20"/>
                <w:color w:val="auto"/>
              </w:rPr>
            </w:pPr>
            <w:r>
              <w:rPr>
                <w:rFonts w:ascii="Calibri" w:cs="Calibri" w:eastAsia="Calibri" w:hAnsi="Calibri"/>
                <w:sz w:val="14"/>
                <w:szCs w:val="14"/>
                <w:b w:val="1"/>
                <w:bCs w:val="1"/>
                <w:color w:val="auto"/>
              </w:rPr>
              <w:t>unobservable inputs</w:t>
            </w:r>
          </w:p>
        </w:tc>
      </w:tr>
      <w:tr>
        <w:trPr>
          <w:trHeight w:val="170"/>
        </w:trPr>
        <w:tc>
          <w:tcPr>
            <w:tcW w:w="41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0" w:type="dxa"/>
            <w:vAlign w:val="bottom"/>
          </w:tcPr>
          <w:p>
            <w:pPr>
              <w:spacing w:after="0"/>
              <w:rPr>
                <w:sz w:val="14"/>
                <w:szCs w:val="14"/>
                <w:color w:val="auto"/>
              </w:rPr>
            </w:pPr>
          </w:p>
        </w:tc>
        <w:tc>
          <w:tcPr>
            <w:tcW w:w="1160" w:type="dxa"/>
            <w:vAlign w:val="bottom"/>
          </w:tcPr>
          <w:p>
            <w:pPr>
              <w:jc w:val="right"/>
              <w:ind w:right="572"/>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4"/>
                <w:szCs w:val="14"/>
                <w:color w:val="auto"/>
              </w:rPr>
            </w:pPr>
          </w:p>
        </w:tc>
        <w:tc>
          <w:tcPr>
            <w:tcW w:w="128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tcPr>
          <w:p>
            <w:pPr>
              <w:jc w:val="center"/>
              <w:ind w:right="96"/>
              <w:spacing w:after="0"/>
              <w:rPr>
                <w:sz w:val="20"/>
                <w:szCs w:val="20"/>
                <w:color w:val="auto"/>
              </w:rPr>
            </w:pPr>
            <w:r>
              <w:rPr>
                <w:rFonts w:ascii="Calibri" w:cs="Calibri" w:eastAsia="Calibri" w:hAnsi="Calibri"/>
                <w:sz w:val="14"/>
                <w:szCs w:val="14"/>
                <w:b w:val="1"/>
                <w:bCs w:val="1"/>
                <w:color w:val="auto"/>
              </w:rPr>
              <w:t>(Level 2)</w:t>
            </w:r>
          </w:p>
        </w:tc>
        <w:tc>
          <w:tcPr>
            <w:tcW w:w="360" w:type="dxa"/>
            <w:vAlign w:val="bottom"/>
          </w:tcPr>
          <w:p>
            <w:pPr>
              <w:spacing w:after="0"/>
              <w:rPr>
                <w:sz w:val="14"/>
                <w:szCs w:val="14"/>
                <w:color w:val="auto"/>
              </w:rPr>
            </w:pPr>
          </w:p>
        </w:tc>
        <w:tc>
          <w:tcPr>
            <w:tcW w:w="1100" w:type="dxa"/>
            <w:vAlign w:val="bottom"/>
          </w:tcPr>
          <w:p>
            <w:pPr>
              <w:jc w:val="center"/>
              <w:ind w:right="193"/>
              <w:spacing w:after="0"/>
              <w:rPr>
                <w:sz w:val="20"/>
                <w:szCs w:val="20"/>
                <w:color w:val="auto"/>
              </w:rPr>
            </w:pPr>
            <w:r>
              <w:rPr>
                <w:rFonts w:ascii="Calibri" w:cs="Calibri" w:eastAsia="Calibri" w:hAnsi="Calibri"/>
                <w:sz w:val="14"/>
                <w:szCs w:val="14"/>
                <w:b w:val="1"/>
                <w:bCs w:val="1"/>
                <w:color w:val="auto"/>
              </w:rPr>
              <w:t>(Level 3)</w:t>
            </w:r>
          </w:p>
        </w:tc>
      </w:tr>
      <w:tr>
        <w:trPr>
          <w:trHeight w:val="47"/>
        </w:trPr>
        <w:tc>
          <w:tcPr>
            <w:tcW w:w="41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16"/>
        </w:trPr>
        <w:tc>
          <w:tcPr>
            <w:tcW w:w="41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and equivalents</w:t>
            </w:r>
          </w:p>
        </w:tc>
        <w:tc>
          <w:tcPr>
            <w:tcW w:w="16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13,130</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ind w:right="17"/>
              <w:spacing w:after="0"/>
              <w:rPr>
                <w:sz w:val="20"/>
                <w:szCs w:val="20"/>
                <w:color w:val="auto"/>
              </w:rPr>
            </w:pPr>
            <w:r>
              <w:rPr>
                <w:rFonts w:ascii="Calibri" w:cs="Calibri" w:eastAsia="Calibri" w:hAnsi="Calibri"/>
                <w:sz w:val="18"/>
                <w:szCs w:val="18"/>
                <w:color w:val="auto"/>
              </w:rPr>
              <w:t>6,770</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6,360</w:t>
            </w:r>
          </w:p>
        </w:tc>
        <w:tc>
          <w:tcPr>
            <w:tcW w:w="360" w:type="dxa"/>
            <w:vAlign w:val="bottom"/>
            <w:shd w:val="clear" w:color="auto" w:fill="CCEEFF"/>
          </w:tcPr>
          <w:p>
            <w:pPr>
              <w:jc w:val="right"/>
              <w:ind w:right="74"/>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Money market funds and tme deposits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19"/>
                <w:szCs w:val="19"/>
                <w:color w:val="auto"/>
              </w:rPr>
            </w:pPr>
          </w:p>
        </w:tc>
        <w:tc>
          <w:tcPr>
            <w:tcW w:w="128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Debt securites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32</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7"/>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97</w:t>
            </w:r>
          </w:p>
        </w:tc>
        <w:tc>
          <w:tcPr>
            <w:tcW w:w="120" w:type="dxa"/>
            <w:vAlign w:val="bottom"/>
          </w:tcPr>
          <w:p>
            <w:pPr>
              <w:spacing w:after="0"/>
              <w:rPr>
                <w:sz w:val="19"/>
                <w:szCs w:val="19"/>
                <w:color w:val="auto"/>
              </w:rPr>
            </w:pPr>
          </w:p>
        </w:tc>
        <w:tc>
          <w:tcPr>
            <w:tcW w:w="128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69</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Foreign currency contracts</w:t>
            </w:r>
          </w:p>
        </w:tc>
        <w:tc>
          <w:tcPr>
            <w:tcW w:w="1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192</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192</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assets</w:t>
            </w:r>
          </w:p>
        </w:tc>
        <w:tc>
          <w:tcPr>
            <w:tcW w:w="16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13,461</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6,839</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6,622</w:t>
            </w:r>
          </w:p>
        </w:tc>
        <w:tc>
          <w:tcPr>
            <w:tcW w:w="360" w:type="dxa"/>
            <w:vAlign w:val="bottom"/>
            <w:tcBorders>
              <w:bottom w:val="single" w:sz="8" w:color="auto"/>
            </w:tcBorders>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41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rate swap contracts</w:t>
            </w:r>
          </w:p>
        </w:tc>
        <w:tc>
          <w:tcPr>
            <w:tcW w:w="16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304</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360" w:type="dxa"/>
            <w:vAlign w:val="bottom"/>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Foreign currency contracts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37</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7"/>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Contngent consideraton</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21,150</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21,150</w:t>
            </w:r>
          </w:p>
        </w:tc>
      </w:tr>
      <w:tr>
        <w:trPr>
          <w:trHeight w:val="248"/>
        </w:trPr>
        <w:tc>
          <w:tcPr>
            <w:tcW w:w="41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16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ind w:right="92"/>
              <w:spacing w:after="0" w:line="215" w:lineRule="exact"/>
              <w:rPr>
                <w:sz w:val="20"/>
                <w:szCs w:val="20"/>
                <w:color w:val="auto"/>
              </w:rPr>
            </w:pPr>
            <w:r>
              <w:rPr>
                <w:rFonts w:ascii="Calibri" w:cs="Calibri" w:eastAsia="Calibri" w:hAnsi="Calibri"/>
                <w:sz w:val="18"/>
                <w:szCs w:val="18"/>
                <w:color w:val="auto"/>
              </w:rPr>
              <w:t>21,491</w:t>
            </w: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341</w:t>
            </w:r>
          </w:p>
        </w:tc>
        <w:tc>
          <w:tcPr>
            <w:tcW w:w="360" w:type="dxa"/>
            <w:vAlign w:val="bottom"/>
            <w:tcBorders>
              <w:bottom w:val="single" w:sz="8" w:color="auto"/>
            </w:tcBorders>
            <w:shd w:val="clear" w:color="auto" w:fill="CCEEFF"/>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21,150</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880"/>
        <w:spacing w:after="0" w:line="235" w:lineRule="auto"/>
        <w:rPr>
          <w:sz w:val="20"/>
          <w:szCs w:val="20"/>
          <w:color w:val="auto"/>
        </w:rPr>
      </w:pPr>
      <w:r>
        <w:rPr>
          <w:rFonts w:ascii="Calibri" w:cs="Calibri" w:eastAsia="Calibri" w:hAnsi="Calibri"/>
          <w:sz w:val="18"/>
          <w:szCs w:val="18"/>
          <w:color w:val="auto"/>
        </w:rPr>
        <w:t>The following table summarizes the bases used to measure certain assets and liabilites carried at fair value on a recurring basis on the condensed consolidated balance sheet as of December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4"/>
          </w:tcPr>
          <w:p>
            <w:pPr>
              <w:jc w:val="center"/>
              <w:ind w:left="896"/>
              <w:spacing w:after="0"/>
              <w:rPr>
                <w:sz w:val="20"/>
                <w:szCs w:val="20"/>
                <w:color w:val="auto"/>
              </w:rPr>
            </w:pPr>
            <w:r>
              <w:rPr>
                <w:rFonts w:ascii="Calibri" w:cs="Calibri" w:eastAsia="Calibri" w:hAnsi="Calibri"/>
                <w:sz w:val="14"/>
                <w:szCs w:val="14"/>
                <w:b w:val="1"/>
                <w:bCs w:val="1"/>
                <w:color w:val="auto"/>
              </w:rPr>
              <w:t>Basis of fair value measurement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56"/>
              <w:spacing w:after="0" w:line="127" w:lineRule="exact"/>
              <w:rPr>
                <w:sz w:val="20"/>
                <w:szCs w:val="20"/>
                <w:color w:val="auto"/>
              </w:rPr>
            </w:pPr>
            <w:r>
              <w:rPr>
                <w:rFonts w:ascii="Calibri" w:cs="Calibri" w:eastAsia="Calibri" w:hAnsi="Calibri"/>
                <w:sz w:val="13"/>
                <w:szCs w:val="13"/>
                <w:b w:val="1"/>
                <w:bCs w:val="1"/>
                <w:color w:val="auto"/>
              </w:rPr>
              <w:t>Quoted prices in</w:t>
            </w:r>
          </w:p>
        </w:tc>
        <w:tc>
          <w:tcPr>
            <w:tcW w:w="240" w:type="dxa"/>
            <w:vAlign w:val="bottom"/>
          </w:tcPr>
          <w:p>
            <w:pPr>
              <w:spacing w:after="0"/>
              <w:rPr>
                <w:sz w:val="11"/>
                <w:szCs w:val="11"/>
                <w:color w:val="auto"/>
              </w:rPr>
            </w:pPr>
          </w:p>
        </w:tc>
        <w:tc>
          <w:tcPr>
            <w:tcW w:w="1240" w:type="dxa"/>
            <w:vAlign w:val="bottom"/>
          </w:tcPr>
          <w:p>
            <w:pPr>
              <w:jc w:val="center"/>
              <w:ind w:right="96"/>
              <w:spacing w:after="0" w:line="127" w:lineRule="exact"/>
              <w:rPr>
                <w:sz w:val="20"/>
                <w:szCs w:val="20"/>
                <w:color w:val="auto"/>
              </w:rPr>
            </w:pPr>
            <w:r>
              <w:rPr>
                <w:rFonts w:ascii="Calibri" w:cs="Calibri" w:eastAsia="Calibri" w:hAnsi="Calibri"/>
                <w:sz w:val="13"/>
                <w:szCs w:val="13"/>
                <w:b w:val="1"/>
                <w:bCs w:val="1"/>
                <w:color w:val="auto"/>
              </w:rPr>
              <w:t>Signifcant other</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76"/>
              <w:spacing w:after="0" w:line="136" w:lineRule="exact"/>
              <w:rPr>
                <w:sz w:val="20"/>
                <w:szCs w:val="20"/>
                <w:color w:val="auto"/>
              </w:rPr>
            </w:pPr>
            <w:r>
              <w:rPr>
                <w:rFonts w:ascii="Calibri" w:cs="Calibri" w:eastAsia="Calibri" w:hAnsi="Calibri"/>
                <w:sz w:val="14"/>
                <w:szCs w:val="14"/>
                <w:b w:val="1"/>
                <w:bCs w:val="1"/>
                <w:color w:val="auto"/>
              </w:rPr>
              <w:t>actve markets for</w:t>
            </w:r>
          </w:p>
        </w:tc>
        <w:tc>
          <w:tcPr>
            <w:tcW w:w="240" w:type="dxa"/>
            <w:vAlign w:val="bottom"/>
          </w:tcPr>
          <w:p>
            <w:pPr>
              <w:spacing w:after="0"/>
              <w:rPr>
                <w:sz w:val="11"/>
                <w:szCs w:val="11"/>
                <w:color w:val="auto"/>
              </w:rPr>
            </w:pPr>
          </w:p>
        </w:tc>
        <w:tc>
          <w:tcPr>
            <w:tcW w:w="1240" w:type="dxa"/>
            <w:vAlign w:val="bottom"/>
          </w:tcPr>
          <w:p>
            <w:pPr>
              <w:jc w:val="center"/>
              <w:ind w:right="96"/>
              <w:spacing w:after="0" w:line="136" w:lineRule="exact"/>
              <w:rPr>
                <w:sz w:val="20"/>
                <w:szCs w:val="20"/>
                <w:color w:val="auto"/>
              </w:rPr>
            </w:pPr>
            <w:r>
              <w:rPr>
                <w:rFonts w:ascii="Calibri" w:cs="Calibri" w:eastAsia="Calibri" w:hAnsi="Calibri"/>
                <w:sz w:val="14"/>
                <w:szCs w:val="14"/>
                <w:b w:val="1"/>
                <w:bCs w:val="1"/>
                <w:color w:val="auto"/>
              </w:rPr>
              <w:t>observable</w:t>
            </w:r>
          </w:p>
        </w:tc>
        <w:tc>
          <w:tcPr>
            <w:tcW w:w="360" w:type="dxa"/>
            <w:vAlign w:val="bottom"/>
          </w:tcPr>
          <w:p>
            <w:pPr>
              <w:spacing w:after="0"/>
              <w:rPr>
                <w:sz w:val="11"/>
                <w:szCs w:val="11"/>
                <w:color w:val="auto"/>
              </w:rPr>
            </w:pPr>
          </w:p>
        </w:tc>
        <w:tc>
          <w:tcPr>
            <w:tcW w:w="1100" w:type="dxa"/>
            <w:vAlign w:val="bottom"/>
          </w:tcPr>
          <w:p>
            <w:pPr>
              <w:jc w:val="center"/>
              <w:ind w:right="193"/>
              <w:spacing w:after="0" w:line="136" w:lineRule="exact"/>
              <w:rPr>
                <w:sz w:val="20"/>
                <w:szCs w:val="20"/>
                <w:color w:val="auto"/>
              </w:rPr>
            </w:pPr>
            <w:r>
              <w:rPr>
                <w:rFonts w:ascii="Calibri" w:cs="Calibri" w:eastAsia="Calibri" w:hAnsi="Calibri"/>
                <w:sz w:val="14"/>
                <w:szCs w:val="14"/>
                <w:b w:val="1"/>
                <w:bCs w:val="1"/>
                <w:color w:val="auto"/>
              </w:rPr>
              <w:t>Signifcant</w:t>
            </w:r>
          </w:p>
        </w:tc>
        <w:tc>
          <w:tcPr>
            <w:tcW w:w="0" w:type="dxa"/>
            <w:vAlign w:val="bottom"/>
          </w:tcPr>
          <w:p>
            <w:pPr>
              <w:spacing w:after="0"/>
              <w:rPr>
                <w:sz w:val="1"/>
                <w:szCs w:val="1"/>
                <w:color w:val="auto"/>
              </w:rPr>
            </w:pPr>
          </w:p>
        </w:tc>
      </w:tr>
      <w:tr>
        <w:trPr>
          <w:trHeight w:val="148"/>
        </w:trPr>
        <w:tc>
          <w:tcPr>
            <w:tcW w:w="41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0" w:type="dxa"/>
            <w:vAlign w:val="bottom"/>
          </w:tcPr>
          <w:p>
            <w:pPr>
              <w:spacing w:after="0"/>
              <w:rPr>
                <w:sz w:val="12"/>
                <w:szCs w:val="12"/>
                <w:color w:val="auto"/>
              </w:rPr>
            </w:pPr>
          </w:p>
        </w:tc>
        <w:tc>
          <w:tcPr>
            <w:tcW w:w="1160" w:type="dxa"/>
            <w:vAlign w:val="bottom"/>
            <w:vMerge w:val="restart"/>
          </w:tcPr>
          <w:p>
            <w:pPr>
              <w:jc w:val="right"/>
              <w:ind w:right="572"/>
              <w:spacing w:after="0"/>
              <w:rPr>
                <w:sz w:val="20"/>
                <w:szCs w:val="20"/>
                <w:color w:val="auto"/>
              </w:rPr>
            </w:pPr>
            <w:r>
              <w:rPr>
                <w:rFonts w:ascii="Calibri" w:cs="Calibri" w:eastAsia="Calibri" w:hAnsi="Calibri"/>
                <w:sz w:val="14"/>
                <w:szCs w:val="14"/>
                <w:b w:val="1"/>
                <w:bCs w:val="1"/>
                <w:color w:val="auto"/>
              </w:rPr>
              <w:t>Total</w:t>
            </w:r>
          </w:p>
        </w:tc>
        <w:tc>
          <w:tcPr>
            <w:tcW w:w="12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Calibri" w:cs="Calibri" w:eastAsia="Calibri" w:hAnsi="Calibri"/>
                <w:sz w:val="14"/>
                <w:szCs w:val="14"/>
                <w:b w:val="1"/>
                <w:bCs w:val="1"/>
                <w:color w:val="auto"/>
              </w:rPr>
              <w:t>identcal assets</w:t>
            </w:r>
          </w:p>
        </w:tc>
        <w:tc>
          <w:tcPr>
            <w:tcW w:w="240" w:type="dxa"/>
            <w:vAlign w:val="bottom"/>
          </w:tcPr>
          <w:p>
            <w:pPr>
              <w:spacing w:after="0"/>
              <w:rPr>
                <w:sz w:val="12"/>
                <w:szCs w:val="12"/>
                <w:color w:val="auto"/>
              </w:rPr>
            </w:pPr>
          </w:p>
        </w:tc>
        <w:tc>
          <w:tcPr>
            <w:tcW w:w="1240" w:type="dxa"/>
            <w:vAlign w:val="bottom"/>
          </w:tcPr>
          <w:p>
            <w:pPr>
              <w:jc w:val="center"/>
              <w:ind w:right="136"/>
              <w:spacing w:after="0" w:line="149" w:lineRule="exact"/>
              <w:rPr>
                <w:sz w:val="20"/>
                <w:szCs w:val="20"/>
                <w:color w:val="auto"/>
              </w:rPr>
            </w:pPr>
            <w:r>
              <w:rPr>
                <w:rFonts w:ascii="Calibri" w:cs="Calibri" w:eastAsia="Calibri" w:hAnsi="Calibri"/>
                <w:sz w:val="14"/>
                <w:szCs w:val="14"/>
                <w:b w:val="1"/>
                <w:bCs w:val="1"/>
                <w:color w:val="auto"/>
              </w:rPr>
              <w:t>inputs</w:t>
            </w:r>
          </w:p>
        </w:tc>
        <w:tc>
          <w:tcPr>
            <w:tcW w:w="146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unobservable inputs</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56"/>
              <w:spacing w:after="0"/>
              <w:rPr>
                <w:sz w:val="20"/>
                <w:szCs w:val="20"/>
                <w:color w:val="auto"/>
              </w:rPr>
            </w:pPr>
            <w:r>
              <w:rPr>
                <w:rFonts w:ascii="Calibri" w:cs="Calibri" w:eastAsia="Calibri" w:hAnsi="Calibri"/>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tcPr>
          <w:p>
            <w:pPr>
              <w:jc w:val="center"/>
              <w:ind w:right="96"/>
              <w:spacing w:after="0"/>
              <w:rPr>
                <w:sz w:val="20"/>
                <w:szCs w:val="20"/>
                <w:color w:val="auto"/>
              </w:rPr>
            </w:pPr>
            <w:r>
              <w:rPr>
                <w:rFonts w:ascii="Calibri" w:cs="Calibri" w:eastAsia="Calibri" w:hAnsi="Calibri"/>
                <w:sz w:val="14"/>
                <w:szCs w:val="14"/>
                <w:b w:val="1"/>
                <w:bCs w:val="1"/>
                <w:color w:val="auto"/>
              </w:rPr>
              <w:t>(Level 2)</w:t>
            </w:r>
          </w:p>
        </w:tc>
        <w:tc>
          <w:tcPr>
            <w:tcW w:w="360" w:type="dxa"/>
            <w:vAlign w:val="bottom"/>
          </w:tcPr>
          <w:p>
            <w:pPr>
              <w:spacing w:after="0"/>
              <w:rPr>
                <w:sz w:val="14"/>
                <w:szCs w:val="14"/>
                <w:color w:val="auto"/>
              </w:rPr>
            </w:pPr>
          </w:p>
        </w:tc>
        <w:tc>
          <w:tcPr>
            <w:tcW w:w="1100" w:type="dxa"/>
            <w:vAlign w:val="bottom"/>
          </w:tcPr>
          <w:p>
            <w:pPr>
              <w:jc w:val="center"/>
              <w:ind w:right="193"/>
              <w:spacing w:after="0"/>
              <w:rPr>
                <w:sz w:val="20"/>
                <w:szCs w:val="20"/>
                <w:color w:val="auto"/>
              </w:rPr>
            </w:pPr>
            <w:r>
              <w:rPr>
                <w:rFonts w:ascii="Calibri" w:cs="Calibri" w:eastAsia="Calibri" w:hAnsi="Calibri"/>
                <w:sz w:val="14"/>
                <w:szCs w:val="14"/>
                <w:b w:val="1"/>
                <w:bCs w:val="1"/>
                <w:color w:val="auto"/>
              </w:rPr>
              <w:t>(Level 3)</w:t>
            </w:r>
          </w:p>
        </w:tc>
        <w:tc>
          <w:tcPr>
            <w:tcW w:w="0" w:type="dxa"/>
            <w:vAlign w:val="bottom"/>
          </w:tcPr>
          <w:p>
            <w:pPr>
              <w:spacing w:after="0"/>
              <w:rPr>
                <w:sz w:val="1"/>
                <w:szCs w:val="1"/>
                <w:color w:val="auto"/>
              </w:rPr>
            </w:pPr>
          </w:p>
        </w:tc>
      </w:tr>
      <w:tr>
        <w:trPr>
          <w:trHeight w:val="46"/>
        </w:trPr>
        <w:tc>
          <w:tcPr>
            <w:tcW w:w="41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and equivalents</w:t>
            </w:r>
          </w:p>
        </w:tc>
        <w:tc>
          <w:tcPr>
            <w:tcW w:w="16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12,814</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6,223</w:t>
            </w:r>
          </w:p>
        </w:tc>
        <w:tc>
          <w:tcPr>
            <w:tcW w:w="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6,591</w:t>
            </w:r>
          </w:p>
        </w:tc>
        <w:tc>
          <w:tcPr>
            <w:tcW w:w="360" w:type="dxa"/>
            <w:vAlign w:val="bottom"/>
            <w:shd w:val="clear" w:color="auto" w:fill="CCEEFF"/>
          </w:tcPr>
          <w:p>
            <w:pPr>
              <w:jc w:val="right"/>
              <w:ind w:right="74"/>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Money market funds and tme deposits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10</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Debt securites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26</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Equity securites</w:t>
            </w:r>
          </w:p>
        </w:tc>
        <w:tc>
          <w:tcPr>
            <w:tcW w:w="1600" w:type="dxa"/>
            <w:vAlign w:val="bottom"/>
          </w:tcPr>
          <w:p>
            <w:pPr>
              <w:spacing w:after="0"/>
              <w:rPr>
                <w:sz w:val="19"/>
                <w:szCs w:val="19"/>
                <w:color w:val="auto"/>
              </w:rPr>
            </w:pP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111</w:t>
            </w:r>
          </w:p>
        </w:tc>
        <w:tc>
          <w:tcPr>
            <w:tcW w:w="120" w:type="dxa"/>
            <w:vAlign w:val="bottom"/>
          </w:tcPr>
          <w:p>
            <w:pPr>
              <w:spacing w:after="0"/>
              <w:rPr>
                <w:sz w:val="19"/>
                <w:szCs w:val="19"/>
                <w:color w:val="auto"/>
              </w:rPr>
            </w:pP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86</w:t>
            </w:r>
          </w:p>
        </w:tc>
        <w:tc>
          <w:tcPr>
            <w:tcW w:w="24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c>
          <w:tcPr>
            <w:tcW w:w="36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Foreign currency contracts</w:t>
            </w:r>
          </w:p>
        </w:tc>
        <w:tc>
          <w:tcPr>
            <w:tcW w:w="1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66</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66</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assets</w:t>
            </w:r>
          </w:p>
        </w:tc>
        <w:tc>
          <w:tcPr>
            <w:tcW w:w="16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13,027</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6,309</w:t>
            </w:r>
          </w:p>
        </w:tc>
        <w:tc>
          <w:tcPr>
            <w:tcW w:w="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6,718</w:t>
            </w:r>
          </w:p>
        </w:tc>
        <w:tc>
          <w:tcPr>
            <w:tcW w:w="360" w:type="dxa"/>
            <w:vAlign w:val="bottom"/>
            <w:tcBorders>
              <w:bottom w:val="single" w:sz="8" w:color="auto"/>
            </w:tcBorders>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rate swap contracts</w:t>
            </w:r>
          </w:p>
        </w:tc>
        <w:tc>
          <w:tcPr>
            <w:tcW w:w="16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92"/>
              <w:spacing w:after="0" w:line="215" w:lineRule="exact"/>
              <w:rPr>
                <w:sz w:val="20"/>
                <w:szCs w:val="20"/>
                <w:color w:val="auto"/>
              </w:rPr>
            </w:pPr>
            <w:r>
              <w:rPr>
                <w:rFonts w:ascii="Calibri" w:cs="Calibri" w:eastAsia="Calibri" w:hAnsi="Calibri"/>
                <w:sz w:val="18"/>
                <w:szCs w:val="18"/>
                <w:color w:val="auto"/>
              </w:rPr>
              <w:t>293</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293</w:t>
            </w:r>
          </w:p>
        </w:tc>
        <w:tc>
          <w:tcPr>
            <w:tcW w:w="360" w:type="dxa"/>
            <w:vAlign w:val="bottom"/>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Foreign currency contracts</w:t>
            </w:r>
          </w:p>
        </w:tc>
        <w:tc>
          <w:tcPr>
            <w:tcW w:w="1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2"/>
              <w:spacing w:after="0"/>
              <w:rPr>
                <w:sz w:val="20"/>
                <w:szCs w:val="20"/>
                <w:color w:val="auto"/>
              </w:rPr>
            </w:pPr>
            <w:r>
              <w:rPr>
                <w:rFonts w:ascii="Calibri" w:cs="Calibri" w:eastAsia="Calibri" w:hAnsi="Calibri"/>
                <w:sz w:val="18"/>
                <w:szCs w:val="18"/>
                <w:color w:val="auto"/>
              </w:rPr>
              <w:t>203</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203</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Contngent consideraton</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line="215" w:lineRule="exact"/>
              <w:rPr>
                <w:sz w:val="20"/>
                <w:szCs w:val="20"/>
                <w:color w:val="auto"/>
              </w:rPr>
            </w:pPr>
            <w:r>
              <w:rPr>
                <w:rFonts w:ascii="Calibri" w:cs="Calibri" w:eastAsia="Calibri" w:hAnsi="Calibri"/>
                <w:sz w:val="18"/>
                <w:szCs w:val="18"/>
                <w:color w:val="auto"/>
              </w:rPr>
              <w:t>19,890</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19,890</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16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ind w:right="92"/>
              <w:spacing w:after="0" w:line="215" w:lineRule="exact"/>
              <w:rPr>
                <w:sz w:val="20"/>
                <w:szCs w:val="20"/>
                <w:color w:val="auto"/>
              </w:rPr>
            </w:pPr>
            <w:r>
              <w:rPr>
                <w:rFonts w:ascii="Calibri" w:cs="Calibri" w:eastAsia="Calibri" w:hAnsi="Calibri"/>
                <w:sz w:val="18"/>
                <w:szCs w:val="18"/>
                <w:color w:val="auto"/>
              </w:rPr>
              <w:t>20,386</w:t>
            </w: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ind w:right="16"/>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496</w:t>
            </w:r>
          </w:p>
        </w:tc>
        <w:tc>
          <w:tcPr>
            <w:tcW w:w="360" w:type="dxa"/>
            <w:vAlign w:val="bottom"/>
            <w:tcBorders>
              <w:bottom w:val="single" w:sz="8" w:color="auto"/>
            </w:tcBorders>
            <w:shd w:val="clear" w:color="auto" w:fill="CCEEFF"/>
          </w:tcPr>
          <w:p>
            <w:pPr>
              <w:jc w:val="right"/>
              <w:ind w:right="74"/>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19,890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Money market funds and tme deposits are valued using relevant observable market inputs including quoted prices for similar assets and interest rate curves. Equity securites primarily consist of investments for which the fair values were determined by using the published market prices per unit multplied by the number of units held, without consideraton of transacton costs. The derivatves entered into by the company were valued using observable market inputs including published interest rate curves and both forward and spot prices for foreign currencies.</w:t>
      </w:r>
    </w:p>
    <w:p>
      <w:pPr>
        <w:spacing w:after="0" w:line="15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fair value measurements of the contngent consideraton liabilites were determined based on signifcant unobservable inputs, including the discount rate, estmated probabilites and tming of achieving specifed development, regulatory and commercial milestones and the estmated amount of future sales of the acquired products. The potental contngent consideraton payments are estmated by applying a probability-weighted expected payment model for contngent milestone payments and a Monte Carlo simulaton model for contngent royalty payments, which are then discounted to present value. Changes to the fair value of the contngent consideraton liabilites can result from changes to one or a number of inputs, including discount rates, the probabilites of achieving the milestones, the tme required to achieve the milestones and estmated future sales. Signifcant judgment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488950</wp:posOffset>
            </wp:positionV>
            <wp:extent cx="51435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17</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9" w:name="page20"/>
    <w:bookmarkEnd w:id="19"/>
    <w:p>
      <w:pPr>
        <w:ind w:right="700"/>
        <w:spacing w:after="0" w:line="235" w:lineRule="auto"/>
        <w:rPr>
          <w:sz w:val="20"/>
          <w:szCs w:val="20"/>
          <w:color w:val="auto"/>
        </w:rPr>
      </w:pPr>
      <w:r>
        <w:rPr>
          <w:rFonts w:ascii="Calibri" w:cs="Calibri" w:eastAsia="Calibri" w:hAnsi="Calibri"/>
          <w:sz w:val="18"/>
          <w:szCs w:val="18"/>
          <w:color w:val="auto"/>
        </w:rPr>
        <w:t>employed in determining the appropriateness of certain of these inputs. Changes to the inputs described above could have a material impact on the company's fnancial positon and results of operatons in any given period.</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 of the company's contngent consideraton liabilites was calculated using the following signifcant unobservable inputs: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700" w:type="dxa"/>
            <w:vAlign w:val="bottom"/>
            <w:gridSpan w:val="3"/>
          </w:tcPr>
          <w:p>
            <w:pPr>
              <w:ind w:left="900"/>
              <w:spacing w:after="0"/>
              <w:rPr>
                <w:sz w:val="20"/>
                <w:szCs w:val="20"/>
                <w:color w:val="auto"/>
              </w:rPr>
            </w:pPr>
            <w:r>
              <w:rPr>
                <w:rFonts w:ascii="Calibri" w:cs="Calibri" w:eastAsia="Calibri" w:hAnsi="Calibri"/>
                <w:sz w:val="14"/>
                <w:szCs w:val="14"/>
                <w:b w:val="1"/>
                <w:bCs w:val="1"/>
                <w:color w:val="auto"/>
              </w:rPr>
              <w:t>June 30, 2024</w:t>
            </w:r>
          </w:p>
        </w:tc>
        <w:tc>
          <w:tcPr>
            <w:tcW w:w="2600" w:type="dxa"/>
            <w:vAlign w:val="bottom"/>
            <w:gridSpan w:val="2"/>
          </w:tcPr>
          <w:p>
            <w:pPr>
              <w:jc w:val="right"/>
              <w:ind w:right="635"/>
              <w:spacing w:after="0"/>
              <w:rPr>
                <w:sz w:val="20"/>
                <w:szCs w:val="20"/>
                <w:color w:val="auto"/>
              </w:rPr>
            </w:pPr>
            <w:r>
              <w:rPr>
                <w:rFonts w:ascii="Calibri" w:cs="Calibri" w:eastAsia="Calibri" w:hAnsi="Calibri"/>
                <w:sz w:val="14"/>
                <w:szCs w:val="14"/>
                <w:b w:val="1"/>
                <w:bCs w:val="1"/>
                <w:color w:val="auto"/>
              </w:rPr>
              <w:t>December 31, 2023</w:t>
            </w:r>
          </w:p>
        </w:tc>
        <w:tc>
          <w:tcPr>
            <w:tcW w:w="0" w:type="dxa"/>
            <w:vAlign w:val="bottom"/>
          </w:tcPr>
          <w:p>
            <w:pPr>
              <w:spacing w:after="0"/>
              <w:rPr>
                <w:sz w:val="1"/>
                <w:szCs w:val="1"/>
                <w:color w:val="auto"/>
              </w:rPr>
            </w:pPr>
          </w:p>
        </w:tc>
      </w:tr>
      <w:tr>
        <w:trPr>
          <w:trHeight w:val="47"/>
        </w:trPr>
        <w:tc>
          <w:tcPr>
            <w:tcW w:w="59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7"/>
              <w:spacing w:after="0"/>
              <w:rPr>
                <w:sz w:val="20"/>
                <w:szCs w:val="20"/>
                <w:color w:val="auto"/>
              </w:rPr>
            </w:pPr>
            <w:r>
              <w:rPr>
                <w:rFonts w:ascii="Calibri" w:cs="Calibri" w:eastAsia="Calibri" w:hAnsi="Calibri"/>
                <w:sz w:val="14"/>
                <w:szCs w:val="14"/>
                <w:b w:val="1"/>
                <w:bCs w:val="1"/>
                <w:color w:val="auto"/>
              </w:rPr>
              <w:t>Range</w:t>
            </w:r>
          </w:p>
        </w:tc>
        <w:tc>
          <w:tcPr>
            <w:tcW w:w="128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4"/>
                <w:szCs w:val="14"/>
                <w:b w:val="1"/>
                <w:bCs w:val="1"/>
                <w:color w:val="auto"/>
              </w:rPr>
              <w:t>Weighted average</w:t>
            </w:r>
            <w:r>
              <w:rPr>
                <w:rFonts w:ascii="Calibri" w:cs="Calibri" w:eastAsia="Calibri" w:hAnsi="Calibri"/>
                <w:sz w:val="18"/>
                <w:szCs w:val="18"/>
                <w:b w:val="1"/>
                <w:bCs w:val="1"/>
                <w:color w:val="auto"/>
                <w:vertAlign w:val="superscript"/>
              </w:rPr>
              <w:t>(a)</w:t>
            </w:r>
          </w:p>
        </w:tc>
        <w:tc>
          <w:tcPr>
            <w:tcW w:w="10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7"/>
              <w:spacing w:after="0"/>
              <w:rPr>
                <w:sz w:val="20"/>
                <w:szCs w:val="20"/>
                <w:color w:val="auto"/>
              </w:rPr>
            </w:pPr>
            <w:r>
              <w:rPr>
                <w:rFonts w:ascii="Calibri" w:cs="Calibri" w:eastAsia="Calibri" w:hAnsi="Calibri"/>
                <w:sz w:val="14"/>
                <w:szCs w:val="14"/>
                <w:b w:val="1"/>
                <w:bCs w:val="1"/>
                <w:color w:val="auto"/>
              </w:rPr>
              <w:t>Range</w:t>
            </w:r>
          </w:p>
        </w:tc>
        <w:tc>
          <w:tcPr>
            <w:tcW w:w="128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4"/>
                <w:szCs w:val="14"/>
                <w:b w:val="1"/>
                <w:bCs w:val="1"/>
                <w:color w:val="auto"/>
              </w:rPr>
              <w:t>Weighted average</w:t>
            </w:r>
            <w:r>
              <w:rPr>
                <w:rFonts w:ascii="Calibri" w:cs="Calibri" w:eastAsia="Calibri" w:hAnsi="Calibri"/>
                <w:sz w:val="18"/>
                <w:szCs w:val="18"/>
                <w:b w:val="1"/>
                <w:bCs w:val="1"/>
                <w:color w:val="auto"/>
                <w:vertAlign w:val="superscript"/>
              </w:rPr>
              <w:t>(a)</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Discount rate</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 - 5.9%</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 - 5.9%</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line="230" w:lineRule="exact"/>
              <w:rPr>
                <w:sz w:val="20"/>
                <w:szCs w:val="20"/>
                <w:color w:val="auto"/>
              </w:rPr>
            </w:pPr>
            <w:r>
              <w:rPr>
                <w:rFonts w:ascii="Calibri" w:cs="Calibri" w:eastAsia="Calibri" w:hAnsi="Calibri"/>
                <w:sz w:val="18"/>
                <w:szCs w:val="18"/>
                <w:color w:val="auto"/>
              </w:rPr>
              <w:t>Probability of payment for royaltes by indicaton</w:t>
            </w:r>
            <w:r>
              <w:rPr>
                <w:rFonts w:ascii="Calibri" w:cs="Calibri" w:eastAsia="Calibri" w:hAnsi="Calibri"/>
                <w:sz w:val="23"/>
                <w:szCs w:val="23"/>
                <w:color w:val="auto"/>
                <w:vertAlign w:val="superscript"/>
              </w:rPr>
              <w:t>(b)</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89% - 100%</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10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89% - 100%</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Projected year of payments</w:t>
            </w: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2024 - 2034</w:t>
            </w: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2029</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2024 - 2034</w:t>
            </w:r>
          </w:p>
        </w:tc>
        <w:tc>
          <w:tcPr>
            <w:tcW w:w="12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2027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40" w:hanging="232"/>
        <w:spacing w:after="0"/>
        <w:tabs>
          <w:tab w:leader="none" w:pos="2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Unobservable inputs were weighted by the relatve fair value of the contngent consideraton liabilites.</w:t>
      </w:r>
    </w:p>
    <w:p>
      <w:pPr>
        <w:spacing w:after="0" w:line="131" w:lineRule="exact"/>
        <w:rPr>
          <w:rFonts w:ascii="Calibri" w:cs="Calibri" w:eastAsia="Calibri" w:hAnsi="Calibri"/>
          <w:sz w:val="18"/>
          <w:szCs w:val="18"/>
          <w:color w:val="auto"/>
        </w:rPr>
      </w:pPr>
    </w:p>
    <w:p>
      <w:pPr>
        <w:ind w:left="240" w:hanging="232"/>
        <w:spacing w:after="0"/>
        <w:tabs>
          <w:tab w:leader="none" w:pos="2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Excluding approved indicatons, the estmated probability of payment was 89% at June 30, 2024 and December 31, 2023.</w:t>
      </w:r>
    </w:p>
    <w:p>
      <w:pPr>
        <w:spacing w:after="0" w:line="15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There have been no transfers of assets or liabilites into or out of Level 3 of the fair value hierarchy. The following table presents the changes in fair value of total contngent consideraton liabilites which are measured using Level 3 inputs: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210"/>
              <w:spacing w:after="0"/>
              <w:rPr>
                <w:sz w:val="20"/>
                <w:szCs w:val="20"/>
                <w:color w:val="auto"/>
              </w:rPr>
            </w:pPr>
            <w:r>
              <w:rPr>
                <w:rFonts w:ascii="Calibri" w:cs="Calibri" w:eastAsia="Calibri" w:hAnsi="Calibri"/>
                <w:sz w:val="14"/>
                <w:szCs w:val="14"/>
                <w:b w:val="1"/>
                <w:bCs w:val="1"/>
                <w:color w:val="auto"/>
              </w:rPr>
              <w:t>June 30,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8"/>
              <w:spacing w:after="0" w:line="164" w:lineRule="exact"/>
              <w:rPr>
                <w:sz w:val="20"/>
                <w:szCs w:val="20"/>
                <w:color w:val="auto"/>
              </w:rPr>
            </w:pPr>
            <w:r>
              <w:rPr>
                <w:rFonts w:ascii="Calibri" w:cs="Calibri" w:eastAsia="Calibri" w:hAnsi="Calibri"/>
                <w:sz w:val="14"/>
                <w:szCs w:val="14"/>
                <w:b w:val="1"/>
                <w:bCs w:val="1"/>
                <w:color w:val="auto"/>
              </w:rPr>
              <w:t>2024</w:t>
            </w:r>
          </w:p>
        </w:tc>
        <w:tc>
          <w:tcPr>
            <w:tcW w:w="540" w:type="dxa"/>
            <w:vAlign w:val="bottom"/>
          </w:tcPr>
          <w:p>
            <w:pPr>
              <w:spacing w:after="0"/>
              <w:rPr>
                <w:sz w:val="14"/>
                <w:szCs w:val="14"/>
                <w:color w:val="auto"/>
              </w:rPr>
            </w:pPr>
          </w:p>
        </w:tc>
        <w:tc>
          <w:tcPr>
            <w:tcW w:w="820" w:type="dxa"/>
            <w:vAlign w:val="bottom"/>
          </w:tcPr>
          <w:p>
            <w:pPr>
              <w:jc w:val="right"/>
              <w:ind w:right="414"/>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Beginning balance</w:t>
            </w: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ind w:right="38"/>
              <w:spacing w:after="0" w:line="215" w:lineRule="exact"/>
              <w:rPr>
                <w:sz w:val="20"/>
                <w:szCs w:val="20"/>
                <w:color w:val="auto"/>
              </w:rPr>
            </w:pPr>
            <w:r>
              <w:rPr>
                <w:rFonts w:ascii="Calibri" w:cs="Calibri" w:eastAsia="Calibri" w:hAnsi="Calibri"/>
                <w:sz w:val="18"/>
                <w:szCs w:val="18"/>
                <w:color w:val="auto"/>
              </w:rPr>
              <w:t>19,890</w:t>
            </w:r>
          </w:p>
        </w:tc>
        <w:tc>
          <w:tcPr>
            <w:tcW w:w="540" w:type="dxa"/>
            <w:vAlign w:val="bottom"/>
            <w:shd w:val="clear" w:color="auto" w:fill="CCEEFF"/>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16,384</w:t>
            </w:r>
          </w:p>
        </w:tc>
        <w:tc>
          <w:tcPr>
            <w:tcW w:w="0" w:type="dxa"/>
            <w:vAlign w:val="bottom"/>
          </w:tcPr>
          <w:p>
            <w:pPr>
              <w:spacing w:after="0"/>
              <w:rPr>
                <w:sz w:val="1"/>
                <w:szCs w:val="1"/>
                <w:color w:val="auto"/>
              </w:rPr>
            </w:pPr>
          </w:p>
        </w:tc>
      </w:tr>
      <w:tr>
        <w:trPr>
          <w:trHeight w:val="222"/>
        </w:trPr>
        <w:tc>
          <w:tcPr>
            <w:tcW w:w="8520" w:type="dxa"/>
            <w:vAlign w:val="bottom"/>
          </w:tcPr>
          <w:p>
            <w:pPr>
              <w:ind w:left="20"/>
              <w:spacing w:after="0" w:line="215" w:lineRule="exact"/>
              <w:rPr>
                <w:sz w:val="20"/>
                <w:szCs w:val="20"/>
                <w:color w:val="auto"/>
              </w:rPr>
            </w:pPr>
            <w:r>
              <w:rPr>
                <w:rFonts w:ascii="Calibri" w:cs="Calibri" w:eastAsia="Calibri" w:hAnsi="Calibri"/>
                <w:sz w:val="18"/>
                <w:szCs w:val="18"/>
                <w:color w:val="auto"/>
              </w:rPr>
              <w:t>Change in fair value recognized in net earnings</w:t>
            </w:r>
          </w:p>
        </w:tc>
        <w:tc>
          <w:tcPr>
            <w:tcW w:w="300" w:type="dxa"/>
            <w:vAlign w:val="bottom"/>
          </w:tcPr>
          <w:p>
            <w:pPr>
              <w:spacing w:after="0"/>
              <w:rPr>
                <w:sz w:val="19"/>
                <w:szCs w:val="19"/>
                <w:color w:val="auto"/>
              </w:rPr>
            </w:pPr>
          </w:p>
        </w:tc>
        <w:tc>
          <w:tcPr>
            <w:tcW w:w="106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2,136</w:t>
            </w:r>
          </w:p>
        </w:tc>
        <w:tc>
          <w:tcPr>
            <w:tcW w:w="54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3,424</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Payments</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(876)</w:t>
            </w:r>
          </w:p>
        </w:tc>
        <w:tc>
          <w:tcPr>
            <w:tcW w:w="5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(657)</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Ending balance</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21,150</w:t>
            </w:r>
          </w:p>
        </w:tc>
        <w:tc>
          <w:tcPr>
            <w:tcW w:w="54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19,151</w:t>
            </w: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change in fair value recognized in net earnings is recorded in other expense, net in the condensed consolidated statements of earnings. Contngent consideraton payments of amounts up to the inital acquisiton date fair value are classifed as cash outlows from fnancing actvites and payments of amounts in excess of the inital acquisiton date fair value are classifed as cash outlows from operatng actvites in the condensed consolidated statements of cash fows.</w:t>
      </w:r>
    </w:p>
    <w:p>
      <w:pPr>
        <w:spacing w:after="0" w:line="152"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Certain fnancial instruments are carried at historical cost or some basis other than fair value. The book values, approximate fair values and bases used to measure the approximate fair values of certain fnancial instruments as of June 30, 2024 are shown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5"/>
          </w:tcPr>
          <w:p>
            <w:pPr>
              <w:jc w:val="center"/>
              <w:ind w:right="22"/>
              <w:spacing w:after="0"/>
              <w:rPr>
                <w:sz w:val="20"/>
                <w:szCs w:val="20"/>
                <w:color w:val="auto"/>
              </w:rPr>
            </w:pPr>
            <w:r>
              <w:rPr>
                <w:rFonts w:ascii="Calibri" w:cs="Calibri" w:eastAsia="Calibri" w:hAnsi="Calibri"/>
                <w:sz w:val="14"/>
                <w:szCs w:val="14"/>
                <w:b w:val="1"/>
                <w:bCs w:val="1"/>
                <w:color w:val="auto"/>
              </w:rPr>
              <w:t>Basis of fair value measurement</w:t>
            </w:r>
          </w:p>
        </w:tc>
        <w:tc>
          <w:tcPr>
            <w:tcW w:w="0" w:type="dxa"/>
            <w:vAlign w:val="bottom"/>
          </w:tcPr>
          <w:p>
            <w:pPr>
              <w:spacing w:after="0"/>
              <w:rPr>
                <w:sz w:val="1"/>
                <w:szCs w:val="1"/>
                <w:color w:val="auto"/>
              </w:rPr>
            </w:pPr>
          </w:p>
        </w:tc>
      </w:tr>
      <w:tr>
        <w:trPr>
          <w:trHeight w:val="47"/>
        </w:trPr>
        <w:tc>
          <w:tcPr>
            <w:tcW w:w="4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62"/>
              <w:spacing w:after="0" w:line="115" w:lineRule="exact"/>
              <w:rPr>
                <w:sz w:val="20"/>
                <w:szCs w:val="20"/>
                <w:color w:val="auto"/>
              </w:rPr>
            </w:pPr>
            <w:r>
              <w:rPr>
                <w:rFonts w:ascii="Calibri" w:cs="Calibri" w:eastAsia="Calibri" w:hAnsi="Calibri"/>
                <w:sz w:val="12"/>
                <w:szCs w:val="12"/>
                <w:b w:val="1"/>
                <w:bCs w:val="1"/>
                <w:color w:val="auto"/>
              </w:rPr>
              <w:t>Quoted prices</w:t>
            </w: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right="102"/>
              <w:spacing w:after="0" w:line="115" w:lineRule="exact"/>
              <w:rPr>
                <w:sz w:val="20"/>
                <w:szCs w:val="20"/>
                <w:color w:val="auto"/>
              </w:rPr>
            </w:pPr>
            <w:r>
              <w:rPr>
                <w:rFonts w:ascii="Calibri" w:cs="Calibri" w:eastAsia="Calibri" w:hAnsi="Calibri"/>
                <w:sz w:val="12"/>
                <w:szCs w:val="12"/>
                <w:b w:val="1"/>
                <w:bCs w:val="1"/>
                <w:color w:val="auto"/>
              </w:rPr>
              <w:t>Signifcant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Calibri" w:cs="Calibri" w:eastAsia="Calibri" w:hAnsi="Calibri"/>
                <w:sz w:val="14"/>
                <w:szCs w:val="14"/>
                <w:b w:val="1"/>
                <w:bCs w:val="1"/>
                <w:color w:val="auto"/>
              </w:rPr>
              <w:t>in actve markets</w:t>
            </w:r>
          </w:p>
        </w:tc>
        <w:tc>
          <w:tcPr>
            <w:tcW w:w="180" w:type="dxa"/>
            <w:vAlign w:val="bottom"/>
          </w:tcPr>
          <w:p>
            <w:pPr>
              <w:spacing w:after="0"/>
              <w:rPr>
                <w:sz w:val="12"/>
                <w:szCs w:val="12"/>
                <w:color w:val="auto"/>
              </w:rPr>
            </w:pPr>
          </w:p>
        </w:tc>
        <w:tc>
          <w:tcPr>
            <w:tcW w:w="1160" w:type="dxa"/>
            <w:vAlign w:val="bottom"/>
          </w:tcPr>
          <w:p>
            <w:pPr>
              <w:jc w:val="center"/>
              <w:ind w:right="97"/>
              <w:spacing w:after="0" w:line="149" w:lineRule="exact"/>
              <w:rPr>
                <w:sz w:val="20"/>
                <w:szCs w:val="20"/>
                <w:color w:val="auto"/>
              </w:rPr>
            </w:pPr>
            <w:r>
              <w:rPr>
                <w:rFonts w:ascii="Calibri" w:cs="Calibri" w:eastAsia="Calibri" w:hAnsi="Calibri"/>
                <w:sz w:val="14"/>
                <w:szCs w:val="14"/>
                <w:b w:val="1"/>
                <w:bCs w:val="1"/>
                <w:color w:val="auto"/>
              </w:rPr>
              <w:t>Signifcant other</w:t>
            </w:r>
          </w:p>
        </w:tc>
        <w:tc>
          <w:tcPr>
            <w:tcW w:w="2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Calibri" w:cs="Calibri" w:eastAsia="Calibri" w:hAnsi="Calibri"/>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Calibri" w:cs="Calibri" w:eastAsia="Calibri" w:hAnsi="Calibri"/>
                <w:sz w:val="14"/>
                <w:szCs w:val="14"/>
                <w:b w:val="1"/>
                <w:bCs w:val="1"/>
                <w:color w:val="auto"/>
              </w:rPr>
              <w:t>Book value</w:t>
            </w:r>
          </w:p>
        </w:tc>
        <w:tc>
          <w:tcPr>
            <w:tcW w:w="140" w:type="dxa"/>
            <w:vAlign w:val="bottom"/>
          </w:tcPr>
          <w:p>
            <w:pPr>
              <w:spacing w:after="0"/>
              <w:rPr>
                <w:sz w:val="12"/>
                <w:szCs w:val="12"/>
                <w:color w:val="auto"/>
              </w:rPr>
            </w:pPr>
          </w:p>
        </w:tc>
        <w:tc>
          <w:tcPr>
            <w:tcW w:w="1240" w:type="dxa"/>
            <w:vAlign w:val="bottom"/>
          </w:tcPr>
          <w:p>
            <w:pPr>
              <w:jc w:val="right"/>
              <w:ind w:right="137"/>
              <w:spacing w:after="0" w:line="149" w:lineRule="exact"/>
              <w:rPr>
                <w:sz w:val="20"/>
                <w:szCs w:val="20"/>
                <w:color w:val="auto"/>
              </w:rPr>
            </w:pPr>
            <w:r>
              <w:rPr>
                <w:rFonts w:ascii="Calibri" w:cs="Calibri" w:eastAsia="Calibri" w:hAnsi="Calibri"/>
                <w:sz w:val="14"/>
                <w:szCs w:val="14"/>
                <w:b w:val="1"/>
                <w:bCs w:val="1"/>
                <w:color w:val="auto"/>
              </w:rPr>
              <w:t>Approximate fair</w:t>
            </w:r>
          </w:p>
        </w:tc>
        <w:tc>
          <w:tcPr>
            <w:tcW w:w="1280" w:type="dxa"/>
            <w:vAlign w:val="bottom"/>
            <w:gridSpan w:val="2"/>
          </w:tcPr>
          <w:p>
            <w:pPr>
              <w:jc w:val="center"/>
              <w:ind w:right="2"/>
              <w:spacing w:after="0" w:line="149" w:lineRule="exact"/>
              <w:rPr>
                <w:sz w:val="20"/>
                <w:szCs w:val="20"/>
                <w:color w:val="auto"/>
              </w:rPr>
            </w:pPr>
            <w:r>
              <w:rPr>
                <w:rFonts w:ascii="Calibri" w:cs="Calibri" w:eastAsia="Calibri" w:hAnsi="Calibri"/>
                <w:sz w:val="14"/>
                <w:szCs w:val="14"/>
                <w:b w:val="1"/>
                <w:bCs w:val="1"/>
                <w:color w:val="auto"/>
              </w:rPr>
              <w:t>for identcal assets</w:t>
            </w:r>
          </w:p>
        </w:tc>
        <w:tc>
          <w:tcPr>
            <w:tcW w:w="134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observable inputs</w:t>
            </w:r>
          </w:p>
        </w:tc>
        <w:tc>
          <w:tcPr>
            <w:tcW w:w="24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Calibri" w:cs="Calibri" w:eastAsia="Calibri" w:hAnsi="Calibri"/>
                <w:sz w:val="14"/>
                <w:szCs w:val="14"/>
                <w:b w:val="1"/>
                <w:bCs w:val="1"/>
                <w:color w:val="auto"/>
                <w:w w:val="98"/>
              </w:rPr>
              <w:t>inputs</w:t>
            </w:r>
          </w:p>
        </w:tc>
        <w:tc>
          <w:tcPr>
            <w:tcW w:w="0" w:type="dxa"/>
            <w:vAlign w:val="bottom"/>
          </w:tcPr>
          <w:p>
            <w:pPr>
              <w:spacing w:after="0"/>
              <w:rPr>
                <w:sz w:val="1"/>
                <w:szCs w:val="1"/>
                <w:color w:val="auto"/>
              </w:rPr>
            </w:pPr>
          </w:p>
        </w:tc>
      </w:tr>
      <w:tr>
        <w:trPr>
          <w:trHeight w:val="170"/>
        </w:trPr>
        <w:tc>
          <w:tcPr>
            <w:tcW w:w="4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77"/>
              <w:spacing w:after="0"/>
              <w:rPr>
                <w:sz w:val="20"/>
                <w:szCs w:val="20"/>
                <w:color w:val="auto"/>
              </w:rPr>
            </w:pPr>
            <w:r>
              <w:rPr>
                <w:rFonts w:ascii="Calibri" w:cs="Calibri" w:eastAsia="Calibri" w:hAnsi="Calibri"/>
                <w:sz w:val="14"/>
                <w:szCs w:val="14"/>
                <w:b w:val="1"/>
                <w:bCs w:val="1"/>
                <w:color w:val="auto"/>
              </w:rPr>
              <w:t>value</w:t>
            </w:r>
          </w:p>
        </w:tc>
        <w:tc>
          <w:tcPr>
            <w:tcW w:w="100" w:type="dxa"/>
            <w:vAlign w:val="bottom"/>
          </w:tcPr>
          <w:p>
            <w:pPr>
              <w:spacing w:after="0"/>
              <w:rPr>
                <w:sz w:val="14"/>
                <w:szCs w:val="14"/>
                <w:color w:val="auto"/>
              </w:rPr>
            </w:pPr>
          </w:p>
        </w:tc>
        <w:tc>
          <w:tcPr>
            <w:tcW w:w="1180" w:type="dxa"/>
            <w:vAlign w:val="bottom"/>
          </w:tcPr>
          <w:p>
            <w:pPr>
              <w:jc w:val="center"/>
              <w:ind w:right="62"/>
              <w:spacing w:after="0"/>
              <w:rPr>
                <w:sz w:val="20"/>
                <w:szCs w:val="20"/>
                <w:color w:val="auto"/>
              </w:rPr>
            </w:pPr>
            <w:r>
              <w:rPr>
                <w:rFonts w:ascii="Calibri" w:cs="Calibri" w:eastAsia="Calibri" w:hAnsi="Calibri"/>
                <w:sz w:val="14"/>
                <w:szCs w:val="14"/>
                <w:b w:val="1"/>
                <w:bCs w:val="1"/>
                <w:color w:val="auto"/>
              </w:rPr>
              <w:t>(Level 1)</w:t>
            </w:r>
          </w:p>
        </w:tc>
        <w:tc>
          <w:tcPr>
            <w:tcW w:w="18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(Level 2)</w:t>
            </w:r>
          </w:p>
        </w:tc>
        <w:tc>
          <w:tcPr>
            <w:tcW w:w="24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Calibri" w:cs="Calibri" w:eastAsia="Calibri" w:hAnsi="Calibri"/>
                <w:sz w:val="14"/>
                <w:szCs w:val="14"/>
                <w:b w:val="1"/>
                <w:bCs w:val="1"/>
                <w:color w:val="auto"/>
              </w:rPr>
              <w:t>(Level 3)</w:t>
            </w:r>
          </w:p>
        </w:tc>
        <w:tc>
          <w:tcPr>
            <w:tcW w:w="0" w:type="dxa"/>
            <w:vAlign w:val="bottom"/>
          </w:tcPr>
          <w:p>
            <w:pPr>
              <w:spacing w:after="0"/>
              <w:rPr>
                <w:sz w:val="1"/>
                <w:szCs w:val="1"/>
                <w:color w:val="auto"/>
              </w:rPr>
            </w:pPr>
          </w:p>
        </w:tc>
      </w:tr>
      <w:tr>
        <w:trPr>
          <w:trHeight w:val="46"/>
        </w:trPr>
        <w:tc>
          <w:tcPr>
            <w:tcW w:w="4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CCEEFF"/>
          </w:tcPr>
          <w:p>
            <w:pPr>
              <w:ind w:left="20"/>
              <w:spacing w:after="0" w:line="174" w:lineRule="exact"/>
              <w:rPr>
                <w:sz w:val="20"/>
                <w:szCs w:val="20"/>
                <w:color w:val="auto"/>
              </w:rPr>
            </w:pPr>
            <w:r>
              <w:rPr>
                <w:rFonts w:ascii="Calibri" w:cs="Calibri" w:eastAsia="Calibri" w:hAnsi="Calibri"/>
                <w:sz w:val="18"/>
                <w:szCs w:val="18"/>
                <w:color w:val="auto"/>
              </w:rPr>
              <w:t>Current porton of long-term debt and fnance lease obligatons,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2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excluding fair value hedges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12,569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Calibri" w:cs="Calibri" w:eastAsia="Calibri" w:hAnsi="Calibri"/>
                <w:sz w:val="18"/>
                <w:szCs w:val="18"/>
                <w:color w:val="auto"/>
              </w:rPr>
              <w:t>12,388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Calibri" w:cs="Calibri" w:eastAsia="Calibri" w:hAnsi="Calibri"/>
                <w:sz w:val="18"/>
                <w:szCs w:val="18"/>
                <w:color w:val="auto"/>
              </w:rPr>
              <w:t>12,244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144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CEEFF"/>
            </w:tcBorders>
            <w:shd w:val="clear" w:color="auto" w:fill="CCEEFF"/>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4720" w:type="dxa"/>
            <w:vAlign w:val="bottom"/>
          </w:tcPr>
          <w:p>
            <w:pPr>
              <w:ind w:left="20"/>
              <w:spacing w:after="0" w:line="166" w:lineRule="exact"/>
              <w:rPr>
                <w:sz w:val="20"/>
                <w:szCs w:val="20"/>
                <w:color w:val="auto"/>
              </w:rPr>
            </w:pPr>
            <w:r>
              <w:rPr>
                <w:rFonts w:ascii="Calibri" w:cs="Calibri" w:eastAsia="Calibri" w:hAnsi="Calibri"/>
                <w:sz w:val="18"/>
                <w:szCs w:val="18"/>
                <w:color w:val="auto"/>
                <w:w w:val="99"/>
              </w:rPr>
              <w:t>Long-term debt and fnance lease obligatons, excluding fair value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hedges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58,352</w:t>
            </w:r>
          </w:p>
        </w:tc>
        <w:tc>
          <w:tcPr>
            <w:tcW w:w="140" w:type="dxa"/>
            <w:vAlign w:val="bottom"/>
          </w:tcPr>
          <w:p>
            <w:pPr>
              <w:spacing w:after="0"/>
              <w:rPr>
                <w:sz w:val="19"/>
                <w:szCs w:val="19"/>
                <w:color w:val="auto"/>
              </w:rPr>
            </w:pPr>
          </w:p>
        </w:tc>
        <w:tc>
          <w:tcPr>
            <w:tcW w:w="1240" w:type="dxa"/>
            <w:vAlign w:val="bottom"/>
          </w:tcPr>
          <w:p>
            <w:pPr>
              <w:jc w:val="right"/>
              <w:ind w:right="97"/>
              <w:spacing w:after="0"/>
              <w:rPr>
                <w:sz w:val="20"/>
                <w:szCs w:val="20"/>
                <w:color w:val="auto"/>
              </w:rPr>
            </w:pPr>
            <w:r>
              <w:rPr>
                <w:rFonts w:ascii="Calibri" w:cs="Calibri" w:eastAsia="Calibri" w:hAnsi="Calibri"/>
                <w:sz w:val="18"/>
                <w:szCs w:val="18"/>
                <w:color w:val="auto"/>
              </w:rPr>
              <w:t>54,084</w:t>
            </w:r>
          </w:p>
        </w:tc>
        <w:tc>
          <w:tcPr>
            <w:tcW w:w="1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Calibri" w:cs="Calibri" w:eastAsia="Calibri" w:hAnsi="Calibri"/>
                <w:sz w:val="18"/>
                <w:szCs w:val="18"/>
                <w:color w:val="auto"/>
              </w:rPr>
              <w:t>53,678</w:t>
            </w:r>
          </w:p>
        </w:tc>
        <w:tc>
          <w:tcPr>
            <w:tcW w:w="18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Calibri" w:cs="Calibri" w:eastAsia="Calibri" w:hAnsi="Calibri"/>
                <w:sz w:val="18"/>
                <w:szCs w:val="18"/>
                <w:color w:val="auto"/>
              </w:rPr>
              <w:t>406</w:t>
            </w:r>
          </w:p>
        </w:tc>
        <w:tc>
          <w:tcPr>
            <w:tcW w:w="240" w:type="dxa"/>
            <w:vAlign w:val="bottom"/>
          </w:tcPr>
          <w:p>
            <w:pPr>
              <w:spacing w:after="0"/>
              <w:rPr>
                <w:sz w:val="19"/>
                <w:szCs w:val="19"/>
                <w:color w:val="auto"/>
              </w:rPr>
            </w:pPr>
          </w:p>
        </w:tc>
        <w:tc>
          <w:tcPr>
            <w:tcW w:w="1080" w:type="dxa"/>
            <w:vAlign w:val="bottom"/>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20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70,921</w:t>
            </w: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ind w:right="97"/>
              <w:spacing w:after="0" w:line="215" w:lineRule="exact"/>
              <w:rPr>
                <w:sz w:val="20"/>
                <w:szCs w:val="20"/>
                <w:color w:val="auto"/>
              </w:rPr>
            </w:pPr>
            <w:r>
              <w:rPr>
                <w:rFonts w:ascii="Calibri" w:cs="Calibri" w:eastAsia="Calibri" w:hAnsi="Calibri"/>
                <w:sz w:val="18"/>
                <w:szCs w:val="18"/>
                <w:color w:val="auto"/>
              </w:rPr>
              <w:t>66,472</w:t>
            </w:r>
          </w:p>
        </w:tc>
        <w:tc>
          <w:tcPr>
            <w:tcW w:w="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ind w:right="22"/>
              <w:spacing w:after="0" w:line="215" w:lineRule="exact"/>
              <w:rPr>
                <w:sz w:val="20"/>
                <w:szCs w:val="20"/>
                <w:color w:val="auto"/>
              </w:rPr>
            </w:pPr>
            <w:r>
              <w:rPr>
                <w:rFonts w:ascii="Calibri" w:cs="Calibri" w:eastAsia="Calibri" w:hAnsi="Calibri"/>
                <w:sz w:val="18"/>
                <w:szCs w:val="18"/>
                <w:color w:val="auto"/>
              </w:rPr>
              <w:t>65,922</w:t>
            </w: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550</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ind w:left="8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436880</wp:posOffset>
            </wp:positionV>
            <wp:extent cx="51435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18</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0" w:name="page21"/>
    <w:bookmarkEnd w:id="20"/>
    <w:p>
      <w:pPr>
        <w:ind w:right="40"/>
        <w:spacing w:after="0" w:line="235" w:lineRule="auto"/>
        <w:rPr>
          <w:sz w:val="20"/>
          <w:szCs w:val="20"/>
          <w:color w:val="auto"/>
        </w:rPr>
      </w:pPr>
      <w:r>
        <w:rPr>
          <w:rFonts w:ascii="Calibri" w:cs="Calibri" w:eastAsia="Calibri" w:hAnsi="Calibri"/>
          <w:sz w:val="18"/>
          <w:szCs w:val="18"/>
          <w:color w:val="auto"/>
        </w:rPr>
        <w:t>The book values, approximate fair values and bases used to measure the approximate fair values of certain fnancial instruments as of December 31, 2023 are shown in the table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5"/>
          </w:tcPr>
          <w:p>
            <w:pPr>
              <w:jc w:val="center"/>
              <w:ind w:right="22"/>
              <w:spacing w:after="0"/>
              <w:rPr>
                <w:sz w:val="20"/>
                <w:szCs w:val="20"/>
                <w:color w:val="auto"/>
              </w:rPr>
            </w:pPr>
            <w:r>
              <w:rPr>
                <w:rFonts w:ascii="Calibri" w:cs="Calibri" w:eastAsia="Calibri" w:hAnsi="Calibri"/>
                <w:sz w:val="14"/>
                <w:szCs w:val="14"/>
                <w:b w:val="1"/>
                <w:bCs w:val="1"/>
                <w:color w:val="auto"/>
              </w:rPr>
              <w:t>Basis of fair value measurement</w:t>
            </w:r>
          </w:p>
        </w:tc>
        <w:tc>
          <w:tcPr>
            <w:tcW w:w="0" w:type="dxa"/>
            <w:vAlign w:val="bottom"/>
          </w:tcPr>
          <w:p>
            <w:pPr>
              <w:spacing w:after="0"/>
              <w:rPr>
                <w:sz w:val="1"/>
                <w:szCs w:val="1"/>
                <w:color w:val="auto"/>
              </w:rPr>
            </w:pPr>
          </w:p>
        </w:tc>
      </w:tr>
      <w:tr>
        <w:trPr>
          <w:trHeight w:val="47"/>
        </w:trPr>
        <w:tc>
          <w:tcPr>
            <w:tcW w:w="4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62"/>
              <w:spacing w:after="0" w:line="115" w:lineRule="exact"/>
              <w:rPr>
                <w:sz w:val="20"/>
                <w:szCs w:val="20"/>
                <w:color w:val="auto"/>
              </w:rPr>
            </w:pPr>
            <w:r>
              <w:rPr>
                <w:rFonts w:ascii="Calibri" w:cs="Calibri" w:eastAsia="Calibri" w:hAnsi="Calibri"/>
                <w:sz w:val="12"/>
                <w:szCs w:val="12"/>
                <w:b w:val="1"/>
                <w:bCs w:val="1"/>
                <w:color w:val="auto"/>
              </w:rPr>
              <w:t>Quoted prices</w:t>
            </w: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right="102"/>
              <w:spacing w:after="0" w:line="115" w:lineRule="exact"/>
              <w:rPr>
                <w:sz w:val="20"/>
                <w:szCs w:val="20"/>
                <w:color w:val="auto"/>
              </w:rPr>
            </w:pPr>
            <w:r>
              <w:rPr>
                <w:rFonts w:ascii="Calibri" w:cs="Calibri" w:eastAsia="Calibri" w:hAnsi="Calibri"/>
                <w:sz w:val="12"/>
                <w:szCs w:val="12"/>
                <w:b w:val="1"/>
                <w:bCs w:val="1"/>
                <w:color w:val="auto"/>
              </w:rPr>
              <w:t>Signifcant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Calibri" w:cs="Calibri" w:eastAsia="Calibri" w:hAnsi="Calibri"/>
                <w:sz w:val="14"/>
                <w:szCs w:val="14"/>
                <w:b w:val="1"/>
                <w:bCs w:val="1"/>
                <w:color w:val="auto"/>
              </w:rPr>
              <w:t>in actve markets</w:t>
            </w:r>
          </w:p>
        </w:tc>
        <w:tc>
          <w:tcPr>
            <w:tcW w:w="180" w:type="dxa"/>
            <w:vAlign w:val="bottom"/>
          </w:tcPr>
          <w:p>
            <w:pPr>
              <w:spacing w:after="0"/>
              <w:rPr>
                <w:sz w:val="12"/>
                <w:szCs w:val="12"/>
                <w:color w:val="auto"/>
              </w:rPr>
            </w:pPr>
          </w:p>
        </w:tc>
        <w:tc>
          <w:tcPr>
            <w:tcW w:w="1160" w:type="dxa"/>
            <w:vAlign w:val="bottom"/>
          </w:tcPr>
          <w:p>
            <w:pPr>
              <w:jc w:val="center"/>
              <w:ind w:right="97"/>
              <w:spacing w:after="0" w:line="149" w:lineRule="exact"/>
              <w:rPr>
                <w:sz w:val="20"/>
                <w:szCs w:val="20"/>
                <w:color w:val="auto"/>
              </w:rPr>
            </w:pPr>
            <w:r>
              <w:rPr>
                <w:rFonts w:ascii="Calibri" w:cs="Calibri" w:eastAsia="Calibri" w:hAnsi="Calibri"/>
                <w:sz w:val="14"/>
                <w:szCs w:val="14"/>
                <w:b w:val="1"/>
                <w:bCs w:val="1"/>
                <w:color w:val="auto"/>
              </w:rPr>
              <w:t>Signifcant other</w:t>
            </w:r>
          </w:p>
        </w:tc>
        <w:tc>
          <w:tcPr>
            <w:tcW w:w="2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Calibri" w:cs="Calibri" w:eastAsia="Calibri" w:hAnsi="Calibri"/>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20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Calibri" w:cs="Calibri" w:eastAsia="Calibri" w:hAnsi="Calibri"/>
                <w:sz w:val="14"/>
                <w:szCs w:val="14"/>
                <w:b w:val="1"/>
                <w:bCs w:val="1"/>
                <w:color w:val="auto"/>
              </w:rPr>
              <w:t>Book value</w:t>
            </w:r>
          </w:p>
        </w:tc>
        <w:tc>
          <w:tcPr>
            <w:tcW w:w="140" w:type="dxa"/>
            <w:vAlign w:val="bottom"/>
          </w:tcPr>
          <w:p>
            <w:pPr>
              <w:spacing w:after="0"/>
              <w:rPr>
                <w:sz w:val="12"/>
                <w:szCs w:val="12"/>
                <w:color w:val="auto"/>
              </w:rPr>
            </w:pPr>
          </w:p>
        </w:tc>
        <w:tc>
          <w:tcPr>
            <w:tcW w:w="1240" w:type="dxa"/>
            <w:vAlign w:val="bottom"/>
          </w:tcPr>
          <w:p>
            <w:pPr>
              <w:jc w:val="right"/>
              <w:ind w:right="137"/>
              <w:spacing w:after="0" w:line="149" w:lineRule="exact"/>
              <w:rPr>
                <w:sz w:val="20"/>
                <w:szCs w:val="20"/>
                <w:color w:val="auto"/>
              </w:rPr>
            </w:pPr>
            <w:r>
              <w:rPr>
                <w:rFonts w:ascii="Calibri" w:cs="Calibri" w:eastAsia="Calibri" w:hAnsi="Calibri"/>
                <w:sz w:val="14"/>
                <w:szCs w:val="14"/>
                <w:b w:val="1"/>
                <w:bCs w:val="1"/>
                <w:color w:val="auto"/>
              </w:rPr>
              <w:t>Approximate fair</w:t>
            </w:r>
          </w:p>
        </w:tc>
        <w:tc>
          <w:tcPr>
            <w:tcW w:w="1280" w:type="dxa"/>
            <w:vAlign w:val="bottom"/>
            <w:gridSpan w:val="2"/>
          </w:tcPr>
          <w:p>
            <w:pPr>
              <w:jc w:val="center"/>
              <w:ind w:right="2"/>
              <w:spacing w:after="0" w:line="149" w:lineRule="exact"/>
              <w:rPr>
                <w:sz w:val="20"/>
                <w:szCs w:val="20"/>
                <w:color w:val="auto"/>
              </w:rPr>
            </w:pPr>
            <w:r>
              <w:rPr>
                <w:rFonts w:ascii="Calibri" w:cs="Calibri" w:eastAsia="Calibri" w:hAnsi="Calibri"/>
                <w:sz w:val="14"/>
                <w:szCs w:val="14"/>
                <w:b w:val="1"/>
                <w:bCs w:val="1"/>
                <w:color w:val="auto"/>
              </w:rPr>
              <w:t>for identcal assets</w:t>
            </w:r>
          </w:p>
        </w:tc>
        <w:tc>
          <w:tcPr>
            <w:tcW w:w="134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observable inputs</w:t>
            </w:r>
          </w:p>
        </w:tc>
        <w:tc>
          <w:tcPr>
            <w:tcW w:w="24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Calibri" w:cs="Calibri" w:eastAsia="Calibri" w:hAnsi="Calibri"/>
                <w:sz w:val="14"/>
                <w:szCs w:val="14"/>
                <w:b w:val="1"/>
                <w:bCs w:val="1"/>
                <w:color w:val="auto"/>
                <w:w w:val="98"/>
              </w:rPr>
              <w:t>inputs</w:t>
            </w:r>
          </w:p>
        </w:tc>
        <w:tc>
          <w:tcPr>
            <w:tcW w:w="0" w:type="dxa"/>
            <w:vAlign w:val="bottom"/>
          </w:tcPr>
          <w:p>
            <w:pPr>
              <w:spacing w:after="0"/>
              <w:rPr>
                <w:sz w:val="1"/>
                <w:szCs w:val="1"/>
                <w:color w:val="auto"/>
              </w:rPr>
            </w:pPr>
          </w:p>
        </w:tc>
      </w:tr>
      <w:tr>
        <w:trPr>
          <w:trHeight w:val="170"/>
        </w:trPr>
        <w:tc>
          <w:tcPr>
            <w:tcW w:w="4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77"/>
              <w:spacing w:after="0"/>
              <w:rPr>
                <w:sz w:val="20"/>
                <w:szCs w:val="20"/>
                <w:color w:val="auto"/>
              </w:rPr>
            </w:pPr>
            <w:r>
              <w:rPr>
                <w:rFonts w:ascii="Calibri" w:cs="Calibri" w:eastAsia="Calibri" w:hAnsi="Calibri"/>
                <w:sz w:val="14"/>
                <w:szCs w:val="14"/>
                <w:b w:val="1"/>
                <w:bCs w:val="1"/>
                <w:color w:val="auto"/>
              </w:rPr>
              <w:t>value</w:t>
            </w:r>
          </w:p>
        </w:tc>
        <w:tc>
          <w:tcPr>
            <w:tcW w:w="100" w:type="dxa"/>
            <w:vAlign w:val="bottom"/>
          </w:tcPr>
          <w:p>
            <w:pPr>
              <w:spacing w:after="0"/>
              <w:rPr>
                <w:sz w:val="14"/>
                <w:szCs w:val="14"/>
                <w:color w:val="auto"/>
              </w:rPr>
            </w:pPr>
          </w:p>
        </w:tc>
        <w:tc>
          <w:tcPr>
            <w:tcW w:w="1180" w:type="dxa"/>
            <w:vAlign w:val="bottom"/>
          </w:tcPr>
          <w:p>
            <w:pPr>
              <w:jc w:val="center"/>
              <w:ind w:right="62"/>
              <w:spacing w:after="0"/>
              <w:rPr>
                <w:sz w:val="20"/>
                <w:szCs w:val="20"/>
                <w:color w:val="auto"/>
              </w:rPr>
            </w:pPr>
            <w:r>
              <w:rPr>
                <w:rFonts w:ascii="Calibri" w:cs="Calibri" w:eastAsia="Calibri" w:hAnsi="Calibri"/>
                <w:sz w:val="14"/>
                <w:szCs w:val="14"/>
                <w:b w:val="1"/>
                <w:bCs w:val="1"/>
                <w:color w:val="auto"/>
              </w:rPr>
              <w:t>(Level 1)</w:t>
            </w:r>
          </w:p>
        </w:tc>
        <w:tc>
          <w:tcPr>
            <w:tcW w:w="18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(Level 2)</w:t>
            </w:r>
          </w:p>
        </w:tc>
        <w:tc>
          <w:tcPr>
            <w:tcW w:w="24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Calibri" w:cs="Calibri" w:eastAsia="Calibri" w:hAnsi="Calibri"/>
                <w:sz w:val="14"/>
                <w:szCs w:val="14"/>
                <w:b w:val="1"/>
                <w:bCs w:val="1"/>
                <w:color w:val="auto"/>
              </w:rPr>
              <w:t>(Level 3)</w:t>
            </w:r>
          </w:p>
        </w:tc>
        <w:tc>
          <w:tcPr>
            <w:tcW w:w="0" w:type="dxa"/>
            <w:vAlign w:val="bottom"/>
          </w:tcPr>
          <w:p>
            <w:pPr>
              <w:spacing w:after="0"/>
              <w:rPr>
                <w:sz w:val="1"/>
                <w:szCs w:val="1"/>
                <w:color w:val="auto"/>
              </w:rPr>
            </w:pPr>
          </w:p>
        </w:tc>
      </w:tr>
      <w:tr>
        <w:trPr>
          <w:trHeight w:val="46"/>
        </w:trPr>
        <w:tc>
          <w:tcPr>
            <w:tcW w:w="4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CCEEFF"/>
          </w:tcPr>
          <w:p>
            <w:pPr>
              <w:ind w:left="20"/>
              <w:spacing w:after="0" w:line="174" w:lineRule="exact"/>
              <w:rPr>
                <w:sz w:val="20"/>
                <w:szCs w:val="20"/>
                <w:color w:val="auto"/>
              </w:rPr>
            </w:pPr>
            <w:r>
              <w:rPr>
                <w:rFonts w:ascii="Calibri" w:cs="Calibri" w:eastAsia="Calibri" w:hAnsi="Calibri"/>
                <w:sz w:val="18"/>
                <w:szCs w:val="18"/>
                <w:color w:val="auto"/>
              </w:rPr>
              <w:t>Current porton of long-term debt and fnance lease obligatons,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2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excluding fair value hedges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7,191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Calibri" w:cs="Calibri" w:eastAsia="Calibri" w:hAnsi="Calibri"/>
                <w:sz w:val="18"/>
                <w:szCs w:val="18"/>
                <w:color w:val="auto"/>
              </w:rPr>
              <w:t>7,069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Calibri" w:cs="Calibri" w:eastAsia="Calibri" w:hAnsi="Calibri"/>
                <w:sz w:val="18"/>
                <w:szCs w:val="18"/>
                <w:color w:val="auto"/>
              </w:rPr>
              <w:t>6,862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207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CEEFF"/>
            </w:tcBorders>
            <w:shd w:val="clear" w:color="auto" w:fill="CCEEFF"/>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4720" w:type="dxa"/>
            <w:vAlign w:val="bottom"/>
          </w:tcPr>
          <w:p>
            <w:pPr>
              <w:ind w:left="20"/>
              <w:spacing w:after="0" w:line="166" w:lineRule="exact"/>
              <w:rPr>
                <w:sz w:val="20"/>
                <w:szCs w:val="20"/>
                <w:color w:val="auto"/>
              </w:rPr>
            </w:pPr>
            <w:r>
              <w:rPr>
                <w:rFonts w:ascii="Calibri" w:cs="Calibri" w:eastAsia="Calibri" w:hAnsi="Calibri"/>
                <w:sz w:val="18"/>
                <w:szCs w:val="18"/>
                <w:color w:val="auto"/>
                <w:w w:val="99"/>
              </w:rPr>
              <w:t>Long-term debt and fnance lease obligatons, excluding fair value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line="215" w:lineRule="exact"/>
              <w:rPr>
                <w:sz w:val="20"/>
                <w:szCs w:val="20"/>
                <w:color w:val="auto"/>
              </w:rPr>
            </w:pPr>
            <w:r>
              <w:rPr>
                <w:rFonts w:ascii="Calibri" w:cs="Calibri" w:eastAsia="Calibri" w:hAnsi="Calibri"/>
                <w:sz w:val="18"/>
                <w:szCs w:val="18"/>
                <w:color w:val="auto"/>
              </w:rPr>
              <w:t>hedges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52,460</w:t>
            </w:r>
          </w:p>
        </w:tc>
        <w:tc>
          <w:tcPr>
            <w:tcW w:w="140" w:type="dxa"/>
            <w:vAlign w:val="bottom"/>
          </w:tcPr>
          <w:p>
            <w:pPr>
              <w:spacing w:after="0"/>
              <w:rPr>
                <w:sz w:val="19"/>
                <w:szCs w:val="19"/>
                <w:color w:val="auto"/>
              </w:rPr>
            </w:pPr>
          </w:p>
        </w:tc>
        <w:tc>
          <w:tcPr>
            <w:tcW w:w="1240" w:type="dxa"/>
            <w:vAlign w:val="bottom"/>
          </w:tcPr>
          <w:p>
            <w:pPr>
              <w:jc w:val="right"/>
              <w:ind w:right="97"/>
              <w:spacing w:after="0"/>
              <w:rPr>
                <w:sz w:val="20"/>
                <w:szCs w:val="20"/>
                <w:color w:val="auto"/>
              </w:rPr>
            </w:pPr>
            <w:r>
              <w:rPr>
                <w:rFonts w:ascii="Calibri" w:cs="Calibri" w:eastAsia="Calibri" w:hAnsi="Calibri"/>
                <w:sz w:val="18"/>
                <w:szCs w:val="18"/>
                <w:color w:val="auto"/>
              </w:rPr>
              <w:t>49,541</w:t>
            </w:r>
          </w:p>
        </w:tc>
        <w:tc>
          <w:tcPr>
            <w:tcW w:w="1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Calibri" w:cs="Calibri" w:eastAsia="Calibri" w:hAnsi="Calibri"/>
                <w:sz w:val="18"/>
                <w:szCs w:val="18"/>
                <w:color w:val="auto"/>
              </w:rPr>
              <w:t>48,983</w:t>
            </w:r>
          </w:p>
        </w:tc>
        <w:tc>
          <w:tcPr>
            <w:tcW w:w="18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Calibri" w:cs="Calibri" w:eastAsia="Calibri" w:hAnsi="Calibri"/>
                <w:sz w:val="18"/>
                <w:szCs w:val="18"/>
                <w:color w:val="auto"/>
              </w:rPr>
              <w:t>558</w:t>
            </w:r>
          </w:p>
        </w:tc>
        <w:tc>
          <w:tcPr>
            <w:tcW w:w="240" w:type="dxa"/>
            <w:vAlign w:val="bottom"/>
          </w:tcPr>
          <w:p>
            <w:pPr>
              <w:spacing w:after="0"/>
              <w:rPr>
                <w:sz w:val="19"/>
                <w:szCs w:val="19"/>
                <w:color w:val="auto"/>
              </w:rPr>
            </w:pPr>
          </w:p>
        </w:tc>
        <w:tc>
          <w:tcPr>
            <w:tcW w:w="1080" w:type="dxa"/>
            <w:vAlign w:val="bottom"/>
          </w:tcPr>
          <w:p>
            <w:pPr>
              <w:ind w:left="8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liabilites</w:t>
            </w:r>
          </w:p>
        </w:tc>
        <w:tc>
          <w:tcPr>
            <w:tcW w:w="20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59,651</w:t>
            </w:r>
          </w:p>
        </w:tc>
        <w:tc>
          <w:tcPr>
            <w:tcW w:w="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ind w:right="97"/>
              <w:spacing w:after="0" w:line="215" w:lineRule="exact"/>
              <w:rPr>
                <w:sz w:val="20"/>
                <w:szCs w:val="20"/>
                <w:color w:val="auto"/>
              </w:rPr>
            </w:pPr>
            <w:r>
              <w:rPr>
                <w:rFonts w:ascii="Calibri" w:cs="Calibri" w:eastAsia="Calibri" w:hAnsi="Calibri"/>
                <w:sz w:val="18"/>
                <w:szCs w:val="18"/>
                <w:color w:val="auto"/>
              </w:rPr>
              <w:t>56,610</w:t>
            </w:r>
          </w:p>
        </w:tc>
        <w:tc>
          <w:tcPr>
            <w:tcW w:w="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ind w:right="22"/>
              <w:spacing w:after="0" w:line="215" w:lineRule="exact"/>
              <w:rPr>
                <w:sz w:val="20"/>
                <w:szCs w:val="20"/>
                <w:color w:val="auto"/>
              </w:rPr>
            </w:pPr>
            <w:r>
              <w:rPr>
                <w:rFonts w:ascii="Calibri" w:cs="Calibri" w:eastAsia="Calibri" w:hAnsi="Calibri"/>
                <w:sz w:val="18"/>
                <w:szCs w:val="18"/>
                <w:color w:val="auto"/>
              </w:rPr>
              <w:t>55,845</w:t>
            </w: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765</w:t>
            </w:r>
          </w:p>
        </w:tc>
        <w:tc>
          <w:tcPr>
            <w:tcW w:w="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ind w:left="86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AbbVie also holds investments in equity securites that do not have readily determinable fair values. The company records these investments at cost and remeasures them to fair value based on certain observable price changes or impairment events as they occur. The carrying amount of these investments was $160 million as of June 30, 2024 and $159 million as of December 31, 2023. No signifcant cumulatve upward or downward adjustments have been recorded for these investments as of June 30, 2024.</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Concentratons of Risk</w:t>
      </w:r>
    </w:p>
    <w:p>
      <w:pPr>
        <w:spacing w:after="0" w:line="13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Of total net accounts receivable, three U.S. wholesalers accounted for 77% as of June 30, 2024 and 81% as of December 31, 2023, and substantally all of AbbVie’s pharmaceutcal product net revenues in the United States were to these three wholesalers.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Debt and Credit Facilites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Financing Related to ImmunoGen and Cerevel Therapeutcs Acquisitons</w:t>
      </w:r>
    </w:p>
    <w:p>
      <w:pPr>
        <w:spacing w:after="0" w:line="136"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In connecton with the acquisitons of ImmunoGen and Cerevel Therapeutcs, in February, 2024, the company issued $15.0 billion aggregate principal amount of unsecured senior notes. The notes are unsecured, unsubordinated obligatons of AbbVie and will rank equally in right of payment with all of AbbVie’s existng and future unsecured, unsubordinated indebtedness, liabilites and other obligatons. AbbVie may redeem the fxed-rate senior notes prior to maturity at a redempton price equal to the greater of the principal amount or the sum of present values of the remaining scheduled payments of principal and interest on the fxed-rate senior notes to be redeemed plus a make-whole premium. AbbVie may also redeem the fxed-rate senior notes at par between one and six months prior to maturity. In connecton with the ofering, debt issuance costs incurred totaled $99 million and debt discounts totaled $37 million, which are being amortzed over the respectve terms of the notes to interest expense, net in the condensed consolidated statements of earnings.</w:t>
      </w:r>
    </w:p>
    <w:p>
      <w:pPr>
        <w:spacing w:after="0" w:line="14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used the net proceeds received from the issuance of the notes to fnance the acquisiton of ImmunoGen, repay its term-loan, repay commercial paper borrowings, pay fees and expenses in respect of the foregoing, fnance general corporate purposes and, together with cash on hand, fund AbbVie’s acquisiton of Cerevel Therapeutcs. See Note 4 for additonal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735965</wp:posOffset>
            </wp:positionV>
            <wp:extent cx="51435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19</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color w:val="auto"/>
        </w:rPr>
        <w:t>The following table summarizes issued debt in connecton with the acquisitons of ImmunoGen and Cerevel Therapeutcs:</w:t>
      </w:r>
    </w:p>
    <w:p>
      <w:pPr>
        <w:spacing w:after="0" w:line="172"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tcPr>
          <w:p>
            <w:pPr>
              <w:ind w:left="20"/>
              <w:spacing w:after="0"/>
              <w:rPr>
                <w:sz w:val="20"/>
                <w:szCs w:val="20"/>
                <w:color w:val="auto"/>
              </w:rPr>
            </w:pPr>
            <w:r>
              <w:rPr>
                <w:rFonts w:ascii="Calibri" w:cs="Calibri" w:eastAsia="Calibri" w:hAnsi="Calibri"/>
                <w:sz w:val="18"/>
                <w:szCs w:val="18"/>
                <w:b w:val="1"/>
                <w:bCs w:val="1"/>
                <w:color w:val="auto"/>
              </w:rPr>
              <w:t>Senior Notes</w:t>
            </w:r>
          </w:p>
        </w:tc>
        <w:tc>
          <w:tcPr>
            <w:tcW w:w="4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
        </w:trPr>
        <w:tc>
          <w:tcPr>
            <w:tcW w:w="60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060" w:type="dxa"/>
            <w:vAlign w:val="bottom"/>
            <w:shd w:val="clear" w:color="auto" w:fill="CCEEFF"/>
          </w:tcPr>
          <w:p>
            <w:pPr>
              <w:ind w:left="340"/>
              <w:spacing w:after="0" w:line="215" w:lineRule="exact"/>
              <w:rPr>
                <w:sz w:val="20"/>
                <w:szCs w:val="20"/>
                <w:color w:val="auto"/>
              </w:rPr>
            </w:pPr>
            <w:r>
              <w:rPr>
                <w:rFonts w:ascii="Calibri" w:cs="Calibri" w:eastAsia="Calibri" w:hAnsi="Calibri"/>
                <w:sz w:val="18"/>
                <w:szCs w:val="18"/>
                <w:color w:val="auto"/>
              </w:rPr>
              <w:t>4.80% Senior Notes due 2027</w:t>
            </w:r>
          </w:p>
        </w:tc>
        <w:tc>
          <w:tcPr>
            <w:tcW w:w="4160" w:type="dxa"/>
            <w:vAlign w:val="bottom"/>
            <w:shd w:val="clear" w:color="auto" w:fill="CCEEFF"/>
          </w:tcPr>
          <w:p>
            <w:pPr>
              <w:jc w:val="right"/>
              <w:ind w:right="3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2,250</w:t>
            </w:r>
          </w:p>
        </w:tc>
      </w:tr>
      <w:tr>
        <w:trPr>
          <w:trHeight w:val="222"/>
        </w:trPr>
        <w:tc>
          <w:tcPr>
            <w:tcW w:w="6060" w:type="dxa"/>
            <w:vAlign w:val="bottom"/>
          </w:tcPr>
          <w:p>
            <w:pPr>
              <w:ind w:left="340"/>
              <w:spacing w:after="0" w:line="215" w:lineRule="exact"/>
              <w:rPr>
                <w:sz w:val="20"/>
                <w:szCs w:val="20"/>
                <w:color w:val="auto"/>
              </w:rPr>
            </w:pPr>
            <w:r>
              <w:rPr>
                <w:rFonts w:ascii="Calibri" w:cs="Calibri" w:eastAsia="Calibri" w:hAnsi="Calibri"/>
                <w:sz w:val="18"/>
                <w:szCs w:val="18"/>
                <w:color w:val="auto"/>
              </w:rPr>
              <w:t>4.80% Senior Notes due 2029</w:t>
            </w:r>
          </w:p>
        </w:tc>
        <w:tc>
          <w:tcPr>
            <w:tcW w:w="41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2,500</w:t>
            </w:r>
          </w:p>
        </w:tc>
      </w:tr>
      <w:tr>
        <w:trPr>
          <w:trHeight w:val="237"/>
        </w:trPr>
        <w:tc>
          <w:tcPr>
            <w:tcW w:w="60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4.95% Senior Notes due 2031</w:t>
            </w:r>
          </w:p>
        </w:tc>
        <w:tc>
          <w:tcPr>
            <w:tcW w:w="4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2,000</w:t>
            </w:r>
          </w:p>
        </w:tc>
      </w:tr>
      <w:tr>
        <w:trPr>
          <w:trHeight w:val="222"/>
        </w:trPr>
        <w:tc>
          <w:tcPr>
            <w:tcW w:w="6060" w:type="dxa"/>
            <w:vAlign w:val="bottom"/>
          </w:tcPr>
          <w:p>
            <w:pPr>
              <w:ind w:left="340"/>
              <w:spacing w:after="0" w:line="215" w:lineRule="exact"/>
              <w:rPr>
                <w:sz w:val="20"/>
                <w:szCs w:val="20"/>
                <w:color w:val="auto"/>
              </w:rPr>
            </w:pPr>
            <w:r>
              <w:rPr>
                <w:rFonts w:ascii="Calibri" w:cs="Calibri" w:eastAsia="Calibri" w:hAnsi="Calibri"/>
                <w:sz w:val="18"/>
                <w:szCs w:val="18"/>
                <w:color w:val="auto"/>
              </w:rPr>
              <w:t>5.05% Senior Notes due 2034</w:t>
            </w:r>
          </w:p>
        </w:tc>
        <w:tc>
          <w:tcPr>
            <w:tcW w:w="41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3,000</w:t>
            </w:r>
          </w:p>
        </w:tc>
      </w:tr>
      <w:tr>
        <w:trPr>
          <w:trHeight w:val="237"/>
        </w:trPr>
        <w:tc>
          <w:tcPr>
            <w:tcW w:w="606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5.35% Senior Notes due 2044</w:t>
            </w:r>
          </w:p>
        </w:tc>
        <w:tc>
          <w:tcPr>
            <w:tcW w:w="4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750</w:t>
            </w:r>
          </w:p>
        </w:tc>
      </w:tr>
      <w:tr>
        <w:trPr>
          <w:trHeight w:val="222"/>
        </w:trPr>
        <w:tc>
          <w:tcPr>
            <w:tcW w:w="6060" w:type="dxa"/>
            <w:vAlign w:val="bottom"/>
          </w:tcPr>
          <w:p>
            <w:pPr>
              <w:ind w:left="340"/>
              <w:spacing w:after="0" w:line="215" w:lineRule="exact"/>
              <w:rPr>
                <w:sz w:val="20"/>
                <w:szCs w:val="20"/>
                <w:color w:val="auto"/>
              </w:rPr>
            </w:pPr>
            <w:r>
              <w:rPr>
                <w:rFonts w:ascii="Calibri" w:cs="Calibri" w:eastAsia="Calibri" w:hAnsi="Calibri"/>
                <w:sz w:val="18"/>
                <w:szCs w:val="18"/>
                <w:color w:val="auto"/>
              </w:rPr>
              <w:t>5.40% Senior Notes due 2054</w:t>
            </w:r>
          </w:p>
        </w:tc>
        <w:tc>
          <w:tcPr>
            <w:tcW w:w="416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3,000</w:t>
            </w:r>
          </w:p>
        </w:tc>
      </w:tr>
      <w:tr>
        <w:trPr>
          <w:trHeight w:val="230"/>
        </w:trPr>
        <w:tc>
          <w:tcPr>
            <w:tcW w:w="6060" w:type="dxa"/>
            <w:vAlign w:val="bottom"/>
            <w:tcBorders>
              <w:bottom w:val="single" w:sz="8" w:color="auto"/>
            </w:tcBorders>
            <w:shd w:val="clear" w:color="auto" w:fill="CCEEFF"/>
          </w:tcPr>
          <w:p>
            <w:pPr>
              <w:ind w:left="340"/>
              <w:spacing w:after="0"/>
              <w:rPr>
                <w:sz w:val="20"/>
                <w:szCs w:val="20"/>
                <w:color w:val="auto"/>
              </w:rPr>
            </w:pPr>
            <w:r>
              <w:rPr>
                <w:rFonts w:ascii="Calibri" w:cs="Calibri" w:eastAsia="Calibri" w:hAnsi="Calibri"/>
                <w:sz w:val="18"/>
                <w:szCs w:val="18"/>
                <w:color w:val="auto"/>
              </w:rPr>
              <w:t>5.50% Senior Notes due 2064</w:t>
            </w:r>
          </w:p>
        </w:tc>
        <w:tc>
          <w:tcPr>
            <w:tcW w:w="4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1,500</w:t>
            </w:r>
          </w:p>
        </w:tc>
      </w:tr>
      <w:tr>
        <w:trPr>
          <w:trHeight w:val="223"/>
        </w:trPr>
        <w:tc>
          <w:tcPr>
            <w:tcW w:w="60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debt issued</w:t>
            </w:r>
          </w:p>
        </w:tc>
        <w:tc>
          <w:tcPr>
            <w:tcW w:w="416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15,000</w:t>
            </w:r>
          </w:p>
        </w:tc>
      </w:tr>
      <w:tr>
        <w:trPr>
          <w:trHeight w:val="27"/>
        </w:trPr>
        <w:tc>
          <w:tcPr>
            <w:tcW w:w="606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ind w:right="260"/>
        <w:spacing w:after="0" w:line="212" w:lineRule="auto"/>
        <w:rPr>
          <w:sz w:val="20"/>
          <w:szCs w:val="20"/>
          <w:color w:val="auto"/>
        </w:rPr>
      </w:pPr>
      <w:r>
        <w:rPr>
          <w:rFonts w:ascii="Calibri" w:cs="Calibri" w:eastAsia="Calibri" w:hAnsi="Calibri"/>
          <w:sz w:val="18"/>
          <w:szCs w:val="18"/>
          <w:color w:val="auto"/>
        </w:rPr>
        <w:t>In December 2023, AbbVie entered into a $9.0 billion 364-day bridge credit agreement and $5.0 billion 364-day term loan credit agreement. In February, 2024, AbbVie borrowed and repaid $5.0 billion under the term loan credit agreement. Interest charged on this borrowing was based on Secured Overnight Financing Rate Reference Rate (SOFR) +0.975% with an efectve interest rate of 6.29%. Subsequent to the $15.0 billion issuance of senior notes, AbbVie terminated both the bridge and term loan credit agreements in the frst quarter of 2024. In February 2024, concurrent with the acquisiton, the company assumed and repaid an ImmunoGen senior secured term loan at a fair value of $99 million.</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Long-Term Debt Repayments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In May 2024, the company repaid a €1.5 billion aggregate principal amount of 1.38% senior euro notes at maturity.</w:t>
      </w:r>
    </w:p>
    <w:p>
      <w:pPr>
        <w:spacing w:after="0" w:line="15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June 2024, the company repaid a €700 million aggregate principal amount of 1.25% senior euro notes and $1.0 billion aggregate principal amount of 3.85% senior notes at maturity.</w:t>
      </w:r>
    </w:p>
    <w:p>
      <w:pPr>
        <w:spacing w:after="0" w:line="13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January 2023, the company repaid a $1.0 billion foatng rate three-year term loan that was scheduled to mature in May 2023. In March 2023, the company repaid a $350 million aggregate principal amount of 2.80% senior notes at maturity.</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In May 2023, the company repaid $1.0 billion aggregate principal amount of 2.85% senior notes at maturity.</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Short-Term Borrowings</w:t>
      </w:r>
    </w:p>
    <w:p>
      <w:pPr>
        <w:spacing w:after="0" w:line="13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During the six months ended June 30, 2024, the company issued and redeemed $1.7 billion of commercial paper. There were no commercial paper borrowings outstanding as of June 30, 2024 and December 31, 2023. The weighted average interest rate on commercial paper borrowings was 5.54% for the six months ended June 30, 2024.</w:t>
      </w:r>
    </w:p>
    <w:p>
      <w:pPr>
        <w:spacing w:after="0" w:line="15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March 2023, AbbVie entered into an amended and restated fve-year revolving credit facility. The amendment increased the unsecured revolving credit facility commitments from $4.0 billion to $5.0 billion and extended the maturity date of the facility from August 2023 to March 2028. This amended facility enables the company to borrow funds on an unsecured basis at variable interest rates and contains various covenants. At June 30, 2024, the company was in compliance with all covenants, and commitment fees under the credit facility were insignifcant. No amounts were outstanding under the company's credit facilites as of June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737235</wp:posOffset>
            </wp:positionV>
            <wp:extent cx="51435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22" w:name="page23"/>
    <w:bookmarkEnd w:id="22"/>
    <w:p>
      <w:pPr>
        <w:spacing w:after="0"/>
        <w:rPr>
          <w:sz w:val="20"/>
          <w:szCs w:val="20"/>
          <w:color w:val="auto"/>
        </w:rPr>
      </w:pPr>
      <w:r>
        <w:rPr>
          <w:rFonts w:ascii="Calibri" w:cs="Calibri" w:eastAsia="Calibri" w:hAnsi="Calibri"/>
          <w:sz w:val="22"/>
          <w:szCs w:val="22"/>
          <w:b w:val="1"/>
          <w:bCs w:val="1"/>
          <w:color w:val="444867"/>
        </w:rPr>
        <w:t>Note 9 Post-Employment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net periodic beneft cost relatng to the company’s defned beneft and other post-employment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Defned</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right"/>
              <w:ind w:right="437"/>
              <w:spacing w:after="0"/>
              <w:rPr>
                <w:sz w:val="20"/>
                <w:szCs w:val="20"/>
                <w:color w:val="auto"/>
              </w:rPr>
            </w:pPr>
            <w:r>
              <w:rPr>
                <w:rFonts w:ascii="Calibri" w:cs="Calibri" w:eastAsia="Calibri" w:hAnsi="Calibri"/>
                <w:sz w:val="14"/>
                <w:szCs w:val="14"/>
                <w:b w:val="1"/>
                <w:bCs w:val="1"/>
                <w:color w:val="auto"/>
              </w:rPr>
              <w:t>Other post-</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4"/>
          </w:tcPr>
          <w:p>
            <w:pPr>
              <w:jc w:val="right"/>
              <w:ind w:right="397"/>
              <w:spacing w:after="0"/>
              <w:rPr>
                <w:sz w:val="20"/>
                <w:szCs w:val="20"/>
                <w:color w:val="auto"/>
              </w:rPr>
            </w:pPr>
            <w:r>
              <w:rPr>
                <w:rFonts w:ascii="Calibri" w:cs="Calibri" w:eastAsia="Calibri" w:hAnsi="Calibri"/>
                <w:sz w:val="14"/>
                <w:szCs w:val="14"/>
                <w:b w:val="1"/>
                <w:bCs w:val="1"/>
                <w:color w:val="auto"/>
              </w:rPr>
              <w:t>beneft plans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right"/>
              <w:ind w:right="197"/>
              <w:spacing w:after="0"/>
              <w:rPr>
                <w:sz w:val="20"/>
                <w:szCs w:val="20"/>
                <w:color w:val="auto"/>
              </w:rPr>
            </w:pPr>
            <w:r>
              <w:rPr>
                <w:rFonts w:ascii="Calibri" w:cs="Calibri" w:eastAsia="Calibri" w:hAnsi="Calibri"/>
                <w:sz w:val="14"/>
                <w:szCs w:val="14"/>
                <w:b w:val="1"/>
                <w:bCs w:val="1"/>
                <w:color w:val="auto"/>
              </w:rPr>
              <w:t>employment plans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4"/>
          </w:tcPr>
          <w:p>
            <w:pPr>
              <w:ind w:left="40"/>
              <w:spacing w:after="0" w:line="127" w:lineRule="exact"/>
              <w:rPr>
                <w:sz w:val="20"/>
                <w:szCs w:val="20"/>
                <w:color w:val="auto"/>
              </w:rPr>
            </w:pPr>
            <w:r>
              <w:rPr>
                <w:rFonts w:ascii="Calibri" w:cs="Calibri" w:eastAsia="Calibri" w:hAnsi="Calibri"/>
                <w:sz w:val="13"/>
                <w:szCs w:val="13"/>
                <w:b w:val="1"/>
                <w:bCs w:val="1"/>
                <w:color w:val="auto"/>
              </w:rPr>
              <w:t>Three months ended</w:t>
            </w:r>
          </w:p>
        </w:tc>
        <w:tc>
          <w:tcPr>
            <w:tcW w:w="240" w:type="dxa"/>
            <w:vAlign w:val="bottom"/>
          </w:tcPr>
          <w:p>
            <w:pPr>
              <w:spacing w:after="0"/>
              <w:rPr>
                <w:sz w:val="11"/>
                <w:szCs w:val="11"/>
                <w:color w:val="auto"/>
              </w:rPr>
            </w:pPr>
          </w:p>
        </w:tc>
        <w:tc>
          <w:tcPr>
            <w:tcW w:w="1460" w:type="dxa"/>
            <w:vAlign w:val="bottom"/>
            <w:gridSpan w:val="3"/>
          </w:tcPr>
          <w:p>
            <w:pPr>
              <w:jc w:val="right"/>
              <w:ind w:right="213"/>
              <w:spacing w:after="0" w:line="127" w:lineRule="exact"/>
              <w:rPr>
                <w:sz w:val="20"/>
                <w:szCs w:val="20"/>
                <w:color w:val="auto"/>
              </w:rPr>
            </w:pPr>
            <w:r>
              <w:rPr>
                <w:rFonts w:ascii="Calibri" w:cs="Calibri" w:eastAsia="Calibri" w:hAnsi="Calibri"/>
                <w:sz w:val="13"/>
                <w:szCs w:val="13"/>
                <w:b w:val="1"/>
                <w:bCs w:val="1"/>
                <w:color w:val="auto"/>
              </w:rPr>
              <w:t>Six months ended</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ind w:left="40"/>
              <w:spacing w:after="0" w:line="127" w:lineRule="exact"/>
              <w:rPr>
                <w:sz w:val="20"/>
                <w:szCs w:val="20"/>
                <w:color w:val="auto"/>
              </w:rPr>
            </w:pPr>
            <w:r>
              <w:rPr>
                <w:rFonts w:ascii="Calibri" w:cs="Calibri" w:eastAsia="Calibri" w:hAnsi="Calibri"/>
                <w:sz w:val="13"/>
                <w:szCs w:val="13"/>
                <w:b w:val="1"/>
                <w:bCs w:val="1"/>
                <w:color w:val="auto"/>
              </w:rPr>
              <w:t>Three months ended</w:t>
            </w:r>
          </w:p>
        </w:tc>
        <w:tc>
          <w:tcPr>
            <w:tcW w:w="180" w:type="dxa"/>
            <w:vAlign w:val="bottom"/>
          </w:tcPr>
          <w:p>
            <w:pPr>
              <w:spacing w:after="0"/>
              <w:rPr>
                <w:sz w:val="11"/>
                <w:szCs w:val="11"/>
                <w:color w:val="auto"/>
              </w:rPr>
            </w:pPr>
          </w:p>
        </w:tc>
        <w:tc>
          <w:tcPr>
            <w:tcW w:w="1520" w:type="dxa"/>
            <w:vAlign w:val="bottom"/>
            <w:gridSpan w:val="3"/>
          </w:tcPr>
          <w:p>
            <w:pPr>
              <w:jc w:val="right"/>
              <w:ind w:right="233"/>
              <w:spacing w:after="0" w:line="127" w:lineRule="exact"/>
              <w:rPr>
                <w:sz w:val="20"/>
                <w:szCs w:val="20"/>
                <w:color w:val="auto"/>
              </w:rPr>
            </w:pPr>
            <w:r>
              <w:rPr>
                <w:rFonts w:ascii="Calibri" w:cs="Calibri" w:eastAsia="Calibri" w:hAnsi="Calibri"/>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3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540" w:type="dxa"/>
            <w:vAlign w:val="bottom"/>
          </w:tcPr>
          <w:p>
            <w:pPr>
              <w:jc w:val="right"/>
              <w:ind w:right="156"/>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217"/>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560" w:type="dxa"/>
            <w:vAlign w:val="bottom"/>
          </w:tcPr>
          <w:p>
            <w:pPr>
              <w:jc w:val="right"/>
              <w:ind w:right="153"/>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540" w:type="dxa"/>
            <w:vAlign w:val="bottom"/>
          </w:tcPr>
          <w:p>
            <w:pPr>
              <w:jc w:val="right"/>
              <w:ind w:right="156"/>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7"/>
              <w:spacing w:after="0" w:line="164" w:lineRule="exact"/>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580" w:type="dxa"/>
            <w:vAlign w:val="bottom"/>
          </w:tcPr>
          <w:p>
            <w:pPr>
              <w:jc w:val="right"/>
              <w:ind w:right="173"/>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4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Service cost</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71</w:t>
            </w:r>
          </w:p>
        </w:tc>
        <w:tc>
          <w:tcPr>
            <w:tcW w:w="28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143</w:t>
            </w:r>
          </w:p>
        </w:tc>
        <w:tc>
          <w:tcPr>
            <w:tcW w:w="28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10</w:t>
            </w:r>
          </w:p>
        </w:tc>
        <w:tc>
          <w:tcPr>
            <w:tcW w:w="26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CEEFF"/>
          </w:tcPr>
          <w:p>
            <w:pPr>
              <w:jc w:val="right"/>
              <w:ind w:right="17"/>
              <w:spacing w:after="0" w:line="215" w:lineRule="exact"/>
              <w:rPr>
                <w:sz w:val="20"/>
                <w:szCs w:val="20"/>
                <w:color w:val="auto"/>
              </w:rPr>
            </w:pPr>
            <w:r>
              <w:rPr>
                <w:rFonts w:ascii="Calibri" w:cs="Calibri" w:eastAsia="Calibri" w:hAnsi="Calibri"/>
                <w:sz w:val="18"/>
                <w:szCs w:val="18"/>
                <w:color w:val="auto"/>
              </w:rPr>
              <w:t>21</w:t>
            </w:r>
          </w:p>
        </w:tc>
        <w:tc>
          <w:tcPr>
            <w:tcW w:w="28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22"/>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cost</w:t>
            </w:r>
          </w:p>
        </w:tc>
        <w:tc>
          <w:tcPr>
            <w:tcW w:w="160" w:type="dxa"/>
            <w:vAlign w:val="bottom"/>
          </w:tcPr>
          <w:p>
            <w:pPr>
              <w:spacing w:after="0"/>
              <w:rPr>
                <w:sz w:val="19"/>
                <w:szCs w:val="19"/>
                <w:color w:val="auto"/>
              </w:rPr>
            </w:pPr>
          </w:p>
        </w:tc>
        <w:tc>
          <w:tcPr>
            <w:tcW w:w="64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113</w:t>
            </w:r>
          </w:p>
        </w:tc>
        <w:tc>
          <w:tcPr>
            <w:tcW w:w="28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226</w:t>
            </w:r>
          </w:p>
        </w:tc>
        <w:tc>
          <w:tcPr>
            <w:tcW w:w="28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11</w:t>
            </w:r>
          </w:p>
        </w:tc>
        <w:tc>
          <w:tcPr>
            <w:tcW w:w="26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21</w:t>
            </w:r>
          </w:p>
        </w:tc>
        <w:tc>
          <w:tcPr>
            <w:tcW w:w="28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Expected return on plan assets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(393)</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7"/>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Amortzaton of prior service cost (credit)</w:t>
            </w:r>
          </w:p>
        </w:tc>
        <w:tc>
          <w:tcPr>
            <w:tcW w:w="160" w:type="dxa"/>
            <w:vAlign w:val="bottom"/>
          </w:tcPr>
          <w:p>
            <w:pPr>
              <w:spacing w:after="0"/>
              <w:rPr>
                <w:sz w:val="19"/>
                <w:szCs w:val="19"/>
                <w:color w:val="auto"/>
              </w:rPr>
            </w:pPr>
          </w:p>
        </w:tc>
        <w:tc>
          <w:tcPr>
            <w:tcW w:w="64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260" w:type="dxa"/>
            <w:vAlign w:val="bottom"/>
          </w:tcPr>
          <w:p>
            <w:pPr>
              <w:spacing w:after="0"/>
              <w:rPr>
                <w:sz w:val="19"/>
                <w:szCs w:val="19"/>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280" w:type="dxa"/>
            <w:vAlign w:val="bottom"/>
          </w:tcPr>
          <w:p>
            <w:pPr>
              <w:spacing w:after="0"/>
              <w:rPr>
                <w:sz w:val="19"/>
                <w:szCs w:val="19"/>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Amortzaton of actuarial loss</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13</w:t>
            </w:r>
          </w:p>
        </w:tc>
        <w:tc>
          <w:tcPr>
            <w:tcW w:w="2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Calibri" w:cs="Calibri" w:eastAsia="Calibri" w:hAnsi="Calibri"/>
                <w:sz w:val="18"/>
                <w:szCs w:val="18"/>
                <w:color w:val="auto"/>
              </w:rPr>
              <w:t>26</w:t>
            </w:r>
          </w:p>
        </w:tc>
        <w:tc>
          <w:tcPr>
            <w:tcW w:w="2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Calibri" w:cs="Calibri" w:eastAsia="Calibri" w:hAnsi="Calibri"/>
                <w:sz w:val="18"/>
                <w:szCs w:val="18"/>
                <w:color w:val="auto"/>
              </w:rPr>
              <w:t>5</w:t>
            </w: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Calibri" w:cs="Calibri" w:eastAsia="Calibri" w:hAnsi="Calibri"/>
                <w:sz w:val="18"/>
                <w:szCs w:val="18"/>
                <w:color w:val="auto"/>
              </w:rPr>
              <w:t>9</w:t>
            </w:r>
          </w:p>
        </w:tc>
        <w:tc>
          <w:tcPr>
            <w:tcW w:w="2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periodic beneft cost</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1</w:t>
            </w:r>
          </w:p>
        </w:tc>
        <w:tc>
          <w:tcPr>
            <w:tcW w:w="2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Borders>
              <w:bottom w:val="single" w:sz="8" w:color="auto"/>
            </w:tcBorders>
          </w:tcPr>
          <w:p>
            <w:pPr>
              <w:jc w:val="right"/>
              <w:ind w:right="37"/>
              <w:spacing w:after="0" w:line="215" w:lineRule="exact"/>
              <w:rPr>
                <w:sz w:val="20"/>
                <w:szCs w:val="20"/>
                <w:color w:val="auto"/>
              </w:rPr>
            </w:pPr>
            <w:r>
              <w:rPr>
                <w:rFonts w:ascii="Calibri" w:cs="Calibri" w:eastAsia="Calibri" w:hAnsi="Calibri"/>
                <w:sz w:val="18"/>
                <w:szCs w:val="18"/>
                <w:color w:val="auto"/>
              </w:rPr>
              <w:t>2</w:t>
            </w:r>
          </w:p>
        </w:tc>
        <w:tc>
          <w:tcPr>
            <w:tcW w:w="2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tcPr>
          <w:p>
            <w:pPr>
              <w:jc w:val="right"/>
              <w:ind w:right="37"/>
              <w:spacing w:after="0" w:line="215" w:lineRule="exact"/>
              <w:rPr>
                <w:sz w:val="20"/>
                <w:szCs w:val="20"/>
                <w:color w:val="auto"/>
              </w:rPr>
            </w:pPr>
            <w:r>
              <w:rPr>
                <w:rFonts w:ascii="Calibri" w:cs="Calibri" w:eastAsia="Calibri" w:hAnsi="Calibri"/>
                <w:sz w:val="18"/>
                <w:szCs w:val="18"/>
                <w:color w:val="auto"/>
              </w:rPr>
              <w:t>17</w:t>
            </w:r>
          </w:p>
        </w:tc>
        <w:tc>
          <w:tcPr>
            <w:tcW w:w="2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tcPr>
          <w:p>
            <w:pPr>
              <w:jc w:val="right"/>
              <w:ind w:right="17"/>
              <w:spacing w:after="0" w:line="215" w:lineRule="exact"/>
              <w:rPr>
                <w:sz w:val="20"/>
                <w:szCs w:val="20"/>
                <w:color w:val="auto"/>
              </w:rPr>
            </w:pPr>
            <w:r>
              <w:rPr>
                <w:rFonts w:ascii="Calibri" w:cs="Calibri" w:eastAsia="Calibri" w:hAnsi="Calibri"/>
                <w:sz w:val="18"/>
                <w:szCs w:val="18"/>
                <w:color w:val="auto"/>
              </w:rPr>
              <w:t>33</w:t>
            </w:r>
          </w:p>
        </w:tc>
        <w:tc>
          <w:tcPr>
            <w:tcW w:w="2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components of net periodic beneft cost other than service cost are included in other expense, net in the condensed consolidated statements of earnings.</w:t>
      </w: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10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Stock-Based Compensaton</w:t>
      </w:r>
    </w:p>
    <w:p>
      <w:pPr>
        <w:spacing w:after="0" w:line="15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Stock-based compensaton expense is principally related to awards issued pursuant to the AbbVie 2013 Incentve Stock Program and the AbbVie Amended and Restated 2013 Incentve Stock Program and is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380" w:type="dxa"/>
            <w:vAlign w:val="bottom"/>
            <w:gridSpan w:val="3"/>
          </w:tcPr>
          <w:p>
            <w:pPr>
              <w:jc w:val="right"/>
              <w:ind w:right="276"/>
              <w:spacing w:after="0"/>
              <w:rPr>
                <w:sz w:val="20"/>
                <w:szCs w:val="20"/>
                <w:color w:val="auto"/>
              </w:rPr>
            </w:pPr>
            <w:r>
              <w:rPr>
                <w:rFonts w:ascii="Calibri" w:cs="Calibri" w:eastAsia="Calibri" w:hAnsi="Calibri"/>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right"/>
              <w:ind w:right="656"/>
              <w:spacing w:after="0"/>
              <w:rPr>
                <w:sz w:val="20"/>
                <w:szCs w:val="20"/>
                <w:color w:val="auto"/>
              </w:rPr>
            </w:pPr>
            <w:r>
              <w:rPr>
                <w:rFonts w:ascii="Calibri" w:cs="Calibri" w:eastAsia="Calibri" w:hAnsi="Calibri"/>
                <w:sz w:val="14"/>
                <w:szCs w:val="14"/>
                <w:b w:val="1"/>
                <w:bCs w:val="1"/>
                <w:color w:val="auto"/>
              </w:rPr>
              <w:t>June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552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920" w:type="dxa"/>
            <w:vAlign w:val="bottom"/>
          </w:tcPr>
          <w:p>
            <w:pPr>
              <w:jc w:val="right"/>
              <w:ind w:right="19"/>
              <w:spacing w:after="0" w:line="164" w:lineRule="exact"/>
              <w:rPr>
                <w:sz w:val="20"/>
                <w:szCs w:val="20"/>
                <w:color w:val="auto"/>
              </w:rPr>
            </w:pPr>
            <w:r>
              <w:rPr>
                <w:rFonts w:ascii="Calibri" w:cs="Calibri" w:eastAsia="Calibri" w:hAnsi="Calibri"/>
                <w:sz w:val="14"/>
                <w:szCs w:val="14"/>
                <w:b w:val="1"/>
                <w:bCs w:val="1"/>
                <w:color w:val="auto"/>
              </w:rPr>
              <w:t>2024</w:t>
            </w:r>
          </w:p>
        </w:tc>
        <w:tc>
          <w:tcPr>
            <w:tcW w:w="480" w:type="dxa"/>
            <w:vAlign w:val="bottom"/>
          </w:tcPr>
          <w:p>
            <w:pPr>
              <w:spacing w:after="0"/>
              <w:rPr>
                <w:sz w:val="14"/>
                <w:szCs w:val="14"/>
                <w:color w:val="auto"/>
              </w:rPr>
            </w:pPr>
          </w:p>
        </w:tc>
        <w:tc>
          <w:tcPr>
            <w:tcW w:w="980" w:type="dxa"/>
            <w:vAlign w:val="bottom"/>
          </w:tcPr>
          <w:p>
            <w:pPr>
              <w:jc w:val="right"/>
              <w:ind w:right="16"/>
              <w:spacing w:after="0" w:line="164" w:lineRule="exact"/>
              <w:rPr>
                <w:sz w:val="20"/>
                <w:szCs w:val="20"/>
                <w:color w:val="auto"/>
              </w:rPr>
            </w:pPr>
            <w:r>
              <w:rPr>
                <w:rFonts w:ascii="Calibri" w:cs="Calibri" w:eastAsia="Calibri" w:hAnsi="Calibri"/>
                <w:sz w:val="14"/>
                <w:szCs w:val="14"/>
                <w:b w:val="1"/>
                <w:bCs w:val="1"/>
                <w:color w:val="auto"/>
              </w:rPr>
              <w:t>2023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433"/>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Cost of products sold</w:t>
            </w:r>
          </w:p>
        </w:tc>
        <w:tc>
          <w:tcPr>
            <w:tcW w:w="920" w:type="dxa"/>
            <w:vAlign w:val="bottom"/>
            <w:shd w:val="clear" w:color="auto" w:fill="CCEEFF"/>
          </w:tcPr>
          <w:p>
            <w:pPr>
              <w:jc w:val="right"/>
              <w:ind w:right="739"/>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shd w:val="clear" w:color="auto" w:fill="CCEEFF"/>
          </w:tcPr>
          <w:p>
            <w:pPr>
              <w:jc w:val="right"/>
              <w:ind w:right="33"/>
              <w:spacing w:after="0" w:line="215" w:lineRule="exact"/>
              <w:rPr>
                <w:sz w:val="20"/>
                <w:szCs w:val="20"/>
                <w:color w:val="auto"/>
              </w:rPr>
            </w:pPr>
            <w:r>
              <w:rPr>
                <w:rFonts w:ascii="Calibri" w:cs="Calibri" w:eastAsia="Calibri" w:hAnsi="Calibri"/>
                <w:sz w:val="18"/>
                <w:szCs w:val="18"/>
                <w:color w:val="auto"/>
              </w:rPr>
              <w:t>10</w:t>
            </w:r>
          </w:p>
        </w:tc>
        <w:tc>
          <w:tcPr>
            <w:tcW w:w="980" w:type="dxa"/>
            <w:vAlign w:val="bottom"/>
            <w:shd w:val="clear" w:color="auto" w:fill="CCEEFF"/>
          </w:tcPr>
          <w:p>
            <w:pPr>
              <w:jc w:val="right"/>
              <w:ind w:right="736"/>
              <w:spacing w:after="0" w:line="215" w:lineRule="exact"/>
              <w:rPr>
                <w:sz w:val="20"/>
                <w:szCs w:val="20"/>
                <w:color w:val="auto"/>
              </w:rPr>
            </w:pPr>
            <w:r>
              <w:rPr>
                <w:rFonts w:ascii="Calibri" w:cs="Calibri" w:eastAsia="Calibri" w:hAnsi="Calibri"/>
                <w:sz w:val="18"/>
                <w:szCs w:val="18"/>
                <w:color w:val="auto"/>
              </w:rPr>
              <w:t>$</w:t>
            </w:r>
          </w:p>
        </w:tc>
        <w:tc>
          <w:tcPr>
            <w:tcW w:w="4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32</w:t>
            </w:r>
          </w:p>
        </w:tc>
        <w:tc>
          <w:tcPr>
            <w:tcW w:w="560" w:type="dxa"/>
            <w:vAlign w:val="bottom"/>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920" w:type="dxa"/>
            <w:vAlign w:val="bottom"/>
          </w:tcPr>
          <w:p>
            <w:pPr>
              <w:spacing w:after="0"/>
              <w:rPr>
                <w:sz w:val="19"/>
                <w:szCs w:val="19"/>
                <w:color w:val="auto"/>
              </w:rPr>
            </w:pPr>
          </w:p>
        </w:tc>
        <w:tc>
          <w:tcPr>
            <w:tcW w:w="480" w:type="dxa"/>
            <w:vAlign w:val="bottom"/>
          </w:tcPr>
          <w:p>
            <w:pPr>
              <w:jc w:val="right"/>
              <w:ind w:right="33"/>
              <w:spacing w:after="0" w:line="215" w:lineRule="exact"/>
              <w:rPr>
                <w:sz w:val="20"/>
                <w:szCs w:val="20"/>
                <w:color w:val="auto"/>
              </w:rPr>
            </w:pPr>
            <w:r>
              <w:rPr>
                <w:rFonts w:ascii="Calibri" w:cs="Calibri" w:eastAsia="Calibri" w:hAnsi="Calibri"/>
                <w:sz w:val="18"/>
                <w:szCs w:val="18"/>
                <w:color w:val="auto"/>
              </w:rPr>
              <w:t>74</w:t>
            </w:r>
          </w:p>
        </w:tc>
        <w:tc>
          <w:tcPr>
            <w:tcW w:w="98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207</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174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w:t>
            </w:r>
          </w:p>
        </w:tc>
        <w:tc>
          <w:tcPr>
            <w:tcW w:w="9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Calibri" w:cs="Calibri" w:eastAsia="Calibri" w:hAnsi="Calibri"/>
                <w:sz w:val="18"/>
                <w:szCs w:val="18"/>
                <w:color w:val="auto"/>
              </w:rPr>
              <w:t>134</w:t>
            </w:r>
          </w:p>
        </w:tc>
        <w:tc>
          <w:tcPr>
            <w:tcW w:w="9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113</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
              <w:spacing w:after="0"/>
              <w:rPr>
                <w:sz w:val="20"/>
                <w:szCs w:val="20"/>
                <w:color w:val="auto"/>
              </w:rPr>
            </w:pPr>
            <w:r>
              <w:rPr>
                <w:rFonts w:ascii="Calibri" w:cs="Calibri" w:eastAsia="Calibri" w:hAnsi="Calibri"/>
                <w:sz w:val="18"/>
                <w:szCs w:val="18"/>
                <w:color w:val="auto"/>
              </w:rPr>
              <w:t>327</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289</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Pre-tax compensaton expense</w:t>
            </w:r>
          </w:p>
        </w:tc>
        <w:tc>
          <w:tcPr>
            <w:tcW w:w="920" w:type="dxa"/>
            <w:vAlign w:val="bottom"/>
          </w:tcPr>
          <w:p>
            <w:pPr>
              <w:spacing w:after="0"/>
              <w:rPr>
                <w:sz w:val="19"/>
                <w:szCs w:val="19"/>
                <w:color w:val="auto"/>
              </w:rPr>
            </w:pPr>
          </w:p>
        </w:tc>
        <w:tc>
          <w:tcPr>
            <w:tcW w:w="480" w:type="dxa"/>
            <w:vAlign w:val="bottom"/>
          </w:tcPr>
          <w:p>
            <w:pPr>
              <w:jc w:val="right"/>
              <w:ind w:right="33"/>
              <w:spacing w:after="0" w:line="215" w:lineRule="exact"/>
              <w:rPr>
                <w:sz w:val="20"/>
                <w:szCs w:val="20"/>
                <w:color w:val="auto"/>
              </w:rPr>
            </w:pPr>
            <w:r>
              <w:rPr>
                <w:rFonts w:ascii="Calibri" w:cs="Calibri" w:eastAsia="Calibri" w:hAnsi="Calibri"/>
                <w:sz w:val="18"/>
                <w:szCs w:val="18"/>
                <w:color w:val="auto"/>
              </w:rPr>
              <w:t>218</w:t>
            </w:r>
          </w:p>
        </w:tc>
        <w:tc>
          <w:tcPr>
            <w:tcW w:w="980" w:type="dxa"/>
            <w:vAlign w:val="bottom"/>
          </w:tcPr>
          <w:p>
            <w:pPr>
              <w:spacing w:after="0"/>
              <w:rPr>
                <w:sz w:val="19"/>
                <w:szCs w:val="19"/>
                <w:color w:val="auto"/>
              </w:rPr>
            </w:pP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179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566</w:t>
            </w:r>
          </w:p>
        </w:tc>
        <w:tc>
          <w:tcPr>
            <w:tcW w:w="5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492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Tax beneft</w:t>
            </w:r>
          </w:p>
        </w:tc>
        <w:tc>
          <w:tcPr>
            <w:tcW w:w="9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w:t>
            </w:r>
          </w:p>
        </w:tc>
        <w:tc>
          <w:tcPr>
            <w:tcW w:w="9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(94)</w:t>
            </w:r>
          </w:p>
        </w:tc>
        <w:tc>
          <w:tcPr>
            <w:tcW w:w="5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(85)</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Afer-tax compensaton expense</w:t>
            </w:r>
          </w:p>
        </w:tc>
        <w:tc>
          <w:tcPr>
            <w:tcW w:w="920" w:type="dxa"/>
            <w:vAlign w:val="bottom"/>
            <w:tcBorders>
              <w:bottom w:val="single" w:sz="8" w:color="auto"/>
            </w:tcBorders>
          </w:tcPr>
          <w:p>
            <w:pPr>
              <w:jc w:val="right"/>
              <w:ind w:right="739"/>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Borders>
              <w:bottom w:val="single" w:sz="8" w:color="auto"/>
            </w:tcBorders>
          </w:tcPr>
          <w:p>
            <w:pPr>
              <w:jc w:val="right"/>
              <w:ind w:right="33"/>
              <w:spacing w:after="0" w:line="215" w:lineRule="exact"/>
              <w:rPr>
                <w:sz w:val="20"/>
                <w:szCs w:val="20"/>
                <w:color w:val="auto"/>
              </w:rPr>
            </w:pPr>
            <w:r>
              <w:rPr>
                <w:rFonts w:ascii="Calibri" w:cs="Calibri" w:eastAsia="Calibri" w:hAnsi="Calibri"/>
                <w:sz w:val="18"/>
                <w:szCs w:val="18"/>
                <w:color w:val="auto"/>
              </w:rPr>
              <w:t>184</w:t>
            </w:r>
          </w:p>
        </w:tc>
        <w:tc>
          <w:tcPr>
            <w:tcW w:w="980" w:type="dxa"/>
            <w:vAlign w:val="bottom"/>
            <w:tcBorders>
              <w:bottom w:val="single" w:sz="8" w:color="auto"/>
            </w:tcBorders>
          </w:tcPr>
          <w:p>
            <w:pPr>
              <w:jc w:val="right"/>
              <w:ind w:right="736"/>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149</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56"/>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472</w:t>
            </w:r>
          </w:p>
        </w:tc>
        <w:tc>
          <w:tcPr>
            <w:tcW w:w="56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additon to stock-based compensaton expense included in the table above and in connecton with the acquisiton of ImmunoGen, AbbVie incurred $349 million of cash-setled, post-closing expense for ImmunoGen employee incentve awards, of which $192 million was recorded in SG&amp;A expenses, $126 million was recorded in R&amp;D expenses and $31 million was recorded in cost of products sold in the condensed consolidated statements of earnings for the six months ended June 30, 2024. Refer to Note 4 for additonal informaton regarding the ImmunoGen acquisiton.</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36"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During the six months ended June 30, 2024, primarily in connecton with the company's annual grant, AbbVie granted 0.6 million stock optons with a weighted-average grant-date fair value of $31.53. As of June 30, 2024, $9 million of unrecognized compensaton cost related to stock optons is expected to be recognized as expense over approximately the next two years.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RSUs and Performance Shares</w:t>
      </w:r>
    </w:p>
    <w:p>
      <w:pPr>
        <w:spacing w:after="0" w:line="150"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During the six months ended June 30, 2024, primarily in connecton with the company's annual grant, AbbVie granted 5.0 million RSUs and performance shares with a weighted-average grant-date fair value of $176.13. In connecton with the ImmunoGen acquisiton, during the frst quarter of 2024, AbbVie issued 0.3 million RSUs to holders of ImmunoGen equity awards based on a conversion factor described in the transacton agreement. Refer to Note 4 for additonal informaton regarding the ImmunoGen acquisiton. As of June 30, 2024, $840 million of unrecognized compensaton cost related to RSUs and performance shares is expected to be recognized as expense over approximately the next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488315</wp:posOffset>
            </wp:positionV>
            <wp:extent cx="51435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21</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444867"/>
        </w:rPr>
        <w:t>Cash Dividends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quarterly cash dividends declared during 2024 and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660" w:type="dxa"/>
            <w:vAlign w:val="bottom"/>
          </w:tcPr>
          <w:p>
            <w:pPr>
              <w:jc w:val="right"/>
              <w:ind w:right="679"/>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jc w:val="right"/>
              <w:ind w:right="716"/>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20" w:type="dxa"/>
            <w:vAlign w:val="bottom"/>
          </w:tcPr>
          <w:p>
            <w:pPr>
              <w:jc w:val="right"/>
              <w:ind w:right="636"/>
              <w:spacing w:after="0" w:line="164" w:lineRule="exact"/>
              <w:rPr>
                <w:sz w:val="20"/>
                <w:szCs w:val="20"/>
                <w:color w:val="auto"/>
              </w:rPr>
            </w:pPr>
            <w:r>
              <w:rPr>
                <w:rFonts w:ascii="Calibri" w:cs="Calibri" w:eastAsia="Calibri" w:hAnsi="Calibri"/>
                <w:sz w:val="14"/>
                <w:szCs w:val="14"/>
                <w:b w:val="1"/>
                <w:bCs w:val="1"/>
                <w:color w:val="auto"/>
              </w:rPr>
              <w:t>Date Declared</w:t>
            </w:r>
          </w:p>
        </w:tc>
        <w:tc>
          <w:tcPr>
            <w:tcW w:w="1660" w:type="dxa"/>
            <w:vAlign w:val="bottom"/>
          </w:tcPr>
          <w:p>
            <w:pPr>
              <w:jc w:val="right"/>
              <w:ind w:right="439"/>
              <w:spacing w:after="0" w:line="164" w:lineRule="exact"/>
              <w:rPr>
                <w:sz w:val="20"/>
                <w:szCs w:val="20"/>
                <w:color w:val="auto"/>
              </w:rPr>
            </w:pPr>
            <w:r>
              <w:rPr>
                <w:rFonts w:ascii="Calibri" w:cs="Calibri" w:eastAsia="Calibri" w:hAnsi="Calibri"/>
                <w:sz w:val="14"/>
                <w:szCs w:val="14"/>
                <w:b w:val="1"/>
                <w:bCs w:val="1"/>
                <w:color w:val="auto"/>
              </w:rPr>
              <w:t>Payment Date</w:t>
            </w:r>
          </w:p>
        </w:tc>
        <w:tc>
          <w:tcPr>
            <w:tcW w:w="280" w:type="dxa"/>
            <w:vAlign w:val="bottom"/>
          </w:tcPr>
          <w:p>
            <w:pPr>
              <w:spacing w:after="0"/>
              <w:rPr>
                <w:sz w:val="14"/>
                <w:szCs w:val="14"/>
                <w:color w:val="auto"/>
              </w:rPr>
            </w:pPr>
          </w:p>
        </w:tc>
        <w:tc>
          <w:tcPr>
            <w:tcW w:w="1600" w:type="dxa"/>
            <w:vAlign w:val="bottom"/>
          </w:tcPr>
          <w:p>
            <w:pPr>
              <w:jc w:val="right"/>
              <w:ind w:right="256"/>
              <w:spacing w:after="0" w:line="164" w:lineRule="exact"/>
              <w:rPr>
                <w:sz w:val="20"/>
                <w:szCs w:val="20"/>
                <w:color w:val="auto"/>
              </w:rPr>
            </w:pPr>
            <w:r>
              <w:rPr>
                <w:rFonts w:ascii="Calibri" w:cs="Calibri" w:eastAsia="Calibri" w:hAnsi="Calibri"/>
                <w:sz w:val="14"/>
                <w:szCs w:val="14"/>
                <w:b w:val="1"/>
                <w:bCs w:val="1"/>
                <w:color w:val="auto"/>
              </w:rPr>
              <w:t>Dividend Per Share</w:t>
            </w:r>
          </w:p>
        </w:tc>
        <w:tc>
          <w:tcPr>
            <w:tcW w:w="100" w:type="dxa"/>
            <w:vAlign w:val="bottom"/>
            <w:vMerge w:val="continue"/>
          </w:tcPr>
          <w:p>
            <w:pPr>
              <w:spacing w:after="0"/>
              <w:rPr>
                <w:sz w:val="14"/>
                <w:szCs w:val="14"/>
                <w:color w:val="auto"/>
              </w:rPr>
            </w:pPr>
          </w:p>
        </w:tc>
        <w:tc>
          <w:tcPr>
            <w:tcW w:w="2080" w:type="dxa"/>
            <w:vAlign w:val="bottom"/>
          </w:tcPr>
          <w:p>
            <w:pPr>
              <w:jc w:val="right"/>
              <w:ind w:right="674"/>
              <w:spacing w:after="0" w:line="164" w:lineRule="exact"/>
              <w:rPr>
                <w:sz w:val="20"/>
                <w:szCs w:val="20"/>
                <w:color w:val="auto"/>
              </w:rPr>
            </w:pPr>
            <w:r>
              <w:rPr>
                <w:rFonts w:ascii="Calibri" w:cs="Calibri" w:eastAsia="Calibri" w:hAnsi="Calibri"/>
                <w:sz w:val="14"/>
                <w:szCs w:val="14"/>
                <w:b w:val="1"/>
                <w:bCs w:val="1"/>
                <w:color w:val="auto"/>
              </w:rPr>
              <w:t>Date Declared</w:t>
            </w:r>
          </w:p>
        </w:tc>
        <w:tc>
          <w:tcPr>
            <w:tcW w:w="1660" w:type="dxa"/>
            <w:vAlign w:val="bottom"/>
          </w:tcPr>
          <w:p>
            <w:pPr>
              <w:jc w:val="right"/>
              <w:ind w:right="436"/>
              <w:spacing w:after="0" w:line="164" w:lineRule="exact"/>
              <w:rPr>
                <w:sz w:val="20"/>
                <w:szCs w:val="20"/>
                <w:color w:val="auto"/>
              </w:rPr>
            </w:pPr>
            <w:r>
              <w:rPr>
                <w:rFonts w:ascii="Calibri" w:cs="Calibri" w:eastAsia="Calibri" w:hAnsi="Calibri"/>
                <w:sz w:val="14"/>
                <w:szCs w:val="14"/>
                <w:b w:val="1"/>
                <w:bCs w:val="1"/>
                <w:color w:val="auto"/>
              </w:rPr>
              <w:t>Payment Date</w:t>
            </w:r>
          </w:p>
        </w:tc>
        <w:tc>
          <w:tcPr>
            <w:tcW w:w="280" w:type="dxa"/>
            <w:vAlign w:val="bottom"/>
          </w:tcPr>
          <w:p>
            <w:pPr>
              <w:spacing w:after="0"/>
              <w:rPr>
                <w:sz w:val="14"/>
                <w:szCs w:val="14"/>
                <w:color w:val="auto"/>
              </w:rPr>
            </w:pPr>
          </w:p>
        </w:tc>
        <w:tc>
          <w:tcPr>
            <w:tcW w:w="1560" w:type="dxa"/>
            <w:vAlign w:val="bottom"/>
          </w:tcPr>
          <w:p>
            <w:pPr>
              <w:jc w:val="right"/>
              <w:ind w:right="234"/>
              <w:spacing w:after="0" w:line="164" w:lineRule="exact"/>
              <w:rPr>
                <w:sz w:val="20"/>
                <w:szCs w:val="20"/>
                <w:color w:val="auto"/>
              </w:rPr>
            </w:pPr>
            <w:r>
              <w:rPr>
                <w:rFonts w:ascii="Calibri" w:cs="Calibri" w:eastAsia="Calibri" w:hAnsi="Calibri"/>
                <w:sz w:val="14"/>
                <w:szCs w:val="14"/>
                <w:b w:val="1"/>
                <w:bCs w:val="1"/>
                <w:color w:val="auto"/>
              </w:rPr>
              <w:t>Dividend Per Share</w:t>
            </w:r>
          </w:p>
        </w:tc>
        <w:tc>
          <w:tcPr>
            <w:tcW w:w="0" w:type="dxa"/>
            <w:vAlign w:val="bottom"/>
          </w:tcPr>
          <w:p>
            <w:pPr>
              <w:spacing w:after="0"/>
              <w:rPr>
                <w:sz w:val="1"/>
                <w:szCs w:val="1"/>
                <w:color w:val="auto"/>
              </w:rPr>
            </w:pPr>
          </w:p>
        </w:tc>
      </w:tr>
      <w:tr>
        <w:trPr>
          <w:trHeight w:val="33"/>
        </w:trPr>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jc w:val="right"/>
              <w:ind w:right="216"/>
              <w:spacing w:after="0" w:line="215" w:lineRule="exact"/>
              <w:rPr>
                <w:sz w:val="20"/>
                <w:szCs w:val="20"/>
                <w:color w:val="auto"/>
              </w:rPr>
            </w:pPr>
            <w:r>
              <w:rPr>
                <w:rFonts w:ascii="Calibri" w:cs="Calibri" w:eastAsia="Calibri" w:hAnsi="Calibri"/>
                <w:sz w:val="18"/>
                <w:szCs w:val="18"/>
                <w:color w:val="2D2926"/>
              </w:rPr>
              <w:t>02/15/24</w:t>
            </w:r>
          </w:p>
        </w:tc>
        <w:tc>
          <w:tcPr>
            <w:tcW w:w="1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2D2926"/>
              </w:rPr>
              <w:t>05/15/24</w:t>
            </w:r>
          </w:p>
        </w:tc>
        <w:tc>
          <w:tcPr>
            <w:tcW w:w="28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2D2926"/>
              </w:rPr>
              <w:t>$</w:t>
            </w: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2D2926"/>
              </w:rPr>
              <w:t>1.55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214"/>
              <w:spacing w:after="0" w:line="215" w:lineRule="exact"/>
              <w:rPr>
                <w:sz w:val="20"/>
                <w:szCs w:val="20"/>
                <w:color w:val="auto"/>
              </w:rPr>
            </w:pPr>
            <w:r>
              <w:rPr>
                <w:rFonts w:ascii="Calibri" w:cs="Calibri" w:eastAsia="Calibri" w:hAnsi="Calibri"/>
                <w:sz w:val="18"/>
                <w:szCs w:val="18"/>
                <w:color w:val="2D2926"/>
              </w:rPr>
              <w:t>10/26/23</w:t>
            </w:r>
          </w:p>
        </w:tc>
        <w:tc>
          <w:tcPr>
            <w:tcW w:w="16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2D2926"/>
              </w:rPr>
              <w:t>02/15/24</w:t>
            </w:r>
          </w:p>
        </w:tc>
        <w:tc>
          <w:tcPr>
            <w:tcW w:w="28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1.55</w:t>
            </w:r>
          </w:p>
        </w:tc>
        <w:tc>
          <w:tcPr>
            <w:tcW w:w="0" w:type="dxa"/>
            <w:vAlign w:val="bottom"/>
          </w:tcPr>
          <w:p>
            <w:pPr>
              <w:spacing w:after="0"/>
              <w:rPr>
                <w:sz w:val="1"/>
                <w:szCs w:val="1"/>
                <w:color w:val="auto"/>
              </w:rPr>
            </w:pPr>
          </w:p>
        </w:tc>
      </w:tr>
      <w:tr>
        <w:trPr>
          <w:trHeight w:val="222"/>
        </w:trPr>
        <w:tc>
          <w:tcPr>
            <w:tcW w:w="2020" w:type="dxa"/>
            <w:vAlign w:val="bottom"/>
          </w:tcPr>
          <w:p>
            <w:pPr>
              <w:jc w:val="right"/>
              <w:ind w:right="216"/>
              <w:spacing w:after="0" w:line="215" w:lineRule="exact"/>
              <w:rPr>
                <w:sz w:val="20"/>
                <w:szCs w:val="20"/>
                <w:color w:val="auto"/>
              </w:rPr>
            </w:pPr>
            <w:r>
              <w:rPr>
                <w:rFonts w:ascii="Calibri" w:cs="Calibri" w:eastAsia="Calibri" w:hAnsi="Calibri"/>
                <w:sz w:val="18"/>
                <w:szCs w:val="18"/>
                <w:color w:val="2D2926"/>
              </w:rPr>
              <w:t>06/21/24</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2D2926"/>
              </w:rPr>
              <w:t>08/15/24</w:t>
            </w:r>
          </w:p>
        </w:tc>
        <w:tc>
          <w:tcPr>
            <w:tcW w:w="280" w:type="dxa"/>
            <w:vAlign w:val="bottom"/>
          </w:tcPr>
          <w:p>
            <w:pPr>
              <w:jc w:val="right"/>
              <w:ind w:right="30"/>
              <w:spacing w:after="0" w:line="215" w:lineRule="exact"/>
              <w:rPr>
                <w:sz w:val="20"/>
                <w:szCs w:val="20"/>
                <w:color w:val="auto"/>
              </w:rPr>
            </w:pPr>
            <w:r>
              <w:rPr>
                <w:rFonts w:ascii="Calibri" w:cs="Calibri" w:eastAsia="Calibri" w:hAnsi="Calibri"/>
                <w:sz w:val="18"/>
                <w:szCs w:val="18"/>
                <w:color w:val="2D2926"/>
              </w:rPr>
              <w:t>$</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2D2926"/>
              </w:rPr>
              <w:t>1.55</w:t>
            </w:r>
          </w:p>
        </w:tc>
        <w:tc>
          <w:tcPr>
            <w:tcW w:w="100" w:type="dxa"/>
            <w:vAlign w:val="bottom"/>
          </w:tcPr>
          <w:p>
            <w:pPr>
              <w:spacing w:after="0"/>
              <w:rPr>
                <w:sz w:val="19"/>
                <w:szCs w:val="19"/>
                <w:color w:val="auto"/>
              </w:rPr>
            </w:pPr>
          </w:p>
        </w:tc>
        <w:tc>
          <w:tcPr>
            <w:tcW w:w="2080" w:type="dxa"/>
            <w:vAlign w:val="bottom"/>
          </w:tcPr>
          <w:p>
            <w:pPr>
              <w:jc w:val="right"/>
              <w:ind w:right="214"/>
              <w:spacing w:after="0" w:line="215" w:lineRule="exact"/>
              <w:rPr>
                <w:sz w:val="20"/>
                <w:szCs w:val="20"/>
                <w:color w:val="auto"/>
              </w:rPr>
            </w:pPr>
            <w:r>
              <w:rPr>
                <w:rFonts w:ascii="Calibri" w:cs="Calibri" w:eastAsia="Calibri" w:hAnsi="Calibri"/>
                <w:sz w:val="18"/>
                <w:szCs w:val="18"/>
                <w:color w:val="2D2926"/>
              </w:rPr>
              <w:t>09/08/23</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2D2926"/>
              </w:rPr>
              <w:t>11/15/23</w:t>
            </w:r>
          </w:p>
        </w:tc>
        <w:tc>
          <w:tcPr>
            <w:tcW w:w="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1.48</w:t>
            </w:r>
          </w:p>
        </w:tc>
        <w:tc>
          <w:tcPr>
            <w:tcW w:w="0" w:type="dxa"/>
            <w:vAlign w:val="bottom"/>
          </w:tcPr>
          <w:p>
            <w:pPr>
              <w:spacing w:after="0"/>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ind w:right="214"/>
              <w:spacing w:after="0"/>
              <w:rPr>
                <w:sz w:val="20"/>
                <w:szCs w:val="20"/>
                <w:color w:val="auto"/>
              </w:rPr>
            </w:pPr>
            <w:r>
              <w:rPr>
                <w:rFonts w:ascii="Calibri" w:cs="Calibri" w:eastAsia="Calibri" w:hAnsi="Calibri"/>
                <w:sz w:val="18"/>
                <w:szCs w:val="18"/>
                <w:color w:val="2D2926"/>
              </w:rPr>
              <w:t>06/22/23</w:t>
            </w:r>
          </w:p>
        </w:tc>
        <w:tc>
          <w:tcPr>
            <w:tcW w:w="1660" w:type="dxa"/>
            <w:vAlign w:val="bottom"/>
            <w:shd w:val="clear" w:color="auto" w:fill="CCEEFF"/>
          </w:tcPr>
          <w:p>
            <w:pPr>
              <w:jc w:val="right"/>
              <w:spacing w:after="0"/>
              <w:rPr>
                <w:sz w:val="20"/>
                <w:szCs w:val="20"/>
                <w:color w:val="auto"/>
              </w:rPr>
            </w:pPr>
            <w:r>
              <w:rPr>
                <w:rFonts w:ascii="Calibri" w:cs="Calibri" w:eastAsia="Calibri" w:hAnsi="Calibri"/>
                <w:sz w:val="18"/>
                <w:szCs w:val="18"/>
                <w:color w:val="2D2926"/>
              </w:rPr>
              <w:t>08/15/23</w:t>
            </w:r>
          </w:p>
        </w:tc>
        <w:tc>
          <w:tcPr>
            <w:tcW w:w="28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5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1.48</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214"/>
              <w:spacing w:after="0" w:line="215" w:lineRule="exact"/>
              <w:rPr>
                <w:sz w:val="20"/>
                <w:szCs w:val="20"/>
                <w:color w:val="auto"/>
              </w:rPr>
            </w:pPr>
            <w:r>
              <w:rPr>
                <w:rFonts w:ascii="Calibri" w:cs="Calibri" w:eastAsia="Calibri" w:hAnsi="Calibri"/>
                <w:sz w:val="18"/>
                <w:szCs w:val="18"/>
                <w:color w:val="2D2926"/>
              </w:rPr>
              <w:t>02/16/23</w:t>
            </w:r>
          </w:p>
        </w:tc>
        <w:tc>
          <w:tcPr>
            <w:tcW w:w="1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2D2926"/>
              </w:rPr>
              <w:t>05/15/23</w:t>
            </w:r>
          </w:p>
        </w:tc>
        <w:tc>
          <w:tcPr>
            <w:tcW w:w="2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Stock Repurchase Program</w:t>
      </w:r>
    </w:p>
    <w:p>
      <w:pPr>
        <w:spacing w:after="0" w:line="136"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The company's stock repurchase authorizaton permits purchases of AbbVie shares from tme to tme in open-market or private transactons at management's discreton. The program has no tme limit and can be discontnued at any tme. Shares repurchased under this program are recorded at acquisiton cost, including related expenses, and are available for general corporate purposes.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On February 16, 2023, AbbVie’s board of directors authorized a $5.0 billion increase to the existng stock repurchase authorizaton. AbbVie repurchased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5 million shares for $959 million during the six months ended June 30, 2024 and 10 million shares for $1.6 billion during the six months ended June 30, 2023.</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AbbVie's remaining stock repurchase authorizaton was approximately $3.9 billion as of June 30, 2024.</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Accumulated Other Comprehensive Loss</w:t>
      </w:r>
    </w:p>
    <w:p>
      <w:pPr>
        <w:spacing w:after="0" w:line="136"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The following table summarizes the changes in each component of accumulated other comprehensive loss, net of tax, for the six months ended June 30, 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Pension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8"/>
        </w:trPr>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Calibri" w:cs="Calibri" w:eastAsia="Calibri" w:hAnsi="Calibri"/>
                <w:sz w:val="14"/>
                <w:szCs w:val="14"/>
                <w:b w:val="1"/>
                <w:bCs w:val="1"/>
                <w:color w:val="auto"/>
              </w:rPr>
              <w:t>currency</w:t>
            </w:r>
          </w:p>
        </w:tc>
        <w:tc>
          <w:tcPr>
            <w:tcW w:w="112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Net investment</w:t>
            </w:r>
          </w:p>
        </w:tc>
        <w:tc>
          <w:tcPr>
            <w:tcW w:w="1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Calibri" w:cs="Calibri" w:eastAsia="Calibri" w:hAnsi="Calibri"/>
                <w:sz w:val="14"/>
                <w:szCs w:val="14"/>
                <w:b w:val="1"/>
                <w:bCs w:val="1"/>
                <w:color w:val="auto"/>
              </w:rPr>
              <w:t>and post-</w:t>
            </w:r>
          </w:p>
        </w:tc>
        <w:tc>
          <w:tcPr>
            <w:tcW w:w="220" w:type="dxa"/>
            <w:vAlign w:val="bottom"/>
          </w:tcPr>
          <w:p>
            <w:pPr>
              <w:spacing w:after="0"/>
              <w:rPr>
                <w:sz w:val="12"/>
                <w:szCs w:val="12"/>
                <w:color w:val="auto"/>
              </w:rPr>
            </w:pPr>
          </w:p>
        </w:tc>
        <w:tc>
          <w:tcPr>
            <w:tcW w:w="900" w:type="dxa"/>
            <w:vAlign w:val="bottom"/>
          </w:tcPr>
          <w:p>
            <w:pPr>
              <w:jc w:val="center"/>
              <w:ind w:right="137"/>
              <w:spacing w:after="0" w:line="149" w:lineRule="exact"/>
              <w:rPr>
                <w:sz w:val="20"/>
                <w:szCs w:val="20"/>
                <w:color w:val="auto"/>
              </w:rPr>
            </w:pPr>
            <w:r>
              <w:rPr>
                <w:rFonts w:ascii="Calibri" w:cs="Calibri" w:eastAsia="Calibri" w:hAnsi="Calibri"/>
                <w:sz w:val="14"/>
                <w:szCs w:val="14"/>
                <w:b w:val="1"/>
                <w:bCs w:val="1"/>
                <w:color w:val="auto"/>
              </w:rPr>
              <w:t>Cash fow</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center"/>
              <w:ind w:right="98"/>
              <w:spacing w:after="0" w:line="136" w:lineRule="exact"/>
              <w:rPr>
                <w:sz w:val="20"/>
                <w:szCs w:val="20"/>
                <w:color w:val="auto"/>
              </w:rPr>
            </w:pPr>
            <w:r>
              <w:rPr>
                <w:rFonts w:ascii="Calibri" w:cs="Calibri" w:eastAsia="Calibri" w:hAnsi="Calibri"/>
                <w:sz w:val="14"/>
                <w:szCs w:val="14"/>
                <w:b w:val="1"/>
                <w:bCs w:val="1"/>
                <w:color w:val="auto"/>
              </w:rPr>
              <w:t>translaton</w:t>
            </w:r>
          </w:p>
        </w:tc>
        <w:tc>
          <w:tcPr>
            <w:tcW w:w="220" w:type="dxa"/>
            <w:vAlign w:val="bottom"/>
          </w:tcPr>
          <w:p>
            <w:pPr>
              <w:spacing w:after="0"/>
              <w:rPr>
                <w:sz w:val="11"/>
                <w:szCs w:val="11"/>
                <w:color w:val="auto"/>
              </w:rPr>
            </w:pPr>
          </w:p>
        </w:tc>
        <w:tc>
          <w:tcPr>
            <w:tcW w:w="900" w:type="dxa"/>
            <w:vAlign w:val="bottom"/>
          </w:tcPr>
          <w:p>
            <w:pPr>
              <w:jc w:val="center"/>
              <w:ind w:right="135"/>
              <w:spacing w:after="0" w:line="136" w:lineRule="exact"/>
              <w:rPr>
                <w:sz w:val="20"/>
                <w:szCs w:val="20"/>
                <w:color w:val="auto"/>
              </w:rPr>
            </w:pPr>
            <w:r>
              <w:rPr>
                <w:rFonts w:ascii="Calibri" w:cs="Calibri" w:eastAsia="Calibri" w:hAnsi="Calibri"/>
                <w:sz w:val="14"/>
                <w:szCs w:val="14"/>
                <w:b w:val="1"/>
                <w:bCs w:val="1"/>
                <w:color w:val="auto"/>
              </w:rPr>
              <w:t>hedging</w:t>
            </w:r>
          </w:p>
        </w:tc>
        <w:tc>
          <w:tcPr>
            <w:tcW w:w="160" w:type="dxa"/>
            <w:vAlign w:val="bottom"/>
          </w:tcPr>
          <w:p>
            <w:pPr>
              <w:spacing w:after="0"/>
              <w:rPr>
                <w:sz w:val="11"/>
                <w:szCs w:val="11"/>
                <w:color w:val="auto"/>
              </w:rPr>
            </w:pPr>
          </w:p>
        </w:tc>
        <w:tc>
          <w:tcPr>
            <w:tcW w:w="960" w:type="dxa"/>
            <w:vAlign w:val="bottom"/>
          </w:tcPr>
          <w:p>
            <w:pPr>
              <w:jc w:val="center"/>
              <w:ind w:right="118"/>
              <w:spacing w:after="0" w:line="136" w:lineRule="exact"/>
              <w:rPr>
                <w:sz w:val="20"/>
                <w:szCs w:val="20"/>
                <w:color w:val="auto"/>
              </w:rPr>
            </w:pPr>
            <w:r>
              <w:rPr>
                <w:rFonts w:ascii="Calibri" w:cs="Calibri" w:eastAsia="Calibri" w:hAnsi="Calibri"/>
                <w:sz w:val="14"/>
                <w:szCs w:val="14"/>
                <w:b w:val="1"/>
                <w:bCs w:val="1"/>
                <w:color w:val="auto"/>
              </w:rPr>
              <w:t>employment</w:t>
            </w:r>
          </w:p>
        </w:tc>
        <w:tc>
          <w:tcPr>
            <w:tcW w:w="220" w:type="dxa"/>
            <w:vAlign w:val="bottom"/>
          </w:tcPr>
          <w:p>
            <w:pPr>
              <w:spacing w:after="0"/>
              <w:rPr>
                <w:sz w:val="11"/>
                <w:szCs w:val="11"/>
                <w:color w:val="auto"/>
              </w:rPr>
            </w:pPr>
          </w:p>
        </w:tc>
        <w:tc>
          <w:tcPr>
            <w:tcW w:w="900" w:type="dxa"/>
            <w:vAlign w:val="bottom"/>
          </w:tcPr>
          <w:p>
            <w:pPr>
              <w:jc w:val="center"/>
              <w:ind w:right="177"/>
              <w:spacing w:after="0" w:line="136" w:lineRule="exact"/>
              <w:rPr>
                <w:sz w:val="20"/>
                <w:szCs w:val="20"/>
                <w:color w:val="auto"/>
              </w:rPr>
            </w:pPr>
            <w:r>
              <w:rPr>
                <w:rFonts w:ascii="Calibri" w:cs="Calibri" w:eastAsia="Calibri" w:hAnsi="Calibri"/>
                <w:sz w:val="14"/>
                <w:szCs w:val="14"/>
                <w:b w:val="1"/>
                <w:bCs w:val="1"/>
                <w:color w:val="auto"/>
              </w:rPr>
              <w:t>hedging</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3"/>
        </w:trPr>
        <w:tc>
          <w:tcPr>
            <w:tcW w:w="552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adjustments</w:t>
            </w:r>
          </w:p>
        </w:tc>
        <w:tc>
          <w:tcPr>
            <w:tcW w:w="220" w:type="dxa"/>
            <w:vAlign w:val="bottom"/>
          </w:tcPr>
          <w:p>
            <w:pPr>
              <w:spacing w:after="0"/>
              <w:rPr>
                <w:sz w:val="15"/>
                <w:szCs w:val="15"/>
                <w:color w:val="auto"/>
              </w:rPr>
            </w:pPr>
          </w:p>
        </w:tc>
        <w:tc>
          <w:tcPr>
            <w:tcW w:w="900" w:type="dxa"/>
            <w:vAlign w:val="bottom"/>
          </w:tcPr>
          <w:p>
            <w:pPr>
              <w:jc w:val="center"/>
              <w:ind w:right="135"/>
              <w:spacing w:after="0"/>
              <w:rPr>
                <w:sz w:val="20"/>
                <w:szCs w:val="20"/>
                <w:color w:val="auto"/>
              </w:rPr>
            </w:pPr>
            <w:r>
              <w:rPr>
                <w:rFonts w:ascii="Calibri" w:cs="Calibri" w:eastAsia="Calibri" w:hAnsi="Calibri"/>
                <w:sz w:val="14"/>
                <w:szCs w:val="14"/>
                <w:b w:val="1"/>
                <w:bCs w:val="1"/>
                <w:color w:val="auto"/>
              </w:rPr>
              <w:t>actvites</w:t>
            </w:r>
          </w:p>
        </w:tc>
        <w:tc>
          <w:tcPr>
            <w:tcW w:w="16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benefts</w:t>
            </w:r>
          </w:p>
        </w:tc>
        <w:tc>
          <w:tcPr>
            <w:tcW w:w="220" w:type="dxa"/>
            <w:vAlign w:val="bottom"/>
          </w:tcPr>
          <w:p>
            <w:pPr>
              <w:spacing w:after="0"/>
              <w:rPr>
                <w:sz w:val="15"/>
                <w:szCs w:val="15"/>
                <w:color w:val="auto"/>
              </w:rPr>
            </w:pPr>
          </w:p>
        </w:tc>
        <w:tc>
          <w:tcPr>
            <w:tcW w:w="900" w:type="dxa"/>
            <w:vAlign w:val="bottom"/>
          </w:tcPr>
          <w:p>
            <w:pPr>
              <w:jc w:val="center"/>
              <w:ind w:right="137"/>
              <w:spacing w:after="0"/>
              <w:rPr>
                <w:sz w:val="20"/>
                <w:szCs w:val="20"/>
                <w:color w:val="auto"/>
              </w:rPr>
            </w:pPr>
            <w:r>
              <w:rPr>
                <w:rFonts w:ascii="Calibri" w:cs="Calibri" w:eastAsia="Calibri" w:hAnsi="Calibri"/>
                <w:sz w:val="14"/>
                <w:szCs w:val="14"/>
                <w:b w:val="1"/>
                <w:bCs w:val="1"/>
                <w:color w:val="auto"/>
              </w:rPr>
              <w:t>actvites</w:t>
            </w:r>
          </w:p>
        </w:tc>
        <w:tc>
          <w:tcPr>
            <w:tcW w:w="30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5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December 31, 2023</w:t>
            </w:r>
          </w:p>
        </w:tc>
        <w:tc>
          <w:tcPr>
            <w:tcW w:w="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(1,106)</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65</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(1,488)</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224</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(2,305)</w:t>
            </w: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34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(553)</w:t>
            </w:r>
          </w:p>
        </w:tc>
        <w:tc>
          <w:tcPr>
            <w:tcW w:w="220" w:type="dxa"/>
            <w:vAlign w:val="bottom"/>
          </w:tcPr>
          <w:p>
            <w:pPr>
              <w:spacing w:after="0"/>
              <w:rPr>
                <w:sz w:val="19"/>
                <w:szCs w:val="19"/>
                <w:color w:val="auto"/>
              </w:rPr>
            </w:pPr>
          </w:p>
        </w:tc>
        <w:tc>
          <w:tcPr>
            <w:tcW w:w="90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336</w:t>
            </w:r>
          </w:p>
        </w:tc>
        <w:tc>
          <w:tcPr>
            <w:tcW w:w="160" w:type="dxa"/>
            <w:vAlign w:val="bottom"/>
          </w:tcPr>
          <w:p>
            <w:pPr>
              <w:spacing w:after="0"/>
              <w:rPr>
                <w:sz w:val="19"/>
                <w:szCs w:val="19"/>
                <w:color w:val="auto"/>
              </w:rPr>
            </w:pPr>
          </w:p>
        </w:tc>
        <w:tc>
          <w:tcPr>
            <w:tcW w:w="96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9"/>
                <w:szCs w:val="19"/>
                <w:color w:val="auto"/>
              </w:rPr>
            </w:pPr>
          </w:p>
        </w:tc>
        <w:tc>
          <w:tcPr>
            <w:tcW w:w="90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62</w:t>
            </w:r>
          </w:p>
        </w:tc>
        <w:tc>
          <w:tcPr>
            <w:tcW w:w="3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(150)</w:t>
            </w: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losses (gains) reclassifed from accumulated other comprehensive loss</w:t>
            </w: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13</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(58)</w:t>
            </w:r>
          </w:p>
        </w:tc>
      </w:tr>
      <w:tr>
        <w:trPr>
          <w:trHeight w:val="223"/>
        </w:trPr>
        <w:tc>
          <w:tcPr>
            <w:tcW w:w="552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current-period other comprehensive income (loss)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line="215" w:lineRule="exact"/>
              <w:rPr>
                <w:sz w:val="20"/>
                <w:szCs w:val="20"/>
                <w:color w:val="auto"/>
              </w:rPr>
            </w:pPr>
            <w:r>
              <w:rPr>
                <w:rFonts w:ascii="Calibri" w:cs="Calibri" w:eastAsia="Calibri" w:hAnsi="Calibri"/>
                <w:sz w:val="18"/>
                <w:szCs w:val="18"/>
                <w:color w:val="auto"/>
              </w:rPr>
              <w:t>291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line="215" w:lineRule="exact"/>
              <w:rPr>
                <w:sz w:val="20"/>
                <w:szCs w:val="20"/>
                <w:color w:val="auto"/>
              </w:rPr>
            </w:pPr>
            <w:r>
              <w:rPr>
                <w:rFonts w:ascii="Calibri" w:cs="Calibri" w:eastAsia="Calibri" w:hAnsi="Calibri"/>
                <w:sz w:val="18"/>
                <w:szCs w:val="18"/>
                <w:color w:val="auto"/>
              </w:rPr>
              <w:t>36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(208)</w:t>
            </w:r>
          </w:p>
        </w:tc>
      </w:tr>
      <w:tr>
        <w:trPr>
          <w:trHeight w:val="248"/>
        </w:trPr>
        <w:tc>
          <w:tcPr>
            <w:tcW w:w="552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June 30, 2024</w:t>
            </w:r>
          </w:p>
        </w:tc>
        <w:tc>
          <w:tcPr>
            <w:tcW w:w="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(1,659)</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356</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(1,470)</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260</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(2,513)</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Other comprehensive loss for the six months ended June 30, 2024 included foreign currency translaton adjustments totaling a loss of $553 million principally due to the impact of the weakening of the Euro on the translaton of the company’s Euro-denominated assets and the ofsetng impact of net investment hedging actvites totaling a gain of $291 million.</w:t>
      </w:r>
    </w:p>
    <w:p>
      <w:pPr>
        <w:spacing w:after="0" w:line="138"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The following table summarizes the changes in each component of accumulated other comprehensive loss, net of tax, for the six months ended June 30,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Foreign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Pension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Calibri" w:cs="Calibri" w:eastAsia="Calibri" w:hAnsi="Calibri"/>
                <w:sz w:val="14"/>
                <w:szCs w:val="14"/>
                <w:b w:val="1"/>
                <w:bCs w:val="1"/>
                <w:color w:val="auto"/>
              </w:rPr>
              <w:t>currency</w:t>
            </w:r>
          </w:p>
        </w:tc>
        <w:tc>
          <w:tcPr>
            <w:tcW w:w="1120" w:type="dxa"/>
            <w:vAlign w:val="bottom"/>
            <w:gridSpan w:val="2"/>
          </w:tcPr>
          <w:p>
            <w:pPr>
              <w:jc w:val="center"/>
              <w:spacing w:after="0" w:line="149" w:lineRule="exact"/>
              <w:rPr>
                <w:sz w:val="20"/>
                <w:szCs w:val="20"/>
                <w:color w:val="auto"/>
              </w:rPr>
            </w:pPr>
            <w:r>
              <w:rPr>
                <w:rFonts w:ascii="Calibri" w:cs="Calibri" w:eastAsia="Calibri" w:hAnsi="Calibri"/>
                <w:sz w:val="14"/>
                <w:szCs w:val="14"/>
                <w:b w:val="1"/>
                <w:bCs w:val="1"/>
                <w:color w:val="auto"/>
              </w:rPr>
              <w:t>Net investment</w:t>
            </w:r>
          </w:p>
        </w:tc>
        <w:tc>
          <w:tcPr>
            <w:tcW w:w="1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Calibri" w:cs="Calibri" w:eastAsia="Calibri" w:hAnsi="Calibri"/>
                <w:sz w:val="14"/>
                <w:szCs w:val="14"/>
                <w:b w:val="1"/>
                <w:bCs w:val="1"/>
                <w:color w:val="auto"/>
              </w:rPr>
              <w:t>and post-</w:t>
            </w:r>
          </w:p>
        </w:tc>
        <w:tc>
          <w:tcPr>
            <w:tcW w:w="220" w:type="dxa"/>
            <w:vAlign w:val="bottom"/>
          </w:tcPr>
          <w:p>
            <w:pPr>
              <w:spacing w:after="0"/>
              <w:rPr>
                <w:sz w:val="12"/>
                <w:szCs w:val="12"/>
                <w:color w:val="auto"/>
              </w:rPr>
            </w:pPr>
          </w:p>
        </w:tc>
        <w:tc>
          <w:tcPr>
            <w:tcW w:w="900" w:type="dxa"/>
            <w:vAlign w:val="bottom"/>
          </w:tcPr>
          <w:p>
            <w:pPr>
              <w:jc w:val="center"/>
              <w:ind w:right="137"/>
              <w:spacing w:after="0" w:line="149" w:lineRule="exact"/>
              <w:rPr>
                <w:sz w:val="20"/>
                <w:szCs w:val="20"/>
                <w:color w:val="auto"/>
              </w:rPr>
            </w:pPr>
            <w:r>
              <w:rPr>
                <w:rFonts w:ascii="Calibri" w:cs="Calibri" w:eastAsia="Calibri" w:hAnsi="Calibri"/>
                <w:sz w:val="14"/>
                <w:szCs w:val="14"/>
                <w:b w:val="1"/>
                <w:bCs w:val="1"/>
                <w:color w:val="auto"/>
              </w:rPr>
              <w:t>Cash fow</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5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jc w:val="center"/>
              <w:ind w:right="98"/>
              <w:spacing w:after="0" w:line="136" w:lineRule="exact"/>
              <w:rPr>
                <w:sz w:val="20"/>
                <w:szCs w:val="20"/>
                <w:color w:val="auto"/>
              </w:rPr>
            </w:pPr>
            <w:r>
              <w:rPr>
                <w:rFonts w:ascii="Calibri" w:cs="Calibri" w:eastAsia="Calibri" w:hAnsi="Calibri"/>
                <w:sz w:val="14"/>
                <w:szCs w:val="14"/>
                <w:b w:val="1"/>
                <w:bCs w:val="1"/>
                <w:color w:val="auto"/>
              </w:rPr>
              <w:t>translaton</w:t>
            </w:r>
          </w:p>
        </w:tc>
        <w:tc>
          <w:tcPr>
            <w:tcW w:w="220" w:type="dxa"/>
            <w:vAlign w:val="bottom"/>
          </w:tcPr>
          <w:p>
            <w:pPr>
              <w:spacing w:after="0"/>
              <w:rPr>
                <w:sz w:val="11"/>
                <w:szCs w:val="11"/>
                <w:color w:val="auto"/>
              </w:rPr>
            </w:pPr>
          </w:p>
        </w:tc>
        <w:tc>
          <w:tcPr>
            <w:tcW w:w="900" w:type="dxa"/>
            <w:vAlign w:val="bottom"/>
          </w:tcPr>
          <w:p>
            <w:pPr>
              <w:jc w:val="center"/>
              <w:ind w:right="135"/>
              <w:spacing w:after="0" w:line="136" w:lineRule="exact"/>
              <w:rPr>
                <w:sz w:val="20"/>
                <w:szCs w:val="20"/>
                <w:color w:val="auto"/>
              </w:rPr>
            </w:pPr>
            <w:r>
              <w:rPr>
                <w:rFonts w:ascii="Calibri" w:cs="Calibri" w:eastAsia="Calibri" w:hAnsi="Calibri"/>
                <w:sz w:val="14"/>
                <w:szCs w:val="14"/>
                <w:b w:val="1"/>
                <w:bCs w:val="1"/>
                <w:color w:val="auto"/>
              </w:rPr>
              <w:t>hedging</w:t>
            </w:r>
          </w:p>
        </w:tc>
        <w:tc>
          <w:tcPr>
            <w:tcW w:w="160" w:type="dxa"/>
            <w:vAlign w:val="bottom"/>
          </w:tcPr>
          <w:p>
            <w:pPr>
              <w:spacing w:after="0"/>
              <w:rPr>
                <w:sz w:val="11"/>
                <w:szCs w:val="11"/>
                <w:color w:val="auto"/>
              </w:rPr>
            </w:pPr>
          </w:p>
        </w:tc>
        <w:tc>
          <w:tcPr>
            <w:tcW w:w="960" w:type="dxa"/>
            <w:vAlign w:val="bottom"/>
          </w:tcPr>
          <w:p>
            <w:pPr>
              <w:jc w:val="center"/>
              <w:ind w:right="118"/>
              <w:spacing w:after="0" w:line="136" w:lineRule="exact"/>
              <w:rPr>
                <w:sz w:val="20"/>
                <w:szCs w:val="20"/>
                <w:color w:val="auto"/>
              </w:rPr>
            </w:pPr>
            <w:r>
              <w:rPr>
                <w:rFonts w:ascii="Calibri" w:cs="Calibri" w:eastAsia="Calibri" w:hAnsi="Calibri"/>
                <w:sz w:val="14"/>
                <w:szCs w:val="14"/>
                <w:b w:val="1"/>
                <w:bCs w:val="1"/>
                <w:color w:val="auto"/>
              </w:rPr>
              <w:t>employment</w:t>
            </w:r>
          </w:p>
        </w:tc>
        <w:tc>
          <w:tcPr>
            <w:tcW w:w="220" w:type="dxa"/>
            <w:vAlign w:val="bottom"/>
          </w:tcPr>
          <w:p>
            <w:pPr>
              <w:spacing w:after="0"/>
              <w:rPr>
                <w:sz w:val="11"/>
                <w:szCs w:val="11"/>
                <w:color w:val="auto"/>
              </w:rPr>
            </w:pPr>
          </w:p>
        </w:tc>
        <w:tc>
          <w:tcPr>
            <w:tcW w:w="900" w:type="dxa"/>
            <w:vAlign w:val="bottom"/>
          </w:tcPr>
          <w:p>
            <w:pPr>
              <w:jc w:val="center"/>
              <w:ind w:right="177"/>
              <w:spacing w:after="0" w:line="136" w:lineRule="exact"/>
              <w:rPr>
                <w:sz w:val="20"/>
                <w:szCs w:val="20"/>
                <w:color w:val="auto"/>
              </w:rPr>
            </w:pPr>
            <w:r>
              <w:rPr>
                <w:rFonts w:ascii="Calibri" w:cs="Calibri" w:eastAsia="Calibri" w:hAnsi="Calibri"/>
                <w:sz w:val="14"/>
                <w:szCs w:val="14"/>
                <w:b w:val="1"/>
                <w:bCs w:val="1"/>
                <w:color w:val="auto"/>
              </w:rPr>
              <w:t>hedging</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3"/>
        </w:trPr>
        <w:tc>
          <w:tcPr>
            <w:tcW w:w="5240" w:type="dxa"/>
            <w:vAlign w:val="bottom"/>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62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adjustments</w:t>
            </w:r>
          </w:p>
        </w:tc>
        <w:tc>
          <w:tcPr>
            <w:tcW w:w="220" w:type="dxa"/>
            <w:vAlign w:val="bottom"/>
          </w:tcPr>
          <w:p>
            <w:pPr>
              <w:spacing w:after="0"/>
              <w:rPr>
                <w:sz w:val="15"/>
                <w:szCs w:val="15"/>
                <w:color w:val="auto"/>
              </w:rPr>
            </w:pPr>
          </w:p>
        </w:tc>
        <w:tc>
          <w:tcPr>
            <w:tcW w:w="900" w:type="dxa"/>
            <w:vAlign w:val="bottom"/>
          </w:tcPr>
          <w:p>
            <w:pPr>
              <w:jc w:val="center"/>
              <w:ind w:right="135"/>
              <w:spacing w:after="0"/>
              <w:rPr>
                <w:sz w:val="20"/>
                <w:szCs w:val="20"/>
                <w:color w:val="auto"/>
              </w:rPr>
            </w:pPr>
            <w:r>
              <w:rPr>
                <w:rFonts w:ascii="Calibri" w:cs="Calibri" w:eastAsia="Calibri" w:hAnsi="Calibri"/>
                <w:sz w:val="14"/>
                <w:szCs w:val="14"/>
                <w:b w:val="1"/>
                <w:bCs w:val="1"/>
                <w:color w:val="auto"/>
              </w:rPr>
              <w:t>actvites</w:t>
            </w:r>
          </w:p>
        </w:tc>
        <w:tc>
          <w:tcPr>
            <w:tcW w:w="16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Calibri" w:cs="Calibri" w:eastAsia="Calibri" w:hAnsi="Calibri"/>
                <w:sz w:val="14"/>
                <w:szCs w:val="14"/>
                <w:b w:val="1"/>
                <w:bCs w:val="1"/>
                <w:color w:val="auto"/>
              </w:rPr>
              <w:t>benefts</w:t>
            </w:r>
          </w:p>
        </w:tc>
        <w:tc>
          <w:tcPr>
            <w:tcW w:w="220" w:type="dxa"/>
            <w:vAlign w:val="bottom"/>
          </w:tcPr>
          <w:p>
            <w:pPr>
              <w:spacing w:after="0"/>
              <w:rPr>
                <w:sz w:val="15"/>
                <w:szCs w:val="15"/>
                <w:color w:val="auto"/>
              </w:rPr>
            </w:pPr>
          </w:p>
        </w:tc>
        <w:tc>
          <w:tcPr>
            <w:tcW w:w="900" w:type="dxa"/>
            <w:vAlign w:val="bottom"/>
          </w:tcPr>
          <w:p>
            <w:pPr>
              <w:jc w:val="center"/>
              <w:ind w:right="137"/>
              <w:spacing w:after="0"/>
              <w:rPr>
                <w:sz w:val="20"/>
                <w:szCs w:val="20"/>
                <w:color w:val="auto"/>
              </w:rPr>
            </w:pPr>
            <w:r>
              <w:rPr>
                <w:rFonts w:ascii="Calibri" w:cs="Calibri" w:eastAsia="Calibri" w:hAnsi="Calibri"/>
                <w:sz w:val="14"/>
                <w:szCs w:val="14"/>
                <w:b w:val="1"/>
                <w:bCs w:val="1"/>
                <w:color w:val="auto"/>
              </w:rPr>
              <w:t>actvites</w:t>
            </w:r>
          </w:p>
        </w:tc>
        <w:tc>
          <w:tcPr>
            <w:tcW w:w="30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Total</w:t>
            </w:r>
          </w:p>
        </w:tc>
      </w:tr>
      <w:tr>
        <w:trPr>
          <w:trHeight w:val="33"/>
        </w:trPr>
        <w:tc>
          <w:tcPr>
            <w:tcW w:w="5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6"/>
        </w:trPr>
        <w:tc>
          <w:tcPr>
            <w:tcW w:w="52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December 31, 2022</w:t>
            </w: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(1,513)</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464</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(1,458)</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308</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(2,199)</w:t>
            </w:r>
          </w:p>
        </w:tc>
      </w:tr>
      <w:tr>
        <w:trPr>
          <w:trHeight w:val="222"/>
        </w:trPr>
        <w:tc>
          <w:tcPr>
            <w:tcW w:w="52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 before reclassifcatons</w:t>
            </w:r>
          </w:p>
        </w:tc>
        <w:tc>
          <w:tcPr>
            <w:tcW w:w="620" w:type="dxa"/>
            <w:vAlign w:val="bottom"/>
          </w:tcPr>
          <w:p>
            <w:pPr>
              <w:spacing w:after="0"/>
              <w:rPr>
                <w:sz w:val="19"/>
                <w:szCs w:val="19"/>
                <w:color w:val="auto"/>
              </w:rPr>
            </w:pPr>
          </w:p>
        </w:tc>
        <w:tc>
          <w:tcPr>
            <w:tcW w:w="94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178</w:t>
            </w:r>
          </w:p>
        </w:tc>
        <w:tc>
          <w:tcPr>
            <w:tcW w:w="22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(168)</w:t>
            </w:r>
          </w:p>
        </w:tc>
        <w:tc>
          <w:tcPr>
            <w:tcW w:w="160" w:type="dxa"/>
            <w:vAlign w:val="bottom"/>
          </w:tcPr>
          <w:p>
            <w:pPr>
              <w:spacing w:after="0"/>
              <w:rPr>
                <w:sz w:val="19"/>
                <w:szCs w:val="19"/>
                <w:color w:val="auto"/>
              </w:rPr>
            </w:pPr>
          </w:p>
        </w:tc>
        <w:tc>
          <w:tcPr>
            <w:tcW w:w="960" w:type="dxa"/>
            <w:vAlign w:val="bottom"/>
          </w:tcPr>
          <w:p>
            <w:pPr>
              <w:jc w:val="right"/>
              <w:ind w:right="38"/>
              <w:spacing w:after="0" w:line="215" w:lineRule="exact"/>
              <w:rPr>
                <w:sz w:val="20"/>
                <w:szCs w:val="20"/>
                <w:color w:val="auto"/>
              </w:rPr>
            </w:pPr>
            <w:r>
              <w:rPr>
                <w:rFonts w:ascii="Calibri" w:cs="Calibri" w:eastAsia="Calibri" w:hAnsi="Calibri"/>
                <w:sz w:val="18"/>
                <w:szCs w:val="18"/>
                <w:color w:val="auto"/>
              </w:rPr>
              <w:t>39</w:t>
            </w:r>
          </w:p>
        </w:tc>
        <w:tc>
          <w:tcPr>
            <w:tcW w:w="220" w:type="dxa"/>
            <w:vAlign w:val="bottom"/>
          </w:tcPr>
          <w:p>
            <w:pPr>
              <w:spacing w:after="0"/>
              <w:rPr>
                <w:sz w:val="19"/>
                <w:szCs w:val="19"/>
                <w:color w:val="auto"/>
              </w:rPr>
            </w:pPr>
          </w:p>
        </w:tc>
        <w:tc>
          <w:tcPr>
            <w:tcW w:w="900" w:type="dxa"/>
            <w:vAlign w:val="bottom"/>
          </w:tcPr>
          <w:p>
            <w:pPr>
              <w:jc w:val="right"/>
              <w:ind w:right="37"/>
              <w:spacing w:after="0" w:line="215" w:lineRule="exact"/>
              <w:rPr>
                <w:sz w:val="20"/>
                <w:szCs w:val="20"/>
                <w:color w:val="auto"/>
              </w:rPr>
            </w:pPr>
            <w:r>
              <w:rPr>
                <w:rFonts w:ascii="Calibri" w:cs="Calibri" w:eastAsia="Calibri" w:hAnsi="Calibri"/>
                <w:sz w:val="18"/>
                <w:szCs w:val="18"/>
                <w:color w:val="auto"/>
              </w:rPr>
              <w:t>8</w:t>
            </w:r>
          </w:p>
        </w:tc>
        <w:tc>
          <w:tcPr>
            <w:tcW w:w="30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57</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Net gains reclassifed from accumulated other comprehensive loss</w:t>
            </w: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(45)</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(62)</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(110)</w:t>
            </w:r>
          </w:p>
        </w:tc>
      </w:tr>
      <w:tr>
        <w:trPr>
          <w:trHeight w:val="223"/>
        </w:trPr>
        <w:tc>
          <w:tcPr>
            <w:tcW w:w="52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Net current-period other comprehensive income (loss)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178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line="215" w:lineRule="exact"/>
              <w:rPr>
                <w:sz w:val="20"/>
                <w:szCs w:val="20"/>
                <w:color w:val="auto"/>
              </w:rPr>
            </w:pPr>
            <w:r>
              <w:rPr>
                <w:rFonts w:ascii="Calibri" w:cs="Calibri" w:eastAsia="Calibri" w:hAnsi="Calibri"/>
                <w:sz w:val="18"/>
                <w:szCs w:val="18"/>
                <w:color w:val="auto"/>
              </w:rPr>
              <w:t>36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w:t>
            </w:r>
          </w:p>
        </w:tc>
      </w:tr>
      <w:tr>
        <w:trPr>
          <w:trHeight w:val="248"/>
        </w:trPr>
        <w:tc>
          <w:tcPr>
            <w:tcW w:w="52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Balance as of June 30, 2023</w:t>
            </w:r>
          </w:p>
        </w:tc>
        <w:tc>
          <w:tcPr>
            <w:tcW w:w="6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(1,335)</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rPr>
              <w:t>251</w:t>
            </w:r>
          </w:p>
        </w:tc>
        <w:tc>
          <w:tcPr>
            <w:tcW w:w="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(1,422)</w:t>
            </w:r>
          </w:p>
        </w:tc>
        <w:tc>
          <w:tcPr>
            <w:tcW w:w="2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37"/>
              <w:spacing w:after="0" w:line="215" w:lineRule="exact"/>
              <w:rPr>
                <w:sz w:val="20"/>
                <w:szCs w:val="20"/>
                <w:color w:val="auto"/>
              </w:rPr>
            </w:pPr>
            <w:r>
              <w:rPr>
                <w:rFonts w:ascii="Calibri" w:cs="Calibri" w:eastAsia="Calibri" w:hAnsi="Calibri"/>
                <w:sz w:val="18"/>
                <w:szCs w:val="18"/>
                <w:color w:val="auto"/>
              </w:rPr>
              <w:t>254</w:t>
            </w:r>
          </w:p>
        </w:tc>
        <w:tc>
          <w:tcPr>
            <w:tcW w:w="30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(2,252)</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Other comprehensive loss for the six months ended June 30, 2023 included foreign currency translaton adjustments totaling a gain of $178 million principally due to the impact of the strengthening of the Euro on the translaton of the company’s Euro-denominated assets and the ofsetng impact of net investment hedging actvites totaling a loss of $213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22</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24" w:name="page25"/>
    <w:bookmarkEnd w:id="24"/>
    <w:p>
      <w:pPr>
        <w:ind w:right="740"/>
        <w:spacing w:after="0" w:line="235" w:lineRule="auto"/>
        <w:rPr>
          <w:sz w:val="20"/>
          <w:szCs w:val="20"/>
          <w:color w:val="auto"/>
        </w:rPr>
      </w:pPr>
      <w:r>
        <w:rPr>
          <w:rFonts w:ascii="Calibri" w:cs="Calibri" w:eastAsia="Calibri" w:hAnsi="Calibri"/>
          <w:sz w:val="18"/>
          <w:szCs w:val="18"/>
          <w:color w:val="auto"/>
        </w:rPr>
        <w:t>The following table presents the impact on AbbVie’s condensed consolidated statements of earnings for signifcant amounts reclassifed out of each component of accumulated other comprehensive loss: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300"/>
              <w:spacing w:after="0"/>
              <w:rPr>
                <w:sz w:val="20"/>
                <w:szCs w:val="20"/>
                <w:color w:val="auto"/>
              </w:rPr>
            </w:pPr>
            <w:r>
              <w:rPr>
                <w:rFonts w:ascii="Calibri" w:cs="Calibri" w:eastAsia="Calibri" w:hAnsi="Calibri"/>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3"/>
          </w:tcPr>
          <w:p>
            <w:pPr>
              <w:jc w:val="right"/>
              <w:ind w:right="572"/>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30"/>
              <w:spacing w:after="0"/>
              <w:rPr>
                <w:sz w:val="20"/>
                <w:szCs w:val="20"/>
                <w:color w:val="auto"/>
              </w:rPr>
            </w:pPr>
            <w:r>
              <w:rPr>
                <w:rFonts w:ascii="Calibri" w:cs="Calibri" w:eastAsia="Calibri" w:hAnsi="Calibri"/>
                <w:sz w:val="14"/>
                <w:szCs w:val="14"/>
                <w:b w:val="1"/>
                <w:bCs w:val="1"/>
                <w:color w:val="auto"/>
              </w:rPr>
              <w:t>June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30"/>
              <w:spacing w:after="0"/>
              <w:rPr>
                <w:sz w:val="20"/>
                <w:szCs w:val="20"/>
                <w:color w:val="auto"/>
              </w:rPr>
            </w:pPr>
            <w:r>
              <w:rPr>
                <w:rFonts w:ascii="Calibri" w:cs="Calibri" w:eastAsia="Calibri" w:hAnsi="Calibri"/>
                <w:sz w:val="14"/>
                <w:szCs w:val="14"/>
                <w:b w:val="1"/>
                <w:bCs w:val="1"/>
                <w:color w:val="auto"/>
              </w:rPr>
              <w:t>June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3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 (brackets denote gains)</w:t>
            </w: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2024</w:t>
            </w:r>
          </w:p>
        </w:tc>
        <w:tc>
          <w:tcPr>
            <w:tcW w:w="360" w:type="dxa"/>
            <w:vAlign w:val="bottom"/>
          </w:tcPr>
          <w:p>
            <w:pPr>
              <w:spacing w:after="0"/>
              <w:rPr>
                <w:sz w:val="14"/>
                <w:szCs w:val="14"/>
                <w:color w:val="auto"/>
              </w:rPr>
            </w:pPr>
          </w:p>
        </w:tc>
        <w:tc>
          <w:tcPr>
            <w:tcW w:w="820" w:type="dxa"/>
            <w:vAlign w:val="bottom"/>
          </w:tcPr>
          <w:p>
            <w:pPr>
              <w:jc w:val="right"/>
              <w:ind w:right="332"/>
              <w:spacing w:after="0" w:line="164" w:lineRule="exact"/>
              <w:rPr>
                <w:sz w:val="20"/>
                <w:szCs w:val="20"/>
                <w:color w:val="auto"/>
              </w:rPr>
            </w:pPr>
            <w:r>
              <w:rPr>
                <w:rFonts w:ascii="Calibri" w:cs="Calibri" w:eastAsia="Calibri" w:hAnsi="Calibri"/>
                <w:sz w:val="14"/>
                <w:szCs w:val="14"/>
                <w:b w:val="1"/>
                <w:bCs w:val="1"/>
                <w:color w:val="auto"/>
              </w:rPr>
              <w:t>2023</w:t>
            </w:r>
          </w:p>
        </w:tc>
        <w:tc>
          <w:tcPr>
            <w:tcW w:w="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94"/>
              <w:spacing w:after="0" w:line="164" w:lineRule="exact"/>
              <w:rPr>
                <w:sz w:val="20"/>
                <w:szCs w:val="20"/>
                <w:color w:val="auto"/>
              </w:rPr>
            </w:pPr>
            <w:r>
              <w:rPr>
                <w:rFonts w:ascii="Calibri" w:cs="Calibri" w:eastAsia="Calibri" w:hAnsi="Calibri"/>
                <w:sz w:val="14"/>
                <w:szCs w:val="14"/>
                <w:b w:val="1"/>
                <w:bCs w:val="1"/>
                <w:color w:val="auto"/>
              </w:rPr>
              <w:t>2024</w:t>
            </w:r>
          </w:p>
        </w:tc>
        <w:tc>
          <w:tcPr>
            <w:tcW w:w="360" w:type="dxa"/>
            <w:vAlign w:val="bottom"/>
          </w:tcPr>
          <w:p>
            <w:pPr>
              <w:spacing w:after="0"/>
              <w:rPr>
                <w:sz w:val="14"/>
                <w:szCs w:val="14"/>
                <w:color w:val="auto"/>
              </w:rPr>
            </w:pPr>
          </w:p>
        </w:tc>
        <w:tc>
          <w:tcPr>
            <w:tcW w:w="840" w:type="dxa"/>
            <w:vAlign w:val="bottom"/>
          </w:tcPr>
          <w:p>
            <w:pPr>
              <w:jc w:val="right"/>
              <w:ind w:right="332"/>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Net investment hedging actvites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Gains on derivatve amount excluded from efectveness testng</w:t>
            </w:r>
            <w:r>
              <w:rPr>
                <w:rFonts w:ascii="Calibri" w:cs="Calibri" w:eastAsia="Calibri" w:hAnsi="Calibri"/>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(58)</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7</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13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reclassifcatons, net of tax</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Calibri" w:cs="Calibri" w:eastAsia="Calibri" w:hAnsi="Calibri"/>
                <w:sz w:val="18"/>
                <w:szCs w:val="18"/>
                <w:b w:val="1"/>
                <w:bCs w:val="1"/>
                <w:color w:val="auto"/>
              </w:rPr>
              <w:t>Pension and post-employment benefts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Amortzaton of actuarial losses (gains) and other</w:t>
            </w:r>
            <w:r>
              <w:rPr>
                <w:rFonts w:ascii="Calibri" w:cs="Calibri" w:eastAsia="Calibri" w:hAnsi="Calibri"/>
                <w:sz w:val="23"/>
                <w:szCs w:val="23"/>
                <w:color w:val="auto"/>
                <w:vertAlign w:val="superscript"/>
              </w:rPr>
              <w:t>(b)</w:t>
            </w: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ind w:right="34"/>
              <w:spacing w:after="0"/>
              <w:rPr>
                <w:sz w:val="20"/>
                <w:szCs w:val="20"/>
                <w:color w:val="auto"/>
              </w:rPr>
            </w:pPr>
            <w:r>
              <w:rPr>
                <w:rFonts w:ascii="Calibri" w:cs="Calibri" w:eastAsia="Calibri" w:hAnsi="Calibri"/>
                <w:sz w:val="18"/>
                <w:szCs w:val="18"/>
                <w:color w:val="auto"/>
              </w:rPr>
              <w:t>9</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ind w:right="34"/>
              <w:spacing w:after="0"/>
              <w:rPr>
                <w:sz w:val="20"/>
                <w:szCs w:val="20"/>
                <w:color w:val="auto"/>
              </w:rPr>
            </w:pPr>
            <w:r>
              <w:rPr>
                <w:rFonts w:ascii="Calibri" w:cs="Calibri" w:eastAsia="Calibri" w:hAnsi="Calibri"/>
                <w:sz w:val="18"/>
                <w:szCs w:val="18"/>
                <w:color w:val="auto"/>
              </w:rPr>
              <w:t>17</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Tax beneft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reclassifcatons, net of tax</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6</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13</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Calibri" w:cs="Calibri" w:eastAsia="Calibri" w:hAnsi="Calibri"/>
                <w:sz w:val="18"/>
                <w:szCs w:val="18"/>
                <w:b w:val="1"/>
                <w:bCs w:val="1"/>
                <w:color w:val="auto"/>
              </w:rPr>
              <w:t>Cash fow hedging actvites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20"/>
              <w:spacing w:after="0" w:line="237" w:lineRule="exact"/>
              <w:rPr>
                <w:sz w:val="20"/>
                <w:szCs w:val="20"/>
                <w:color w:val="auto"/>
              </w:rPr>
            </w:pPr>
            <w:r>
              <w:rPr>
                <w:rFonts w:ascii="Calibri" w:cs="Calibri" w:eastAsia="Calibri" w:hAnsi="Calibri"/>
                <w:sz w:val="18"/>
                <w:szCs w:val="18"/>
                <w:color w:val="auto"/>
              </w:rPr>
              <w:t>Gains on foreign currency forward exchange contracts</w:t>
            </w:r>
            <w:r>
              <w:rPr>
                <w:rFonts w:ascii="Calibri" w:cs="Calibri" w:eastAsia="Calibri" w:hAnsi="Calibri"/>
                <w:sz w:val="23"/>
                <w:szCs w:val="23"/>
                <w:color w:val="auto"/>
                <w:vertAlign w:val="superscript"/>
              </w:rPr>
              <w:t>(c)</w:t>
            </w: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w:t>
            </w:r>
          </w:p>
        </w:tc>
        <w:tc>
          <w:tcPr>
            <w:tcW w:w="36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line="230" w:lineRule="exact"/>
              <w:rPr>
                <w:sz w:val="20"/>
                <w:szCs w:val="20"/>
                <w:color w:val="auto"/>
              </w:rPr>
            </w:pPr>
            <w:r>
              <w:rPr>
                <w:rFonts w:ascii="Calibri" w:cs="Calibri" w:eastAsia="Calibri" w:hAnsi="Calibri"/>
                <w:sz w:val="18"/>
                <w:szCs w:val="18"/>
                <w:color w:val="auto"/>
              </w:rPr>
              <w:t>Gains on treasury rate lock agreements</w:t>
            </w:r>
            <w:r>
              <w:rPr>
                <w:rFonts w:ascii="Calibri" w:cs="Calibri" w:eastAsia="Calibri" w:hAnsi="Calibri"/>
                <w:sz w:val="23"/>
                <w:szCs w:val="23"/>
                <w:color w:val="auto"/>
                <w:vertAlign w:val="superscript"/>
              </w:rPr>
              <w:t>(a)</w:t>
            </w:r>
          </w:p>
        </w:tc>
        <w:tc>
          <w:tcPr>
            <w:tcW w:w="26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3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Gains on cross-currency swap contracts</w:t>
            </w:r>
            <w:r>
              <w:rPr>
                <w:rFonts w:ascii="Calibri" w:cs="Calibri" w:eastAsia="Calibri" w:hAnsi="Calibri"/>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4</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line="215" w:lineRule="exact"/>
              <w:rPr>
                <w:sz w:val="20"/>
                <w:szCs w:val="20"/>
                <w:color w:val="auto"/>
              </w:rPr>
            </w:pPr>
            <w:r>
              <w:rPr>
                <w:rFonts w:ascii="Calibri" w:cs="Calibri" w:eastAsia="Calibri" w:hAnsi="Calibri"/>
                <w:sz w:val="18"/>
                <w:szCs w:val="18"/>
                <w:color w:val="auto"/>
              </w:rPr>
              <w:t>8</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Total reclassifcatons, net of tax</w:t>
            </w: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w:t>
            </w:r>
          </w:p>
        </w:tc>
        <w:tc>
          <w:tcPr>
            <w:tcW w:w="36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interest expense, net (see Note 8).</w:t>
      </w:r>
    </w:p>
    <w:p>
      <w:pPr>
        <w:spacing w:after="0" w:line="144" w:lineRule="exact"/>
        <w:rPr>
          <w:rFonts w:ascii="Calibri" w:cs="Calibri" w:eastAsia="Calibri" w:hAnsi="Calibri"/>
          <w:sz w:val="18"/>
          <w:szCs w:val="18"/>
          <w:color w:val="auto"/>
        </w:rPr>
      </w:pPr>
    </w:p>
    <w:p>
      <w:pPr>
        <w:ind w:left="240" w:hanging="232"/>
        <w:spacing w:after="0"/>
        <w:tabs>
          <w:tab w:leader="none" w:pos="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the computaton of net periodic beneft cost (see Note 9).</w:t>
      </w:r>
    </w:p>
    <w:p>
      <w:pPr>
        <w:spacing w:after="0" w:line="131" w:lineRule="exact"/>
        <w:rPr>
          <w:rFonts w:ascii="Calibri" w:cs="Calibri" w:eastAsia="Calibri" w:hAnsi="Calibri"/>
          <w:sz w:val="18"/>
          <w:szCs w:val="18"/>
          <w:color w:val="auto"/>
        </w:rPr>
      </w:pPr>
    </w:p>
    <w:p>
      <w:pPr>
        <w:ind w:left="220" w:hanging="212"/>
        <w:spacing w:after="0"/>
        <w:tabs>
          <w:tab w:leader="none" w:pos="22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cost of products sold (see Note 8).</w:t>
      </w:r>
    </w:p>
    <w:p>
      <w:pPr>
        <w:spacing w:after="0" w:line="144" w:lineRule="exact"/>
        <w:rPr>
          <w:rFonts w:ascii="Calibri" w:cs="Calibri" w:eastAsia="Calibri" w:hAnsi="Calibri"/>
          <w:sz w:val="18"/>
          <w:szCs w:val="18"/>
          <w:color w:val="auto"/>
        </w:rPr>
      </w:pPr>
    </w:p>
    <w:p>
      <w:pPr>
        <w:ind w:left="240" w:hanging="232"/>
        <w:spacing w:after="0"/>
        <w:tabs>
          <w:tab w:leader="none" w:pos="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Amounts are included in net foreign exchange loss (see Note 8).</w:t>
      </w:r>
    </w:p>
    <w:p>
      <w:pPr>
        <w:spacing w:after="0" w:line="19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Note 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efectve tax rate was 36% for the three months and 30% for the six months ended June 30, 2024 compared to 22% for the three months and 26% for the six months ended June 30, 2023. The efectve tax rate in each period difered from the U.S. statutory tax rate of 21% principally due to the impact of foreign operatons which refects the impact of lower income tax rates in locatons outside the United States, changes in fair value of contngent consideraton and business development actvites, including ImmunoGen acquisiton-related costs. The increase in the efectve tax rate for the three months ended June 30, 2024 over the prior year was primarily due to business development actvites. The increase in the efectve tax rate for the six months ended June 30, 2024 over the prior year was primarily due to business development actvites in the current period, ofset by decreased changes in fair value of contngent consideraton and impairment of certain intangible assets in the prior period.</w:t>
      </w:r>
    </w:p>
    <w:p>
      <w:pPr>
        <w:spacing w:after="0" w:line="46" w:lineRule="exact"/>
        <w:rPr>
          <w:sz w:val="20"/>
          <w:szCs w:val="20"/>
          <w:color w:val="auto"/>
        </w:rPr>
      </w:pPr>
    </w:p>
    <w:p>
      <w:pPr>
        <w:ind w:right="560"/>
        <w:spacing w:after="0" w:line="239" w:lineRule="auto"/>
        <w:rPr>
          <w:sz w:val="20"/>
          <w:szCs w:val="20"/>
          <w:color w:val="auto"/>
        </w:rPr>
      </w:pPr>
      <w:r>
        <w:rPr>
          <w:rFonts w:ascii="Calibri" w:cs="Calibri" w:eastAsia="Calibri" w:hAnsi="Calibri"/>
          <w:sz w:val="17"/>
          <w:szCs w:val="17"/>
          <w:color w:val="auto"/>
        </w:rPr>
        <w:t>It is reasonably possible that the company’s gross unrecognized tax benefts balance may change within the next 12 months by up to $162 million. The company has various federal, state and foreign examinatons ongoing. Finalizing examinatons with the relevant taxing authorites can include formal administratve and legal proceedings, and as a result, we cannot reasonably estmate the tming of resoluton for certain unrecognized tax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391795</wp:posOffset>
            </wp:positionV>
            <wp:extent cx="51435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23</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5" w:name="page26"/>
    <w:bookmarkEnd w:id="25"/>
    <w:p>
      <w:pPr>
        <w:spacing w:after="0"/>
        <w:rPr>
          <w:sz w:val="20"/>
          <w:szCs w:val="20"/>
          <w:color w:val="auto"/>
        </w:rPr>
      </w:pPr>
      <w:r>
        <w:rPr>
          <w:rFonts w:ascii="Calibri" w:cs="Calibri" w:eastAsia="Calibri" w:hAnsi="Calibri"/>
          <w:sz w:val="21"/>
          <w:szCs w:val="21"/>
          <w:b w:val="1"/>
          <w:bCs w:val="1"/>
          <w:color w:val="444867"/>
        </w:rPr>
        <w:t>Note 12 Legal Proceedings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18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is subject to contngencies, such as various claims, legal proceedings and investgatons regarding product liability, intellectual property, commercial, securites and other maters that arise in the normal course of business. The most signifcant maters are described below. Loss contngency provisions are recorded for probable losses at management’s best estmate of a loss, or when a best estmate cannot be made, a minimum loss contngency amount within a probable range is recorded. For litgaton maters discussed below for which a loss is probable or reasonably possible, the company is unable to estmate the possible loss or range of loss, if any, beyond the amounts accrued. Initaton of new legal proceedings or a change in the status of existng proceedings may result in a change in the estmated loss accrued by AbbVie. While it is not feasible to predict the outcome of all proceedings and exposures with certainty, management believes that their ultmate dispositon should not have a material adverse efect on AbbVie’s consolidated fnancial positon, results of operatons or cash fows.</w:t>
      </w:r>
    </w:p>
    <w:p>
      <w:pPr>
        <w:spacing w:after="0" w:line="155"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Subject to certain exceptons specifed in the separaton agreement by and between Abbot Laboratories (Abbot) and AbbVie, AbbVie assumed the liability for, and control of, all pending and threatened legal maters related to its business, including liabilites for any claims or legal proceedings related to products that had been part of its business, but were discontnued prior to the distributon, as well as assumed or retained liabilites, and will indemnify Abbot for any liability arising out of or resultng from such assumed legal maters.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Anttrust Litgaton</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Lawsuits are pending against AbbVie and others generally alleging that the 2005 patent litgaton setlement involving Niaspan entered into between Kos Pharmaceutcals, Inc. (a company acquired by Abbot in 2006 and presently a subsidiary of AbbVie) and a generic company violated federal and state anttrust laws and state unfair and deceptve trade practces and unjust enrichment laws. Plaintfs generally seek monetary damages and/or injunctve relief and atorneys' fees. The lawsuits pending in federal court consist of six individual plaintf lawsuits and a certfed class acton by Niaspan direct purchasers. The cases are pending in the United States District Court for the Eastern District of Pennsylvania for coordinated or consolidated pre-trial proceedings under the federal mult-district litgaton (MDL) Rules as In re: Niaspan Anttrust Litgaton, MDL No. 2460. In October 2016, the Orange County, California District Atorney’s Ofce fled a lawsuit on behalf of the State of California regarding the Niaspan patent litgaton setlement in Orange County Superior Court, assertng a claim under the unfair competton provision of the California Business and Professions Code seeking injunctve relief, resttuton, civil penaltes and atorneys’ fees.</w:t>
      </w:r>
    </w:p>
    <w:p>
      <w:pPr>
        <w:spacing w:after="0" w:line="14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August 2019, direct purchasers of AndroGel fled a lawsuit, King Drug Co. of Florence, Inc., et al. v. AbbVie Inc., et al., against AbbVie and others in the United States District Court for the Eastern District of Pennsylvania, alleging that 2006 patent litgaton setlements and related agreements by Solvay Pharmaceutcals, Inc. (a company Abbot acquired in February 2010 and now known as AbbVie Products LLC) with three generic companies violated federal anttrust law, and also alleging that 2011 patent litgaton by Abbot with two generic companies regarding AndroGel was sham litgaton and the setlements of those litgatons violated federal anttrust law. Plaintfs generally seek monetary damages and/or injunctve relief and atorneys’ fees. In November 2022, the State of Oregon fled a lawsuit in the Multnomah County, Oregon Circuit Court making similar allegatons regarding the 2011 patent litgaton with one of the generic companies.</w:t>
      </w:r>
    </w:p>
    <w:p>
      <w:pPr>
        <w:spacing w:after="0" w:line="15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Lawsuits were fled against Forest Laboratories, LLC and others generally alleging that 2012 and 2013 patent litgaton setlements involving Bystolic with six generic manufacturers violated federal and state anttrust laws and state unfair and deceptve trade practces and unjust enrichment laws. Plaintfs generally seek monetary damages and/or injunctve relief and atorneys’ fees. The lawsuits, purported class actons fled on behalf of direct and indirect purchasers of Bystolic, were consolidated as In re: Bystolic Anttrust Litgaton in the United States District Court for the Southern District of New York. In February 2023, the court granted Forest Laboratories’ moton to dismiss the cases, dismissing them with prejudice. In May 2024, the United States Court of Appeals for the Second Circuit afrmed that dismissal.</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Government Proceedings</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Lawsuits are pending against Allergan and several other manufacturers generally alleging that they improperly promoted and sold prescripton opioid products. Approximately 460 lawsuits are pending against Allergan in federal and state courts. Most of the federal court lawsuits are consolidated for pre-trial purposes in the United States District Court for the Northern District of Ohio under the MDL rules as In re: Natonal Prescripton Opiate Litgaton, MDL No. 2804. Approximately 52 of the lawsuits are pending in various state courts. The plaintfs in these lawsuits, which include states, countes, cites, other municipal enttes, Natve American tribes, union trust funds and other third-party payors, private hospitals and personal injury claimants, generally seek compensatory and punitve damages. Of these approximately 460 lawsuits, approximately 45 of them are brought by states, countes, cites, and other municipal enttes, approximately 25 of which are in the process of being dismissed pursuant to the previously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394970</wp:posOffset>
            </wp:positionV>
            <wp:extent cx="51435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24</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26" w:name="page27"/>
    <w:bookmarkEnd w:id="26"/>
    <w:p>
      <w:pPr>
        <w:ind w:right="120"/>
        <w:spacing w:after="0" w:line="235" w:lineRule="auto"/>
        <w:rPr>
          <w:sz w:val="20"/>
          <w:szCs w:val="20"/>
          <w:color w:val="auto"/>
        </w:rPr>
      </w:pPr>
      <w:r>
        <w:rPr>
          <w:rFonts w:ascii="Calibri" w:cs="Calibri" w:eastAsia="Calibri" w:hAnsi="Calibri"/>
          <w:sz w:val="18"/>
          <w:szCs w:val="18"/>
          <w:color w:val="auto"/>
        </w:rPr>
        <w:t>setlement for which AbbVie recorded a charge of $2.1 billion to selling, general and administratve expense in the consolidated statement of earnings in the second quarter of 2022.</w:t>
      </w:r>
    </w:p>
    <w:p>
      <w:pPr>
        <w:spacing w:after="0" w:line="150" w:lineRule="exact"/>
        <w:rPr>
          <w:sz w:val="20"/>
          <w:szCs w:val="20"/>
          <w:color w:val="auto"/>
        </w:rPr>
      </w:pPr>
    </w:p>
    <w:p>
      <w:pPr>
        <w:jc w:val="both"/>
        <w:ind w:right="340"/>
        <w:spacing w:after="0" w:line="235" w:lineRule="auto"/>
        <w:rPr>
          <w:sz w:val="20"/>
          <w:szCs w:val="20"/>
          <w:color w:val="auto"/>
        </w:rPr>
      </w:pPr>
      <w:r>
        <w:rPr>
          <w:rFonts w:ascii="Calibri" w:cs="Calibri" w:eastAsia="Calibri" w:hAnsi="Calibri"/>
          <w:sz w:val="18"/>
          <w:szCs w:val="18"/>
          <w:color w:val="auto"/>
        </w:rPr>
        <w:t>In March 2023, AbbVie Inc. fled a petton in the United States Tax Court, AbbVie Inc. and Subsidiaries v. Commissioner of Internal Revenue. The petton disputes the Internal Revenue Service determinaton concerning a $572 million income tax beneft recorded in 2014 related to a payment made to a third party for the terminaton of a proposed business combinaton.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Shareholder and Securites Litgaton</w:t>
      </w:r>
    </w:p>
    <w:p>
      <w:pPr>
        <w:spacing w:after="0" w:line="13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October 2018, a federal securites lawsuit, Holwill v. AbbVie Inc., et al., was fled in the United States District Court for the Northern District of Illinois against AbbVie, its chief executve ofcer and former chief fnancial ofcer, alleging that reasons stated for Humira sales growth in fnancial flings between 2013 and 2018 were misleading because they omited alleged misconduct in connecton with Humira patent and reimbursement support services and other services and items of value that allegedly induced Humira prescriptons. In September 2021, the court granted plaintfs' moton to certfy a class.</w:t>
      </w:r>
    </w:p>
    <w:p>
      <w:pPr>
        <w:spacing w:after="0" w:line="15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May and July 2022, two shareholder derivatve lawsuits, Treppel Family Trust v. Gonzalez et al., and Katcher v. Gonzalez, et al., were fled in the United States District Court for the Northern District of Illinois, alleging that certain AbbVie directors and ofcers breached fduciary and other legal dutes in making or allowing alleged misstatements regarding the potental efect that safety informaton about another company’s product would have on the Food and Drug Administraton’s approval and labeling for AbbVie’s Rinvoq.</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Product Liability and General Litgaton</w:t>
      </w:r>
    </w:p>
    <w:p>
      <w:pPr>
        <w:spacing w:after="0" w:line="13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In April 2023, a putatve class acton lawsuit, Camargo v. AbbVie Inc., was fled in the United States District Court for the Northern District of Illinois on behalf of Humira patents who paid for Humira based on its list price or who, afer losing insurance coverage, discontnued Humira because they could not pay based on its list price, alleging that Humira’s list price is excessive in violaton of multple states’ unfair and deceptve trade practces statutes. The plaintf generally seeks monetary damages, injunctve relief, and atorneys’ fees.</w:t>
      </w:r>
    </w:p>
    <w:p>
      <w:pPr>
        <w:spacing w:after="0" w:line="15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2018, a qui tam lawsuit, U.S. ex rel. Silbersher v. Allergan Inc., et al., was fled in the United States District Court for the Northern District of California against several Allergan enttes and others, alleging that their conduct before the U.S. Patent Ofce resulted in false claims for payment being made to federal and state healthcare payors for Namenda XR and Namzaric. The plaintf-relator sought damages and atorneys' fees under the federal False Claims Act and state law analogues. The federal government and state governments declined to intervene in the lawsuit. In March 2023, the court granted Allergan’s moton to dismiss, dismissing plaintf-relator’s federal law claims with prejudice and state law claims without prejudice. The plaintf-relator is appealing the court’s moton to dismiss ruling.</w:t>
      </w:r>
    </w:p>
    <w:p>
      <w:pPr>
        <w:spacing w:after="0" w:line="15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Lawsuits are pending against various Allergan enttes in the United States and other countries including Brazil, Canada, South Korea, and the Netherlands, in which plaintfs generally allege that they developed, or may develop, breast implant-associated anaplastc large cell lymphoma (ALCL) or other injuries from Allergan’s Biocell® textured breast implants, which were voluntarily withdrawn from worldwide markets in 2019. Approximately 130 ALCL lawsuits and 1,000 other lawsuits are coordinated for pre-trial purposes in the United States District Court for the District of New Jersey under the MDL rules as In re: Allergan Biocell Textured Breast Implant Product Liability Litgaton, MDL No. 2921. Approximately 75 ALCL lawsuits and 460 other lawsuits are pending in various state courts. Approximately 50 ALCL and 800 other lawsuits are pending in other countries. Plaintfs generally seek monetary damages, medical monitoring, and atorneys’ fees.</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Intellectual Property Litgaton</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AbbVie Inc. is seeking to enforce patent rights relatng to venetoclax (a drug sold under the trademark Venclexta). Litgaton was fled in the United States District Court for the District of Delaware in July 2020 against Dr. Reddy’s Laboratories, Ltd. and Dr. Reddy’s Laboratories, Inc.; and Alembic Pharmaceutcals Ltd., Alembic Pharmaceutcals, Inc., and Alembic Global Holdings SA. AbbVie alleges defendants’ proposed generic venetoclax products infringe certain patents and seeks declaratory and injunctve relief. Genentech, Inc., which is in a global collaboraton with AbbVie concerning the development and marketng of Venclexta, is the co-plaintf in this suit.</w:t>
      </w:r>
    </w:p>
    <w:p>
      <w:pPr>
        <w:spacing w:after="0" w:line="15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AbbVie Inc. is seeking to enforce patent rights relatng to upadacitnib (a drug sold under the trademark Rinvoq). Litgaton was fled in the United States District Court for the District of Delaware in November 2023 against Hetero USA, Inc., Hetero Labs Limited, Hetero Labs Limited Unit-V, Aurobindo Pharma USA, Inc., Aurobindo Pharma Ltd., Sandoz, Inc. Sandoz Private Limited, Sandoz GMBH, and Sun Pharmaceutcal Industries, Ltd. AbbVie alleges defendants’ proposed generic upadacitnib products infringe certain patents and seeks declaratory and injunctve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487680</wp:posOffset>
            </wp:positionV>
            <wp:extent cx="51435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25</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right="20"/>
        <w:spacing w:after="0" w:line="235" w:lineRule="auto"/>
        <w:rPr>
          <w:sz w:val="20"/>
          <w:szCs w:val="20"/>
          <w:color w:val="auto"/>
        </w:rPr>
      </w:pPr>
      <w:r>
        <w:rPr>
          <w:rFonts w:ascii="Calibri" w:cs="Calibri" w:eastAsia="Calibri" w:hAnsi="Calibri"/>
          <w:sz w:val="18"/>
          <w:szCs w:val="18"/>
          <w:color w:val="auto"/>
        </w:rPr>
        <w:t>AbbVie Inc. is seeking to enforce patent rights related to ubrogepant (a drug sold under the trademark Ubrelvy). Litgaton was fled in the United States District Court for the District of New Jersey in March 2024 against Aurobindo Pharma U.S.A., Inc., Aurobindo Pharma Limited, and Apitoria Pharma Private Limited; Zydus Pharmaceutcals (USA) Inc. and Zydus Lifesciences Limited; MSN Pharmaceutcals Inc., MSN Laboratories Private Limited, and MSN Life Sciences Private Limited; and Hetero USA Inc., Hetero Labs Limited Unit-III, and Hetero Labs Limited. AbbVie alleges defendants’ proposed generic ubrogepant products infringe certain patents and seeks declaratory and injunctve relief. Merck Sharp &amp; Dohme LLC, which exclusively licenses certain patents to AbbVie, is a co-plaintf in the litgaton.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488950</wp:posOffset>
            </wp:positionV>
            <wp:extent cx="51435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26</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8" w:name="page29"/>
    <w:bookmarkEnd w:id="28"/>
    <w:p>
      <w:pPr>
        <w:spacing w:after="0"/>
        <w:rPr>
          <w:sz w:val="20"/>
          <w:szCs w:val="20"/>
          <w:color w:val="auto"/>
        </w:rPr>
      </w:pPr>
      <w:r>
        <w:rPr>
          <w:rFonts w:ascii="Calibri" w:cs="Calibri" w:eastAsia="Calibri" w:hAnsi="Calibri"/>
          <w:sz w:val="22"/>
          <w:szCs w:val="22"/>
          <w:b w:val="1"/>
          <w:bCs w:val="1"/>
          <w:color w:val="444867"/>
        </w:rPr>
        <w:t>Note 13 Segment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AbbVie operates as a single global business segment dedicated to the research and development, manufacturing, commercializaton and sale of innovatve medicines and therapies. This operatng structure enables the Chief Executve Ofcer, as chief operatng decision maker (CODM), to allocate resources and assess business performance on a global basis in order to achieve established long-term strategic goals. Consistent with this structure, a global research and development and supply chain organizaton is responsible for the discovery, manufacturing and supply of products. Commercial eforts that coordinate the marketng, sales and distributon of these products are organized by geographic region or therapeutc area. All of these actvites are supported by a global corporate administratve staf. The determinaton of a single business segment is consistent with the consolidated fnancial informaton regularly reviewed by the CODM for purposes of assessing performance, allocatng resources and planning and forecastng future periods.</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details AbbVie’s worldwide net revenues: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gridSpan w:val="3"/>
          </w:tcPr>
          <w:p>
            <w:pPr>
              <w:jc w:val="right"/>
              <w:ind w:right="159"/>
              <w:spacing w:after="0"/>
              <w:rPr>
                <w:sz w:val="20"/>
                <w:szCs w:val="20"/>
                <w:color w:val="auto"/>
              </w:rPr>
            </w:pPr>
            <w:r>
              <w:rPr>
                <w:rFonts w:ascii="Calibri" w:cs="Calibri" w:eastAsia="Calibri" w:hAnsi="Calibri"/>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gridSpan w:val="2"/>
          </w:tcPr>
          <w:p>
            <w:pPr>
              <w:jc w:val="right"/>
              <w:ind w:right="539"/>
              <w:spacing w:after="0"/>
              <w:rPr>
                <w:sz w:val="20"/>
                <w:szCs w:val="20"/>
                <w:color w:val="auto"/>
              </w:rPr>
            </w:pPr>
            <w:r>
              <w:rPr>
                <w:rFonts w:ascii="Calibri" w:cs="Calibri" w:eastAsia="Calibri" w:hAnsi="Calibri"/>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219"/>
              <w:spacing w:after="0"/>
              <w:rPr>
                <w:sz w:val="20"/>
                <w:szCs w:val="20"/>
                <w:color w:val="auto"/>
              </w:rPr>
            </w:pPr>
            <w:r>
              <w:rPr>
                <w:rFonts w:ascii="Calibri" w:cs="Calibri" w:eastAsia="Calibri" w:hAnsi="Calibri"/>
                <w:sz w:val="14"/>
                <w:szCs w:val="14"/>
                <w:b w:val="1"/>
                <w:bCs w:val="1"/>
                <w:color w:val="auto"/>
              </w:rPr>
              <w:t>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980" w:type="dxa"/>
            <w:vAlign w:val="bottom"/>
            <w:vMerge w:val="restart"/>
          </w:tcPr>
          <w:p>
            <w:pPr>
              <w:ind w:left="80"/>
              <w:spacing w:after="0"/>
              <w:rPr>
                <w:sz w:val="20"/>
                <w:szCs w:val="20"/>
                <w:color w:val="auto"/>
              </w:rPr>
            </w:pPr>
            <w:r>
              <w:rPr>
                <w:rFonts w:ascii="Calibri" w:cs="Calibri" w:eastAsia="Calibri" w:hAnsi="Calibri"/>
                <w:sz w:val="14"/>
                <w:szCs w:val="14"/>
                <w:b w:val="1"/>
                <w:bCs w:val="1"/>
                <w:color w:val="auto"/>
              </w:rPr>
              <w:t>(in millions)</w:t>
            </w:r>
          </w:p>
        </w:tc>
        <w:tc>
          <w:tcPr>
            <w:tcW w:w="38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9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48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40"/>
              <w:spacing w:after="0" w:line="164"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4"/>
                <w:szCs w:val="14"/>
                <w:color w:val="auto"/>
              </w:rPr>
            </w:pPr>
          </w:p>
        </w:tc>
        <w:tc>
          <w:tcPr>
            <w:tcW w:w="800" w:type="dxa"/>
            <w:vAlign w:val="bottom"/>
          </w:tcPr>
          <w:p>
            <w:pPr>
              <w:jc w:val="right"/>
              <w:ind w:right="419"/>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Immunology</w:t>
            </w:r>
          </w:p>
        </w:tc>
        <w:tc>
          <w:tcPr>
            <w:tcW w:w="3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Humira</w:t>
            </w: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8"/>
              </w:rPr>
              <w:t>2,360</w:t>
            </w:r>
          </w:p>
        </w:tc>
        <w:tc>
          <w:tcPr>
            <w:tcW w:w="900" w:type="dxa"/>
            <w:vAlign w:val="bottom"/>
            <w:tcBorders>
              <w:bottom w:val="single" w:sz="8" w:color="CCEEFF"/>
            </w:tcBorders>
            <w:shd w:val="clear" w:color="auto" w:fill="CCEEFF"/>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4,131</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6,400</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454</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560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953</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1,153</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w w:val="98"/>
              </w:rPr>
              <w:t>2,814</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5,084</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7,553</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Skyrizi</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8"/>
              </w:rPr>
              <w:t>2,340</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1,634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3,996</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2,773</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387</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739</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470</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w w:val="98"/>
              </w:rPr>
              <w:t>2,727</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1,883</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4,735</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3,243</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Rinvoq</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8"/>
              </w:rPr>
              <w:t>1,017</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645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1,742</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1,094</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413</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781</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510</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w w:val="98"/>
              </w:rPr>
              <w:t>1,430</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2,523</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1,604</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Oncology</w:t>
            </w:r>
          </w:p>
        </w:tc>
        <w:tc>
          <w:tcPr>
            <w:tcW w:w="38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Imbruvica</w:t>
            </w: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595</w:t>
            </w:r>
          </w:p>
        </w:tc>
        <w:tc>
          <w:tcPr>
            <w:tcW w:w="900" w:type="dxa"/>
            <w:vAlign w:val="bottom"/>
            <w:tcBorders>
              <w:bottom w:val="single" w:sz="8" w:color="CCEEFF"/>
            </w:tcBorders>
            <w:shd w:val="clear" w:color="auto" w:fill="CCEEFF"/>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1,205</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1,304</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Collaboraton revenues</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238</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241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466</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481</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833</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1,671</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1,785</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Venclexta</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rPr>
              <w:t>300</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581</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530</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337</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670</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579</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637</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571</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1,251</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1,109</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980" w:type="dxa"/>
            <w:vAlign w:val="bottom"/>
            <w:tcBorders>
              <w:bottom w:val="single" w:sz="8" w:color="auto"/>
            </w:tcBorders>
            <w:shd w:val="clear" w:color="auto" w:fill="CCEEFF"/>
          </w:tcPr>
          <w:p>
            <w:pPr>
              <w:ind w:left="20"/>
              <w:spacing w:after="0" w:line="237" w:lineRule="exact"/>
              <w:rPr>
                <w:sz w:val="20"/>
                <w:szCs w:val="20"/>
                <w:color w:val="auto"/>
              </w:rPr>
            </w:pPr>
            <w:r>
              <w:rPr>
                <w:rFonts w:ascii="Calibri" w:cs="Calibri" w:eastAsia="Calibri" w:hAnsi="Calibri"/>
                <w:sz w:val="16"/>
                <w:szCs w:val="16"/>
                <w:color w:val="auto"/>
              </w:rPr>
              <w:t>Elahere</w:t>
            </w:r>
            <w:r>
              <w:rPr>
                <w:rFonts w:ascii="Calibri" w:cs="Calibri" w:eastAsia="Calibri" w:hAnsi="Calibri"/>
                <w:sz w:val="21"/>
                <w:szCs w:val="21"/>
                <w:color w:val="auto"/>
                <w:vertAlign w:val="superscript"/>
              </w:rPr>
              <w:t>(a)</w:t>
            </w:r>
          </w:p>
        </w:tc>
        <w:tc>
          <w:tcPr>
            <w:tcW w:w="3840" w:type="dxa"/>
            <w:vAlign w:val="bottom"/>
            <w:tcBorders>
              <w:bottom w:val="single" w:sz="8" w:color="auto"/>
            </w:tcBorders>
            <w:shd w:val="clear" w:color="auto" w:fill="CCEEFF"/>
          </w:tcPr>
          <w:p>
            <w:pPr>
              <w:ind w:left="620"/>
              <w:spacing w:after="0"/>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128</w:t>
            </w:r>
          </w:p>
        </w:tc>
        <w:tc>
          <w:tcPr>
            <w:tcW w:w="900" w:type="dxa"/>
            <w:vAlign w:val="bottom"/>
            <w:tcBorders>
              <w:bottom w:val="single" w:sz="8" w:color="auto"/>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Calibri" w:cs="Calibri" w:eastAsia="Calibri" w:hAnsi="Calibri"/>
                <w:sz w:val="16"/>
                <w:szCs w:val="16"/>
                <w:color w:val="auto"/>
              </w:rPr>
              <w: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192</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9"/>
        </w:trPr>
        <w:tc>
          <w:tcPr>
            <w:tcW w:w="1980" w:type="dxa"/>
            <w:vAlign w:val="bottom"/>
          </w:tcPr>
          <w:p>
            <w:pPr>
              <w:ind w:left="20"/>
              <w:spacing w:after="0"/>
              <w:rPr>
                <w:sz w:val="20"/>
                <w:szCs w:val="20"/>
                <w:color w:val="auto"/>
              </w:rPr>
            </w:pPr>
            <w:r>
              <w:rPr>
                <w:rFonts w:ascii="Calibri" w:cs="Calibri" w:eastAsia="Calibri" w:hAnsi="Calibri"/>
                <w:sz w:val="16"/>
                <w:szCs w:val="16"/>
                <w:color w:val="auto"/>
              </w:rPr>
              <w:t>Epkinly</w:t>
            </w:r>
          </w:p>
        </w:tc>
        <w:tc>
          <w:tcPr>
            <w:tcW w:w="3840" w:type="dxa"/>
            <w:vAlign w:val="bottom"/>
          </w:tcPr>
          <w:p>
            <w:pPr>
              <w:ind w:left="620"/>
              <w:spacing w:after="0"/>
              <w:rPr>
                <w:sz w:val="20"/>
                <w:szCs w:val="20"/>
                <w:color w:val="auto"/>
              </w:rPr>
            </w:pPr>
            <w:r>
              <w:rPr>
                <w:rFonts w:ascii="Calibri" w:cs="Calibri" w:eastAsia="Calibri" w:hAnsi="Calibri"/>
                <w:sz w:val="16"/>
                <w:szCs w:val="16"/>
                <w:color w:val="auto"/>
              </w:rPr>
              <w:t>Collaboraton Revenues</w:t>
            </w:r>
          </w:p>
        </w:tc>
        <w:tc>
          <w:tcPr>
            <w:tcW w:w="800" w:type="dxa"/>
            <w:vAlign w:val="bottom"/>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Pr>
          <w:p>
            <w:pPr>
              <w:jc w:val="right"/>
              <w:ind w:right="19"/>
              <w:spacing w:after="0"/>
              <w:rPr>
                <w:sz w:val="20"/>
                <w:szCs w:val="20"/>
                <w:color w:val="auto"/>
              </w:rPr>
            </w:pPr>
            <w:r>
              <w:rPr>
                <w:rFonts w:ascii="Calibri" w:cs="Calibri" w:eastAsia="Calibri" w:hAnsi="Calibri"/>
                <w:sz w:val="16"/>
                <w:szCs w:val="16"/>
                <w:color w:val="auto"/>
              </w:rPr>
              <w:t>29</w:t>
            </w:r>
          </w:p>
        </w:tc>
        <w:tc>
          <w:tcPr>
            <w:tcW w:w="900" w:type="dxa"/>
            <w:vAlign w:val="bottom"/>
          </w:tcPr>
          <w:p>
            <w:pPr>
              <w:jc w:val="right"/>
              <w:ind w:right="639"/>
              <w:spacing w:after="0"/>
              <w:rPr>
                <w:sz w:val="20"/>
                <w:szCs w:val="20"/>
                <w:color w:val="auto"/>
              </w:rPr>
            </w:pPr>
            <w:r>
              <w:rPr>
                <w:rFonts w:ascii="Calibri" w:cs="Calibri" w:eastAsia="Calibri" w:hAnsi="Calibri"/>
                <w:sz w:val="16"/>
                <w:szCs w:val="16"/>
                <w:color w:val="auto"/>
              </w:rPr>
              <w:t>$</w:t>
            </w:r>
          </w:p>
        </w:tc>
        <w:tc>
          <w:tcPr>
            <w:tcW w:w="56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51</w:t>
            </w:r>
          </w:p>
        </w:tc>
        <w:tc>
          <w:tcPr>
            <w:tcW w:w="580" w:type="dxa"/>
            <w:vAlign w:val="bottom"/>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8"/>
        </w:trPr>
        <w:tc>
          <w:tcPr>
            <w:tcW w:w="1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9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7</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12</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36</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560" w:type="dxa"/>
            <w:vAlign w:val="bottom"/>
            <w:tcBorders>
              <w:top w:val="single" w:sz="8" w:color="auto"/>
            </w:tcBorders>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63</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b w:val="1"/>
                <w:bCs w:val="1"/>
                <w:color w:val="auto"/>
              </w:rPr>
              <w:t>Aesthetcs</w:t>
            </w:r>
          </w:p>
        </w:tc>
        <w:tc>
          <w:tcPr>
            <w:tcW w:w="38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80" w:type="dxa"/>
            <w:vAlign w:val="bottom"/>
          </w:tcPr>
          <w:p>
            <w:pPr>
              <w:ind w:left="20"/>
              <w:spacing w:after="0" w:line="193" w:lineRule="exact"/>
              <w:rPr>
                <w:sz w:val="20"/>
                <w:szCs w:val="20"/>
                <w:color w:val="auto"/>
              </w:rPr>
            </w:pPr>
            <w:r>
              <w:rPr>
                <w:rFonts w:ascii="Calibri" w:cs="Calibri" w:eastAsia="Calibri" w:hAnsi="Calibri"/>
                <w:sz w:val="16"/>
                <w:szCs w:val="16"/>
                <w:color w:val="auto"/>
              </w:rPr>
              <w:t>Botox Cosmetc</w:t>
            </w: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450</w:t>
            </w:r>
          </w:p>
        </w:tc>
        <w:tc>
          <w:tcPr>
            <w:tcW w:w="900" w:type="dxa"/>
            <w:vAlign w:val="bottom"/>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420</w:t>
            </w:r>
          </w:p>
        </w:tc>
        <w:tc>
          <w:tcPr>
            <w:tcW w:w="100" w:type="dxa"/>
            <w:vAlign w:val="bottom"/>
          </w:tcPr>
          <w:p>
            <w:pPr>
              <w:spacing w:after="0"/>
              <w:rPr>
                <w:sz w:val="16"/>
                <w:szCs w:val="16"/>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839</w:t>
            </w:r>
          </w:p>
        </w:tc>
        <w:tc>
          <w:tcPr>
            <w:tcW w:w="580" w:type="dxa"/>
            <w:vAlign w:val="bottom"/>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829</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279</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523</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515</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729</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685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1,362</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1,344</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Juvederm Collecton</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138</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244</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247</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205</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243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396</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476</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343</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640</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723</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Other Aesthetcs</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top w:val="single" w:sz="8" w:color="auto"/>
            </w:tcBorders>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rPr>
              <w:t>275</w:t>
            </w:r>
          </w:p>
        </w:tc>
        <w:tc>
          <w:tcPr>
            <w:tcW w:w="900" w:type="dxa"/>
            <w:vAlign w:val="bottom"/>
            <w:tcBorders>
              <w:top w:val="single" w:sz="8" w:color="auto"/>
            </w:tcBorders>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284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556</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530</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43</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318</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331</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637</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617</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b w:val="1"/>
                <w:bCs w:val="1"/>
                <w:color w:val="auto"/>
              </w:rPr>
              <w:t>Neuroscience</w:t>
            </w:r>
          </w:p>
        </w:tc>
        <w:tc>
          <w:tcPr>
            <w:tcW w:w="38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80" w:type="dxa"/>
            <w:vAlign w:val="bottom"/>
          </w:tcPr>
          <w:p>
            <w:pPr>
              <w:ind w:left="20"/>
              <w:spacing w:after="0" w:line="193" w:lineRule="exact"/>
              <w:rPr>
                <w:sz w:val="20"/>
                <w:szCs w:val="20"/>
                <w:color w:val="auto"/>
              </w:rPr>
            </w:pPr>
            <w:r>
              <w:rPr>
                <w:rFonts w:ascii="Calibri" w:cs="Calibri" w:eastAsia="Calibri" w:hAnsi="Calibri"/>
                <w:sz w:val="16"/>
                <w:szCs w:val="16"/>
                <w:color w:val="auto"/>
              </w:rPr>
              <w:t>Botox Therapeutc</w:t>
            </w: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800" w:type="dxa"/>
            <w:vAlign w:val="bottom"/>
          </w:tcPr>
          <w:p>
            <w:pPr>
              <w:jc w:val="right"/>
              <w:ind w:right="620"/>
              <w:spacing w:after="0" w:line="193" w:lineRule="exact"/>
              <w:rPr>
                <w:sz w:val="20"/>
                <w:szCs w:val="20"/>
                <w:color w:val="auto"/>
              </w:rPr>
            </w:pPr>
            <w:r>
              <w:rPr>
                <w:rFonts w:ascii="Calibri" w:cs="Calibri" w:eastAsia="Calibri" w:hAnsi="Calibri"/>
                <w:sz w:val="16"/>
                <w:szCs w:val="16"/>
                <w:color w:val="auto"/>
                <w:w w:val="97"/>
              </w:rPr>
              <w:t>$</w:t>
            </w: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669</w:t>
            </w:r>
          </w:p>
        </w:tc>
        <w:tc>
          <w:tcPr>
            <w:tcW w:w="900" w:type="dxa"/>
            <w:vAlign w:val="bottom"/>
          </w:tcPr>
          <w:p>
            <w:pPr>
              <w:jc w:val="right"/>
              <w:ind w:right="63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614</w:t>
            </w:r>
          </w:p>
        </w:tc>
        <w:tc>
          <w:tcPr>
            <w:tcW w:w="100" w:type="dxa"/>
            <w:vAlign w:val="bottom"/>
          </w:tcPr>
          <w:p>
            <w:pPr>
              <w:spacing w:after="0"/>
              <w:rPr>
                <w:sz w:val="16"/>
                <w:szCs w:val="16"/>
                <w:color w:val="auto"/>
              </w:rPr>
            </w:pP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1,280</w:t>
            </w:r>
          </w:p>
        </w:tc>
        <w:tc>
          <w:tcPr>
            <w:tcW w:w="580" w:type="dxa"/>
            <w:vAlign w:val="bottom"/>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1,201</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145</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282</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266</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top w:val="single" w:sz="8" w:color="auto"/>
            </w:tcBorders>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top w:val="single" w:sz="8" w:color="auto"/>
            </w:tcBorders>
          </w:tcPr>
          <w:p>
            <w:pPr>
              <w:jc w:val="right"/>
              <w:ind w:right="19"/>
              <w:spacing w:after="0"/>
              <w:rPr>
                <w:sz w:val="20"/>
                <w:szCs w:val="20"/>
                <w:color w:val="auto"/>
              </w:rPr>
            </w:pPr>
            <w:r>
              <w:rPr>
                <w:rFonts w:ascii="Calibri" w:cs="Calibri" w:eastAsia="Calibri" w:hAnsi="Calibri"/>
                <w:sz w:val="16"/>
                <w:szCs w:val="16"/>
                <w:color w:val="auto"/>
              </w:rPr>
              <w:t>814</w:t>
            </w:r>
          </w:p>
        </w:tc>
        <w:tc>
          <w:tcPr>
            <w:tcW w:w="900" w:type="dxa"/>
            <w:vAlign w:val="bottom"/>
            <w:tcBorders>
              <w:top w:val="single" w:sz="8" w:color="auto"/>
            </w:tcBorders>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748</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1,562</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1,467</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Vraylar</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800" w:type="dxa"/>
            <w:vAlign w:val="bottom"/>
            <w:tcBorders>
              <w:bottom w:val="single" w:sz="8" w:color="CCEEFF"/>
            </w:tcBorders>
            <w:shd w:val="clear" w:color="auto" w:fill="CCEEFF"/>
          </w:tcPr>
          <w:p>
            <w:pPr>
              <w:jc w:val="right"/>
              <w:ind w:right="620"/>
              <w:spacing w:after="0" w:line="187" w:lineRule="exact"/>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773</w:t>
            </w:r>
          </w:p>
        </w:tc>
        <w:tc>
          <w:tcPr>
            <w:tcW w:w="900" w:type="dxa"/>
            <w:vAlign w:val="bottom"/>
            <w:tcBorders>
              <w:bottom w:val="single" w:sz="8" w:color="CCEEFF"/>
            </w:tcBorders>
            <w:shd w:val="clear" w:color="auto" w:fill="CCEEFF"/>
          </w:tcPr>
          <w:p>
            <w:pPr>
              <w:jc w:val="right"/>
              <w:ind w:right="639"/>
              <w:spacing w:after="0" w:line="187"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1,465</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1,217</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800" w:type="dxa"/>
            <w:vAlign w:val="bottom"/>
          </w:tcPr>
          <w:p>
            <w:pPr>
              <w:spacing w:after="0"/>
              <w:rPr>
                <w:sz w:val="16"/>
                <w:szCs w:val="16"/>
                <w:color w:val="auto"/>
              </w:rPr>
            </w:pPr>
          </w:p>
        </w:tc>
        <w:tc>
          <w:tcPr>
            <w:tcW w:w="48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w:t>
            </w:r>
          </w:p>
        </w:tc>
        <w:tc>
          <w:tcPr>
            <w:tcW w:w="90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3</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2</w:t>
            </w:r>
          </w:p>
        </w:tc>
        <w:tc>
          <w:tcPr>
            <w:tcW w:w="0" w:type="dxa"/>
            <w:vAlign w:val="bottom"/>
          </w:tcPr>
          <w:p>
            <w:pPr>
              <w:spacing w:after="0"/>
              <w:rPr>
                <w:sz w:val="1"/>
                <w:szCs w:val="1"/>
                <w:color w:val="auto"/>
              </w:rPr>
            </w:pPr>
          </w:p>
        </w:tc>
      </w:tr>
      <w:tr>
        <w:trPr>
          <w:trHeight w:val="22"/>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Calibri" w:cs="Calibri" w:eastAsia="Calibri" w:hAnsi="Calibri"/>
                <w:sz w:val="16"/>
                <w:szCs w:val="16"/>
                <w:color w:val="auto"/>
                <w:w w:val="97"/>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Calibri" w:cs="Calibri" w:eastAsia="Calibri" w:hAnsi="Calibri"/>
                <w:sz w:val="16"/>
                <w:szCs w:val="16"/>
                <w:color w:val="auto"/>
              </w:rPr>
              <w:t>774</w:t>
            </w:r>
          </w:p>
        </w:tc>
        <w:tc>
          <w:tcPr>
            <w:tcW w:w="900" w:type="dxa"/>
            <w:vAlign w:val="bottom"/>
            <w:tcBorders>
              <w:bottom w:val="single" w:sz="8" w:color="CCEEFF"/>
            </w:tcBorders>
            <w:shd w:val="clear" w:color="auto" w:fill="CCEEFF"/>
          </w:tcPr>
          <w:p>
            <w:pPr>
              <w:jc w:val="right"/>
              <w:ind w:right="639"/>
              <w:spacing w:after="0"/>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658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1,468</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1,219</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3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 xml:space="preserve">| </w:t>
      </w:r>
      <w:r>
        <w:rPr>
          <w:sz w:val="1"/>
          <w:szCs w:val="1"/>
          <w:color w:val="auto"/>
        </w:rPr>
        <w:drawing>
          <wp:inline distT="0" distB="0" distL="0" distR="0">
            <wp:extent cx="514350" cy="9461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35"/>
          <w:szCs w:val="35"/>
          <w:b w:val="1"/>
          <w:bCs w:val="1"/>
          <w:i w:val="1"/>
          <w:iCs w:val="1"/>
          <w:color w:val="auto"/>
          <w:vertAlign w:val="superscript"/>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ind w:left="420"/>
              <w:spacing w:after="0"/>
              <w:rPr>
                <w:sz w:val="20"/>
                <w:szCs w:val="20"/>
                <w:color w:val="auto"/>
              </w:rPr>
            </w:pPr>
            <w:r>
              <w:rPr>
                <w:rFonts w:ascii="Calibri" w:cs="Calibri" w:eastAsia="Calibri" w:hAnsi="Calibri"/>
                <w:sz w:val="14"/>
                <w:szCs w:val="14"/>
                <w:b w:val="1"/>
                <w:bCs w:val="1"/>
                <w:color w:val="auto"/>
              </w:rPr>
              <w:t>Three months ended</w:t>
            </w:r>
          </w:p>
        </w:tc>
        <w:tc>
          <w:tcPr>
            <w:tcW w:w="3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9"/>
              <w:spacing w:after="0"/>
              <w:rPr>
                <w:sz w:val="20"/>
                <w:szCs w:val="20"/>
                <w:color w:val="auto"/>
              </w:rPr>
            </w:pPr>
            <w:r>
              <w:rPr>
                <w:rFonts w:ascii="Calibri" w:cs="Calibri" w:eastAsia="Calibri" w:hAnsi="Calibri"/>
                <w:sz w:val="14"/>
                <w:szCs w:val="14"/>
                <w:b w:val="1"/>
                <w:bCs w:val="1"/>
                <w:color w:val="auto"/>
              </w:rPr>
              <w:t>June 30,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219"/>
              <w:spacing w:after="0"/>
              <w:rPr>
                <w:sz w:val="20"/>
                <w:szCs w:val="20"/>
                <w:color w:val="auto"/>
              </w:rPr>
            </w:pPr>
            <w:r>
              <w:rPr>
                <w:rFonts w:ascii="Calibri" w:cs="Calibri" w:eastAsia="Calibri" w:hAnsi="Calibri"/>
                <w:sz w:val="14"/>
                <w:szCs w:val="14"/>
                <w:b w:val="1"/>
                <w:bCs w:val="1"/>
                <w:color w:val="auto"/>
              </w:rPr>
              <w:t>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980" w:type="dxa"/>
            <w:vAlign w:val="bottom"/>
            <w:vMerge w:val="restart"/>
          </w:tcPr>
          <w:p>
            <w:pPr>
              <w:ind w:left="80"/>
              <w:spacing w:after="0"/>
              <w:rPr>
                <w:sz w:val="20"/>
                <w:szCs w:val="20"/>
                <w:color w:val="auto"/>
              </w:rPr>
            </w:pPr>
            <w:r>
              <w:rPr>
                <w:rFonts w:ascii="Calibri" w:cs="Calibri" w:eastAsia="Calibri" w:hAnsi="Calibri"/>
                <w:sz w:val="14"/>
                <w:szCs w:val="14"/>
                <w:b w:val="1"/>
                <w:bCs w:val="1"/>
                <w:color w:val="auto"/>
              </w:rPr>
              <w:t>(in millions)</w:t>
            </w:r>
          </w:p>
        </w:tc>
        <w:tc>
          <w:tcPr>
            <w:tcW w:w="38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9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40"/>
              <w:spacing w:after="0" w:line="164" w:lineRule="exact"/>
              <w:rPr>
                <w:sz w:val="20"/>
                <w:szCs w:val="20"/>
                <w:color w:val="auto"/>
              </w:rPr>
            </w:pPr>
            <w:r>
              <w:rPr>
                <w:rFonts w:ascii="Calibri" w:cs="Calibri" w:eastAsia="Calibri" w:hAnsi="Calibri"/>
                <w:sz w:val="14"/>
                <w:szCs w:val="14"/>
                <w:b w:val="1"/>
                <w:bCs w:val="1"/>
                <w:color w:val="auto"/>
              </w:rPr>
              <w:t>2024</w:t>
            </w:r>
          </w:p>
        </w:tc>
        <w:tc>
          <w:tcPr>
            <w:tcW w:w="420" w:type="dxa"/>
            <w:vAlign w:val="bottom"/>
          </w:tcPr>
          <w:p>
            <w:pPr>
              <w:spacing w:after="0"/>
              <w:rPr>
                <w:sz w:val="14"/>
                <w:szCs w:val="14"/>
                <w:color w:val="auto"/>
              </w:rPr>
            </w:pPr>
          </w:p>
        </w:tc>
        <w:tc>
          <w:tcPr>
            <w:tcW w:w="940" w:type="dxa"/>
            <w:vAlign w:val="bottom"/>
          </w:tcPr>
          <w:p>
            <w:pPr>
              <w:jc w:val="right"/>
              <w:ind w:right="419"/>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40"/>
              <w:spacing w:after="0" w:line="164" w:lineRule="exact"/>
              <w:rPr>
                <w:sz w:val="20"/>
                <w:szCs w:val="20"/>
                <w:color w:val="auto"/>
              </w:rPr>
            </w:pPr>
            <w:r>
              <w:rPr>
                <w:rFonts w:ascii="Calibri" w:cs="Calibri" w:eastAsia="Calibri" w:hAnsi="Calibri"/>
                <w:sz w:val="14"/>
                <w:szCs w:val="14"/>
                <w:b w:val="1"/>
                <w:bCs w:val="1"/>
                <w:color w:val="auto"/>
              </w:rPr>
              <w:t>2024</w:t>
            </w:r>
          </w:p>
        </w:tc>
        <w:tc>
          <w:tcPr>
            <w:tcW w:w="580" w:type="dxa"/>
            <w:vAlign w:val="bottom"/>
          </w:tcPr>
          <w:p>
            <w:pPr>
              <w:spacing w:after="0"/>
              <w:rPr>
                <w:sz w:val="14"/>
                <w:szCs w:val="14"/>
                <w:color w:val="auto"/>
              </w:rPr>
            </w:pPr>
          </w:p>
        </w:tc>
        <w:tc>
          <w:tcPr>
            <w:tcW w:w="800" w:type="dxa"/>
            <w:vAlign w:val="bottom"/>
          </w:tcPr>
          <w:p>
            <w:pPr>
              <w:jc w:val="right"/>
              <w:ind w:right="419"/>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0" w:type="dxa"/>
            <w:vAlign w:val="bottom"/>
          </w:tcPr>
          <w:p>
            <w:pPr>
              <w:spacing w:after="0"/>
              <w:rPr>
                <w:sz w:val="1"/>
                <w:szCs w:val="1"/>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line="187" w:lineRule="exact"/>
              <w:rPr>
                <w:sz w:val="20"/>
                <w:szCs w:val="20"/>
                <w:color w:val="auto"/>
              </w:rPr>
            </w:pPr>
            <w:r>
              <w:rPr>
                <w:rFonts w:ascii="Calibri" w:cs="Calibri" w:eastAsia="Calibri" w:hAnsi="Calibri"/>
                <w:sz w:val="16"/>
                <w:szCs w:val="16"/>
                <w:color w:val="auto"/>
              </w:rPr>
              <w:t>Duodopa</w:t>
            </w:r>
          </w:p>
        </w:tc>
        <w:tc>
          <w:tcPr>
            <w:tcW w:w="3840" w:type="dxa"/>
            <w:vAlign w:val="bottom"/>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ind w:right="20"/>
              <w:spacing w:after="0" w:line="187" w:lineRule="exact"/>
              <w:rPr>
                <w:sz w:val="20"/>
                <w:szCs w:val="20"/>
                <w:color w:val="auto"/>
              </w:rPr>
            </w:pPr>
            <w:r>
              <w:rPr>
                <w:rFonts w:ascii="Calibri" w:cs="Calibri" w:eastAsia="Calibri" w:hAnsi="Calibri"/>
                <w:sz w:val="16"/>
                <w:szCs w:val="16"/>
                <w:color w:val="auto"/>
              </w:rPr>
              <w:t>23</w:t>
            </w:r>
          </w:p>
        </w:tc>
        <w:tc>
          <w:tcPr>
            <w:tcW w:w="420" w:type="dxa"/>
            <w:vAlign w:val="bottom"/>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Pr>
          <w:p>
            <w:pPr>
              <w:jc w:val="right"/>
              <w:spacing w:after="0" w:line="187" w:lineRule="exact"/>
              <w:rPr>
                <w:sz w:val="20"/>
                <w:szCs w:val="20"/>
                <w:color w:val="auto"/>
              </w:rPr>
            </w:pPr>
            <w:r>
              <w:rPr>
                <w:rFonts w:ascii="Calibri" w:cs="Calibri" w:eastAsia="Calibri" w:hAnsi="Calibri"/>
                <w:sz w:val="16"/>
                <w:szCs w:val="16"/>
                <w:color w:val="auto"/>
              </w:rPr>
              <w:t>24</w:t>
            </w:r>
          </w:p>
        </w:tc>
        <w:tc>
          <w:tcPr>
            <w:tcW w:w="100" w:type="dxa"/>
            <w:vAlign w:val="bottom"/>
          </w:tcPr>
          <w:p>
            <w:pPr>
              <w:spacing w:after="0"/>
              <w:rPr>
                <w:sz w:val="16"/>
                <w:szCs w:val="16"/>
                <w:color w:val="auto"/>
              </w:rPr>
            </w:pPr>
          </w:p>
        </w:tc>
        <w:tc>
          <w:tcPr>
            <w:tcW w:w="300" w:type="dxa"/>
            <w:vAlign w:val="bottom"/>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Pr>
          <w:p>
            <w:pPr>
              <w:jc w:val="right"/>
              <w:spacing w:after="0" w:line="187" w:lineRule="exact"/>
              <w:rPr>
                <w:sz w:val="20"/>
                <w:szCs w:val="20"/>
                <w:color w:val="auto"/>
              </w:rPr>
            </w:pPr>
            <w:r>
              <w:rPr>
                <w:rFonts w:ascii="Calibri" w:cs="Calibri" w:eastAsia="Calibri" w:hAnsi="Calibri"/>
                <w:sz w:val="16"/>
                <w:szCs w:val="16"/>
                <w:color w:val="auto"/>
              </w:rPr>
              <w:t>48</w:t>
            </w:r>
          </w:p>
        </w:tc>
        <w:tc>
          <w:tcPr>
            <w:tcW w:w="580" w:type="dxa"/>
            <w:vAlign w:val="bottom"/>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spacing w:after="0" w:line="187" w:lineRule="exact"/>
              <w:rPr>
                <w:sz w:val="20"/>
                <w:szCs w:val="20"/>
                <w:color w:val="auto"/>
              </w:rPr>
            </w:pPr>
            <w:r>
              <w:rPr>
                <w:rFonts w:ascii="Calibri" w:cs="Calibri" w:eastAsia="Calibri" w:hAnsi="Calibri"/>
                <w:sz w:val="16"/>
                <w:szCs w:val="16"/>
                <w:color w:val="auto"/>
              </w:rPr>
              <w:t>49</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90</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180</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186</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113</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117</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228</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235</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Ubrelvy</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227</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424</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344</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4</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10</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4</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231</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434</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348</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Qulipta</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146</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274</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161</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4</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150</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96</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281</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162</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Other Neuroscience</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57</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118</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140</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23</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36</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9</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80</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154</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149</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Eye Care</w:t>
            </w:r>
          </w:p>
        </w:tc>
        <w:tc>
          <w:tcPr>
            <w:tcW w:w="3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Ozurdex</w:t>
            </w: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35</w:t>
            </w:r>
          </w:p>
        </w:tc>
        <w:tc>
          <w:tcPr>
            <w:tcW w:w="420" w:type="dxa"/>
            <w:vAlign w:val="bottom"/>
            <w:tcBorders>
              <w:bottom w:val="single" w:sz="8" w:color="CCEEFF"/>
            </w:tcBorders>
            <w:shd w:val="clear" w:color="auto" w:fill="CCEEFF"/>
          </w:tcPr>
          <w:p>
            <w:pPr>
              <w:jc w:val="right"/>
              <w:ind w:right="159"/>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69</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89</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186</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161</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124</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255</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234</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Lumigan/Ganfort</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42</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71</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114</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61</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123</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135</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103</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119</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194</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249</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Alphagan/Combigan</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13</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28</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60</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36</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80</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76</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49</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108</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136</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Restasis</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18</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62</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161</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14</w:t>
            </w: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w:t>
            </w: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rPr>
                <w:sz w:val="20"/>
                <w:szCs w:val="20"/>
                <w:color w:val="auto"/>
              </w:rPr>
            </w:pPr>
            <w:r>
              <w:rPr>
                <w:rFonts w:ascii="Calibri" w:cs="Calibri" w:eastAsia="Calibri" w:hAnsi="Calibri"/>
                <w:sz w:val="16"/>
                <w:szCs w:val="16"/>
                <w:color w:val="auto"/>
              </w:rPr>
              <w:t>32</w:t>
            </w:r>
          </w:p>
        </w:tc>
        <w:tc>
          <w:tcPr>
            <w:tcW w:w="420" w:type="dxa"/>
            <w:vAlign w:val="bottom"/>
            <w:tcBorders>
              <w:top w:val="single" w:sz="8" w:color="auto"/>
            </w:tcBorders>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99</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89</w:t>
            </w:r>
          </w:p>
        </w:tc>
        <w:tc>
          <w:tcPr>
            <w:tcW w:w="580" w:type="dxa"/>
            <w:vAlign w:val="bottom"/>
            <w:tcBorders>
              <w:top w:val="single" w:sz="8" w:color="auto"/>
            </w:tcBorders>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rPr>
              <w:t>191</w:t>
            </w:r>
          </w:p>
        </w:tc>
        <w:tc>
          <w:tcPr>
            <w:tcW w:w="0" w:type="dxa"/>
            <w:vAlign w:val="bottom"/>
          </w:tcPr>
          <w:p>
            <w:pPr>
              <w:spacing w:after="0"/>
              <w:rPr>
                <w:sz w:val="1"/>
                <w:szCs w:val="1"/>
                <w:color w:val="auto"/>
              </w:rPr>
            </w:pPr>
          </w:p>
        </w:tc>
      </w:tr>
      <w:tr>
        <w:trPr>
          <w:trHeight w:val="28"/>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Other Eye Care</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131</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236</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220</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94</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189</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195</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225</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425</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415</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Other Key Products</w:t>
            </w:r>
          </w:p>
        </w:tc>
        <w:tc>
          <w:tcPr>
            <w:tcW w:w="3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Mavyret</w:t>
            </w:r>
          </w:p>
        </w:tc>
        <w:tc>
          <w:tcPr>
            <w:tcW w:w="3840" w:type="dxa"/>
            <w:vAlign w:val="bottom"/>
            <w:tcBorders>
              <w:bottom w:val="single" w:sz="8" w:color="CCEEFF"/>
            </w:tcBorders>
            <w:shd w:val="clear" w:color="auto" w:fill="CCEEFF"/>
          </w:tcPr>
          <w:p>
            <w:pPr>
              <w:ind w:left="620"/>
              <w:spacing w:after="0" w:line="193"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93" w:lineRule="exact"/>
              <w:rPr>
                <w:sz w:val="20"/>
                <w:szCs w:val="20"/>
                <w:color w:val="auto"/>
              </w:rPr>
            </w:pPr>
            <w:r>
              <w:rPr>
                <w:rFonts w:ascii="Calibri" w:cs="Calibri" w:eastAsia="Calibri" w:hAnsi="Calibri"/>
                <w:sz w:val="16"/>
                <w:szCs w:val="16"/>
                <w:color w:val="auto"/>
              </w:rPr>
              <w:t>167</w:t>
            </w:r>
          </w:p>
        </w:tc>
        <w:tc>
          <w:tcPr>
            <w:tcW w:w="420" w:type="dxa"/>
            <w:vAlign w:val="bottom"/>
            <w:tcBorders>
              <w:bottom w:val="single" w:sz="8" w:color="CCEEFF"/>
            </w:tcBorders>
            <w:shd w:val="clear" w:color="auto" w:fill="CCEEFF"/>
          </w:tcPr>
          <w:p>
            <w:pPr>
              <w:jc w:val="right"/>
              <w:ind w:right="159"/>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w:t>
            </w:r>
          </w:p>
        </w:tc>
        <w:tc>
          <w:tcPr>
            <w:tcW w:w="580" w:type="dxa"/>
            <w:vAlign w:val="bottom"/>
            <w:tcBorders>
              <w:bottom w:val="single" w:sz="8" w:color="CCEEFF"/>
            </w:tcBorders>
            <w:shd w:val="clear" w:color="auto" w:fill="CCEEFF"/>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364</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202</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407</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387</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369</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718</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751</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Creon</w:t>
            </w:r>
          </w:p>
        </w:tc>
        <w:tc>
          <w:tcPr>
            <w:tcW w:w="3840" w:type="dxa"/>
            <w:vAlign w:val="bottom"/>
            <w:tcBorders>
              <w:top w:val="single" w:sz="8" w:color="auto"/>
            </w:tcBorders>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372</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282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587</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Linzess/Constella</w:t>
            </w:r>
          </w:p>
        </w:tc>
        <w:tc>
          <w:tcPr>
            <w:tcW w:w="3840" w:type="dxa"/>
            <w:vAlign w:val="bottom"/>
            <w:tcBorders>
              <w:bottom w:val="single" w:sz="8" w:color="CCEEFF"/>
            </w:tcBorders>
            <w:shd w:val="clear" w:color="auto" w:fill="CCEEFF"/>
          </w:tcPr>
          <w:p>
            <w:pPr>
              <w:ind w:left="620"/>
              <w:spacing w:after="0" w:line="187" w:lineRule="exact"/>
              <w:rPr>
                <w:sz w:val="20"/>
                <w:szCs w:val="20"/>
                <w:color w:val="auto"/>
              </w:rPr>
            </w:pPr>
            <w:r>
              <w:rPr>
                <w:rFonts w:ascii="Calibri" w:cs="Calibri" w:eastAsia="Calibri" w:hAnsi="Calibri"/>
                <w:sz w:val="16"/>
                <w:szCs w:val="16"/>
                <w:color w:val="auto"/>
              </w:rPr>
              <w:t>United States</w:t>
            </w: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211</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468</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520</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16"/>
                <w:szCs w:val="16"/>
                <w:color w:val="auto"/>
              </w:rPr>
            </w:pPr>
          </w:p>
        </w:tc>
        <w:tc>
          <w:tcPr>
            <w:tcW w:w="3840" w:type="dxa"/>
            <w:vAlign w:val="bottom"/>
          </w:tcPr>
          <w:p>
            <w:pPr>
              <w:ind w:left="620"/>
              <w:spacing w:after="0" w:line="193" w:lineRule="exact"/>
              <w:rPr>
                <w:sz w:val="20"/>
                <w:szCs w:val="20"/>
                <w:color w:val="auto"/>
              </w:rPr>
            </w:pPr>
            <w:r>
              <w:rPr>
                <w:rFonts w:ascii="Calibri" w:cs="Calibri" w:eastAsia="Calibri" w:hAnsi="Calibri"/>
                <w:sz w:val="16"/>
                <w:szCs w:val="16"/>
                <w:color w:val="auto"/>
              </w:rPr>
              <w:t>Internatonal</w:t>
            </w:r>
          </w:p>
        </w:tc>
        <w:tc>
          <w:tcPr>
            <w:tcW w:w="280" w:type="dxa"/>
            <w:vAlign w:val="bottom"/>
          </w:tcPr>
          <w:p>
            <w:pPr>
              <w:spacing w:after="0"/>
              <w:rPr>
                <w:sz w:val="16"/>
                <w:szCs w:val="16"/>
                <w:color w:val="auto"/>
              </w:rPr>
            </w:pPr>
          </w:p>
        </w:tc>
        <w:tc>
          <w:tcPr>
            <w:tcW w:w="1000" w:type="dxa"/>
            <w:vAlign w:val="bottom"/>
          </w:tcPr>
          <w:p>
            <w:pPr>
              <w:jc w:val="right"/>
              <w:ind w:right="20"/>
              <w:spacing w:after="0" w:line="193" w:lineRule="exact"/>
              <w:rPr>
                <w:sz w:val="20"/>
                <w:szCs w:val="20"/>
                <w:color w:val="auto"/>
              </w:rPr>
            </w:pPr>
            <w:r>
              <w:rPr>
                <w:rFonts w:ascii="Calibri" w:cs="Calibri" w:eastAsia="Calibri" w:hAnsi="Calibri"/>
                <w:sz w:val="16"/>
                <w:szCs w:val="16"/>
                <w:color w:val="auto"/>
              </w:rPr>
              <w:t>10</w:t>
            </w:r>
          </w:p>
        </w:tc>
        <w:tc>
          <w:tcPr>
            <w:tcW w:w="42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19</w:t>
            </w:r>
          </w:p>
        </w:tc>
        <w:tc>
          <w:tcPr>
            <w:tcW w:w="5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17</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620"/>
              <w:spacing w:after="0"/>
              <w:rPr>
                <w:sz w:val="20"/>
                <w:szCs w:val="20"/>
                <w:color w:val="auto"/>
              </w:rPr>
            </w:pPr>
            <w:r>
              <w:rPr>
                <w:rFonts w:ascii="Calibri" w:cs="Calibri" w:eastAsia="Calibri" w:hAnsi="Calibri"/>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Calibri" w:cs="Calibri" w:eastAsia="Calibri" w:hAnsi="Calibri"/>
                <w:sz w:val="16"/>
                <w:szCs w:val="16"/>
                <w:color w:val="auto"/>
              </w:rPr>
              <w:t>221</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487</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537</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All other</w:t>
            </w:r>
          </w:p>
        </w:tc>
        <w:tc>
          <w:tcPr>
            <w:tcW w:w="3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ind w:right="20"/>
              <w:spacing w:after="0" w:line="187" w:lineRule="exact"/>
              <w:rPr>
                <w:sz w:val="20"/>
                <w:szCs w:val="20"/>
                <w:color w:val="auto"/>
              </w:rPr>
            </w:pPr>
            <w:r>
              <w:rPr>
                <w:rFonts w:ascii="Calibri" w:cs="Calibri" w:eastAsia="Calibri" w:hAnsi="Calibri"/>
                <w:sz w:val="16"/>
                <w:szCs w:val="16"/>
                <w:color w:val="auto"/>
              </w:rPr>
              <w:t>810</w:t>
            </w:r>
          </w:p>
        </w:tc>
        <w:tc>
          <w:tcPr>
            <w:tcW w:w="42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741</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1,554</w:t>
            </w:r>
          </w:p>
        </w:tc>
        <w:tc>
          <w:tcPr>
            <w:tcW w:w="580" w:type="dxa"/>
            <w:vAlign w:val="bottom"/>
            <w:tcBorders>
              <w:top w:val="single" w:sz="8" w:color="auto"/>
            </w:tcBorders>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1,432</w:t>
            </w:r>
          </w:p>
        </w:tc>
        <w:tc>
          <w:tcPr>
            <w:tcW w:w="0" w:type="dxa"/>
            <w:vAlign w:val="bottom"/>
          </w:tcPr>
          <w:p>
            <w:pPr>
              <w:spacing w:after="0"/>
              <w:rPr>
                <w:sz w:val="1"/>
                <w:szCs w:val="1"/>
                <w:color w:val="auto"/>
              </w:rPr>
            </w:pPr>
          </w:p>
        </w:tc>
      </w:tr>
      <w:tr>
        <w:trPr>
          <w:trHeight w:val="22"/>
        </w:trPr>
        <w:tc>
          <w:tcPr>
            <w:tcW w:w="19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980" w:type="dxa"/>
            <w:vAlign w:val="bottom"/>
            <w:tcBorders>
              <w:bottom w:val="single" w:sz="8" w:color="CCEEFF"/>
            </w:tcBorders>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Total net revenues</w:t>
            </w:r>
          </w:p>
        </w:tc>
        <w:tc>
          <w:tcPr>
            <w:tcW w:w="38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ind w:right="20"/>
              <w:spacing w:after="0" w:line="187" w:lineRule="exact"/>
              <w:rPr>
                <w:sz w:val="20"/>
                <w:szCs w:val="20"/>
                <w:color w:val="auto"/>
              </w:rPr>
            </w:pPr>
            <w:r>
              <w:rPr>
                <w:rFonts w:ascii="Calibri" w:cs="Calibri" w:eastAsia="Calibri" w:hAnsi="Calibri"/>
                <w:sz w:val="16"/>
                <w:szCs w:val="16"/>
                <w:color w:val="auto"/>
              </w:rPr>
              <w:t>14,462</w:t>
            </w:r>
          </w:p>
        </w:tc>
        <w:tc>
          <w:tcPr>
            <w:tcW w:w="420" w:type="dxa"/>
            <w:vAlign w:val="bottom"/>
            <w:tcBorders>
              <w:bottom w:val="single" w:sz="8" w:color="CCEEFF"/>
            </w:tcBorders>
            <w:shd w:val="clear" w:color="auto" w:fill="CCEEFF"/>
          </w:tcPr>
          <w:p>
            <w:pPr>
              <w:jc w:val="right"/>
              <w:ind w:right="159"/>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13,865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26,772</w:t>
            </w:r>
          </w:p>
        </w:tc>
        <w:tc>
          <w:tcPr>
            <w:tcW w:w="580" w:type="dxa"/>
            <w:vAlign w:val="bottom"/>
            <w:tcBorders>
              <w:bottom w:val="single" w:sz="8" w:color="CCEEFF"/>
            </w:tcBorders>
            <w:shd w:val="clear" w:color="auto" w:fill="CCEEFF"/>
          </w:tcPr>
          <w:p>
            <w:pPr>
              <w:jc w:val="right"/>
              <w:ind w:right="319"/>
              <w:spacing w:after="0" w:line="187" w:lineRule="exact"/>
              <w:rPr>
                <w:sz w:val="20"/>
                <w:szCs w:val="20"/>
                <w:color w:val="auto"/>
              </w:rPr>
            </w:pPr>
            <w:r>
              <w:rPr>
                <w:rFonts w:ascii="Calibri" w:cs="Calibri" w:eastAsia="Calibri" w:hAnsi="Calibri"/>
                <w:sz w:val="16"/>
                <w:szCs w:val="16"/>
                <w:color w:val="auto"/>
              </w:rPr>
              <w:t>$</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26,090</w:t>
            </w:r>
          </w:p>
        </w:tc>
        <w:tc>
          <w:tcPr>
            <w:tcW w:w="0" w:type="dxa"/>
            <w:vAlign w:val="bottom"/>
          </w:tcPr>
          <w:p>
            <w:pPr>
              <w:spacing w:after="0"/>
              <w:rPr>
                <w:sz w:val="1"/>
                <w:szCs w:val="1"/>
                <w:color w:val="auto"/>
              </w:rPr>
            </w:pPr>
          </w:p>
        </w:tc>
      </w:tr>
      <w:tr>
        <w:trPr>
          <w:trHeight w:val="20"/>
        </w:trPr>
        <w:tc>
          <w:tcPr>
            <w:tcW w:w="198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00" w:hanging="452"/>
        <w:spacing w:after="0"/>
        <w:tabs>
          <w:tab w:leader="none" w:pos="500" w:val="left"/>
        </w:tabs>
        <w:numPr>
          <w:ilvl w:val="0"/>
          <w:numId w:val="6"/>
        </w:numPr>
        <w:rPr>
          <w:rFonts w:ascii="Calibri" w:cs="Calibri" w:eastAsia="Calibri" w:hAnsi="Calibri"/>
          <w:sz w:val="16"/>
          <w:szCs w:val="16"/>
          <w:color w:val="auto"/>
        </w:rPr>
      </w:pPr>
      <w:r>
        <w:rPr>
          <w:rFonts w:ascii="Calibri" w:cs="Calibri" w:eastAsia="Calibri" w:hAnsi="Calibri"/>
          <w:sz w:val="16"/>
          <w:szCs w:val="16"/>
          <w:color w:val="auto"/>
        </w:rPr>
        <w:t>Net revenues include ImmunoGen product revenues afer the acquisiton closing date of February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480060</wp:posOffset>
            </wp:positionV>
            <wp:extent cx="51435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28</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0" w:name="page31"/>
    <w:bookmarkEnd w:id="30"/>
    <w:p>
      <w:pPr>
        <w:spacing w:after="0"/>
        <w:rPr>
          <w:sz w:val="20"/>
          <w:szCs w:val="20"/>
          <w:color w:val="auto"/>
        </w:rPr>
      </w:pPr>
      <w:r>
        <w:rPr>
          <w:rFonts w:ascii="Calibri" w:cs="Calibri" w:eastAsia="Calibri" w:hAnsi="Calibri"/>
          <w:sz w:val="21"/>
          <w:szCs w:val="21"/>
          <w:b w:val="1"/>
          <w:bCs w:val="1"/>
          <w:color w:val="444867"/>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330"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The following is a discussion and analysis of the fnancial conditon of AbbVie Inc. (AbbVie or the company) as of June 30, 2024 and December 31, 2023 and the results of operatons for the three and six months ended June 30, 2024 and 2023. This commentary should be read in conjuncton with the Condensed Consolidated Financial Statements and accompanying notes appearing in Item 1, “Financial Statements and Supplementary Data.”</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EXECUTIVE OVERVIEW</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Company Overview</w:t>
      </w:r>
    </w:p>
    <w:p>
      <w:pPr>
        <w:spacing w:after="0" w:line="15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AbbVie is a global, diversifed research-based biopharmaceutcal company positoned for success with a comprehensive product portolio that has leadership positons across immunology, oncology, aesthetcs, neuroscience and eye care. AbbVie uses its expertse, dedicated people and unique approach to innovaton to develop and market advanced therapies that address some of the world’s most complex and serious diseases.</w:t>
      </w:r>
    </w:p>
    <w:p>
      <w:pPr>
        <w:spacing w:after="0" w:line="13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On July 1, 2024, AbbVie announced Robert A. Michael, AbbVie's former president and chief operatng ofcer, succeeded Richard A. Gonzalez as the company's chief executve ofcer (CEO). Mr. Gonzalez, who has served as CEO since the company's formaton in 2013, retred from the role of CEO and became executve chairman of the board of directors, efectve July 1, 2024. Additonally, the board has appointed Mr. Michael as a member of the board of directors efectve July 1, 2024.</w:t>
      </w:r>
    </w:p>
    <w:p>
      <w:pPr>
        <w:spacing w:after="0" w:line="15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February 12, 2024, AbbVie completed the acquisiton of ImmunoGen, Inc. (ImmunoGen). The acquisiton of ImmunoGen further builds on AbbVie's existng solid tumor pipeline of novel targeted therapies and next-generaton immuno-oncology assets, which have the potental to create new treatment possibilites across multple solid tumors and hematologic malignancies. AbbVie and ImmunoGen's combined capabilites represent an opportunity to deliver potentally transformatve antbody-drug conjugate (ADC) therapies to patents. See Note 4 to the Condensed Consolidated Financial Statements for additonal informaton on the acquisiton. Subsequent to the acquisiton date, AbbVie's consolidated fnancial statements include the assets, liabilites, operatng results and cash fows of ImmunoGen.</w:t>
      </w:r>
    </w:p>
    <w:p>
      <w:pPr>
        <w:spacing w:after="0" w:line="15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In the United States, AbbVie distributes pharmaceutcal products principally through independent wholesale distributors, with some sales directly to retailers, pharmacies, patents or other customers. Outside the United States, AbbVie sells products primarily to wholesalers or through distributors, and depending on the market works through largely centralized natonal payers system to agree on reimbursement terms. Certain products are co-marketed or co-promoted with other companies. AbbVie operates as a single global business segment and has approximately 50,000 employees.</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2024 Strategic Objectves</w:t>
      </w:r>
    </w:p>
    <w:p>
      <w:pPr>
        <w:spacing w:after="0" w:line="150" w:lineRule="exact"/>
        <w:rPr>
          <w:sz w:val="20"/>
          <w:szCs w:val="20"/>
          <w:color w:val="auto"/>
        </w:rPr>
      </w:pPr>
    </w:p>
    <w:p>
      <w:pPr>
        <w:ind w:right="180"/>
        <w:spacing w:after="0" w:line="249" w:lineRule="auto"/>
        <w:rPr>
          <w:sz w:val="20"/>
          <w:szCs w:val="20"/>
          <w:color w:val="auto"/>
        </w:rPr>
      </w:pPr>
      <w:r>
        <w:rPr>
          <w:rFonts w:ascii="Calibri" w:cs="Calibri" w:eastAsia="Calibri" w:hAnsi="Calibri"/>
          <w:sz w:val="17"/>
          <w:szCs w:val="17"/>
          <w:color w:val="auto"/>
        </w:rPr>
        <w:t>AbbVie's mission is to discover and develop innovatve medicines and products that solve serious health issues today and address the medical challenges of tomorrow while achieving top-ter fnancial performance through outstanding executon. AbbVie intends to execute its strategy and advance its mission in a number of ways, including: (i) maximizing the benefts of a diversifed revenue base with multple long-term growth drivers; (ii) leveraging AbbVie's commercial strength and internatonal infrastructure across therapeutc areas and ensuring strong commercial executon of new product launches;</w:t>
      </w:r>
    </w:p>
    <w:p>
      <w:pPr>
        <w:spacing w:after="0" w:line="3" w:lineRule="exact"/>
        <w:rPr>
          <w:sz w:val="20"/>
          <w:szCs w:val="20"/>
          <w:color w:val="auto"/>
        </w:rPr>
      </w:pPr>
    </w:p>
    <w:p>
      <w:pPr>
        <w:ind w:right="160" w:firstLine="8"/>
        <w:spacing w:after="0" w:line="235" w:lineRule="auto"/>
        <w:tabs>
          <w:tab w:leader="none" w:pos="267"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contnuing to invest in and expand its pipeline in support of opportunites in immunology, oncology, aesthetcs, neuroscience and eye care as well as contnued investment in key on-market products; (iv) generatng substantal operatng cash fows to support investment in innovatve research and development, and return cash to shareholders via a strong and growing dividend while also contnuing to repay debt. In additon, AbbVie antcipates several regulatory submissions and data readouts from key clinical trials in the next 12 months.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Financial Results</w:t>
      </w:r>
    </w:p>
    <w:p>
      <w:pPr>
        <w:spacing w:after="0" w:line="123"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The company's fnancial performance for the six months ended June 30, 2024 included delivering worldwide net revenues of $26.8 billion, operatng earnings of $6.8 billion, diluted earnings per share of $1.53 and cash fows from operatons of $6.3 billion. Worldwide net revenues increased 3% on a reported basis and 4% on a constant currency basis.</w:t>
      </w:r>
    </w:p>
    <w:p>
      <w:pPr>
        <w:spacing w:after="0" w:line="152" w:lineRule="exact"/>
        <w:rPr>
          <w:sz w:val="20"/>
          <w:szCs w:val="20"/>
          <w:color w:val="auto"/>
        </w:rPr>
      </w:pPr>
    </w:p>
    <w:p>
      <w:pPr>
        <w:ind w:right="700"/>
        <w:spacing w:after="0" w:line="235" w:lineRule="auto"/>
        <w:rPr>
          <w:sz w:val="20"/>
          <w:szCs w:val="20"/>
          <w:color w:val="auto"/>
        </w:rPr>
      </w:pPr>
      <w:r>
        <w:rPr>
          <w:rFonts w:ascii="Calibri" w:cs="Calibri" w:eastAsia="Calibri" w:hAnsi="Calibri"/>
          <w:sz w:val="18"/>
          <w:szCs w:val="18"/>
          <w:color w:val="auto"/>
        </w:rPr>
        <w:t>Diluted earnings per share was $1.53 for the six months ended June 30, 2024 and included the following afer-tax costs: (i) $3.3 billion related to the amortzaton of intangible assets; (ii) $2.1 billion for the change in fair value of contngent consideraton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29</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31" w:name="page32"/>
    <w:bookmarkEnd w:id="31"/>
    <w:p>
      <w:pPr>
        <w:ind w:right="440"/>
        <w:spacing w:after="0" w:line="235" w:lineRule="auto"/>
        <w:rPr>
          <w:sz w:val="20"/>
          <w:szCs w:val="20"/>
          <w:color w:val="auto"/>
        </w:rPr>
      </w:pPr>
      <w:r>
        <w:rPr>
          <w:rFonts w:ascii="Calibri" w:cs="Calibri" w:eastAsia="Calibri" w:hAnsi="Calibri"/>
          <w:sz w:val="18"/>
          <w:szCs w:val="18"/>
          <w:color w:val="auto"/>
        </w:rPr>
        <w:t>liabilites; and (iii) $611 million of acquisiton and integraton expenses. Additonally, fnancial results refected contnued funding to support all stages of AbbVie’s pipeline assets and contnued investment in AbbVie’s on-market brands.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Research and Development</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Research and innovaton are the cornerstones of AbbVie’s business as a global biopharmaceutcal company. AbbVie’s long-term success depends to a great extent on its ability to contnue to discover and develop innovatve products and acquire or collaborate on compounds currently in development by other biotechnology or pharmaceutcal companies.</w:t>
      </w:r>
    </w:p>
    <w:p>
      <w:pPr>
        <w:spacing w:after="0" w:line="15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AbbVie’s pipeline currently includes approximately 90 compounds, devices or indicatons in development individually or under collaboraton or license agreements and is focused on such important specialtes as immunology, oncology, aesthetcs, neuroscience and eye care. Of these programs, approximately 50 are in mid- and late-stage development.</w:t>
      </w:r>
    </w:p>
    <w:p>
      <w:pPr>
        <w:spacing w:after="0" w:line="138" w:lineRule="exact"/>
        <w:rPr>
          <w:sz w:val="20"/>
          <w:szCs w:val="20"/>
          <w:color w:val="auto"/>
        </w:rPr>
      </w:pPr>
    </w:p>
    <w:p>
      <w:pPr>
        <w:ind w:right="300"/>
        <w:spacing w:after="0" w:line="258" w:lineRule="auto"/>
        <w:rPr>
          <w:sz w:val="20"/>
          <w:szCs w:val="20"/>
          <w:color w:val="auto"/>
        </w:rPr>
      </w:pPr>
      <w:r>
        <w:rPr>
          <w:rFonts w:ascii="Calibri" w:cs="Calibri" w:eastAsia="Calibri" w:hAnsi="Calibri"/>
          <w:sz w:val="17"/>
          <w:szCs w:val="17"/>
          <w:color w:val="auto"/>
        </w:rPr>
        <w:t>The following sectons summarize transitons of signifcant programs from mid-stage development to late-stage development as well as developments in signifcant late-stage and registraton programs. AbbVie expects multple mid-stage programs to transiton into late-stage programs in the next 12 months.</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44867"/>
        </w:rPr>
        <w:t>Signifcant Programs and Developments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Immunology</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Rinvoq</w:t>
      </w:r>
    </w:p>
    <w:p>
      <w:pPr>
        <w:spacing w:after="0" w:line="136" w:lineRule="exact"/>
        <w:rPr>
          <w:sz w:val="20"/>
          <w:szCs w:val="20"/>
          <w:color w:val="auto"/>
        </w:rPr>
      </w:pPr>
    </w:p>
    <w:p>
      <w:pPr>
        <w:ind w:left="980" w:hanging="324"/>
        <w:spacing w:after="0" w:line="227"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January 2024, AbbVie initated a Phase 3 clinical trial to evaluate Rinvoq in adults and adolescents with non-segmental vitligo who are eligible for systemic therapy.</w:t>
      </w:r>
    </w:p>
    <w:p>
      <w:pPr>
        <w:spacing w:after="0" w:line="124" w:lineRule="exact"/>
        <w:rPr>
          <w:rFonts w:ascii="Calibri" w:cs="Calibri" w:eastAsia="Calibri" w:hAnsi="Calibri"/>
          <w:sz w:val="18"/>
          <w:szCs w:val="18"/>
          <w:color w:val="auto"/>
        </w:rPr>
      </w:pPr>
    </w:p>
    <w:p>
      <w:pPr>
        <w:ind w:left="980" w:right="280" w:hanging="324"/>
        <w:spacing w:after="0" w:line="227"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April 2024, AbbVie announced positve top-line results from its Phase 3 SELECT-GCA trial for Rinvoq in combinaton with a 26-week steroid taper regimen in patents with giant cell arterits (GCA) achieved its primary endpoint.</w:t>
      </w:r>
    </w:p>
    <w:p>
      <w:pPr>
        <w:spacing w:after="0" w:line="137" w:lineRule="exact"/>
        <w:rPr>
          <w:rFonts w:ascii="Calibri" w:cs="Calibri" w:eastAsia="Calibri" w:hAnsi="Calibri"/>
          <w:sz w:val="18"/>
          <w:szCs w:val="18"/>
          <w:color w:val="auto"/>
        </w:rPr>
      </w:pPr>
    </w:p>
    <w:p>
      <w:pPr>
        <w:ind w:left="980" w:right="460" w:hanging="324"/>
        <w:spacing w:after="0" w:line="22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April 2024, AbbVie announced positve top-line results from the head-to-head Phase 3b/4 Level-Up trial evaluatng Rinvoq compared to dupilumab in adolescent and adult patents with moderate to severe atopic dermatts. In the study, Rinvoq demonstrated superiority to dupilumab on the primary endpoint and all ranked secondary endpoints.</w:t>
      </w:r>
    </w:p>
    <w:p>
      <w:pPr>
        <w:spacing w:after="0" w:line="124" w:lineRule="exact"/>
        <w:rPr>
          <w:rFonts w:ascii="Calibri" w:cs="Calibri" w:eastAsia="Calibri" w:hAnsi="Calibri"/>
          <w:sz w:val="18"/>
          <w:szCs w:val="18"/>
          <w:color w:val="auto"/>
        </w:rPr>
      </w:pPr>
    </w:p>
    <w:p>
      <w:pPr>
        <w:jc w:val="both"/>
        <w:ind w:left="980" w:right="100" w:hanging="324"/>
        <w:spacing w:after="0" w:line="225"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June 2024, AbbVie announced that the U.S. Food and Drug Administraton (FDA) has approved Rinvoq for the treatment of pediatric patents two years of age and older with actve polyartcular juvenile idiopathic arthrits (pJIA) as well as psoriatc arthrits (PsA), provided they have had an inadequate response or intolerance to one or more tumor necrosis factor (TNF) blockers.</w:t>
      </w:r>
    </w:p>
    <w:p>
      <w:pPr>
        <w:spacing w:after="0" w:line="138" w:lineRule="exact"/>
        <w:rPr>
          <w:rFonts w:ascii="Calibri" w:cs="Calibri" w:eastAsia="Calibri" w:hAnsi="Calibri"/>
          <w:sz w:val="18"/>
          <w:szCs w:val="18"/>
          <w:color w:val="auto"/>
        </w:rPr>
      </w:pPr>
    </w:p>
    <w:p>
      <w:pPr>
        <w:ind w:left="980" w:right="240" w:hanging="324"/>
        <w:spacing w:after="0" w:line="227" w:lineRule="auto"/>
        <w:tabs>
          <w:tab w:leader="none" w:pos="97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In July 2024, AbbVie announced that it has submited applicatons for a new indicaton to the FDA and European Medicines Agency (EMA) for Rinvoq for the treatment of adult patents with GCA.</w:t>
      </w:r>
    </w:p>
    <w:p>
      <w:pPr>
        <w:spacing w:after="0" w:line="120"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Skyrizi</w:t>
      </w:r>
    </w:p>
    <w:p>
      <w:pPr>
        <w:spacing w:after="0" w:line="145" w:lineRule="exact"/>
        <w:rPr>
          <w:sz w:val="20"/>
          <w:szCs w:val="20"/>
          <w:color w:val="auto"/>
        </w:rPr>
      </w:pPr>
    </w:p>
    <w:p>
      <w:pPr>
        <w:ind w:left="980" w:hanging="324"/>
        <w:spacing w:after="0"/>
        <w:tabs>
          <w:tab w:leader="none" w:pos="98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 June 2024, AbbVie announced that the FDA has approved Skyrizi for adults with moderately to severely actve ulceratve colits (UC).</w:t>
      </w:r>
    </w:p>
    <w:p>
      <w:pPr>
        <w:spacing w:after="0" w:line="122" w:lineRule="exact"/>
        <w:rPr>
          <w:rFonts w:ascii="Calibri" w:cs="Calibri" w:eastAsia="Calibri" w:hAnsi="Calibri"/>
          <w:sz w:val="18"/>
          <w:szCs w:val="18"/>
          <w:color w:val="auto"/>
        </w:rPr>
      </w:pPr>
    </w:p>
    <w:p>
      <w:pPr>
        <w:ind w:left="980" w:right="140" w:hanging="324"/>
        <w:spacing w:after="0" w:line="258" w:lineRule="auto"/>
        <w:tabs>
          <w:tab w:leader="none" w:pos="973"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In July 2024, AbbVie announced that the European Commission has approved Skyrizi for the treatment of adult patents with moderately to severely actve UC who have had an inadequate response to, lost response to, or were intolerant to conventonal therapy or a biologic therapy.</w:t>
      </w:r>
    </w:p>
    <w:p>
      <w:pPr>
        <w:spacing w:after="0" w:line="116"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Lutkizumab</w:t>
      </w:r>
    </w:p>
    <w:p>
      <w:pPr>
        <w:spacing w:after="0" w:line="123" w:lineRule="exact"/>
        <w:rPr>
          <w:sz w:val="20"/>
          <w:szCs w:val="20"/>
          <w:color w:val="auto"/>
        </w:rPr>
      </w:pPr>
    </w:p>
    <w:p>
      <w:pPr>
        <w:jc w:val="both"/>
        <w:ind w:left="980" w:right="140" w:hanging="324"/>
        <w:spacing w:after="0" w:line="225" w:lineRule="auto"/>
        <w:tabs>
          <w:tab w:leader="none" w:pos="973"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In January 2024, AbbVie announced Phase 2 results showing adults with moderate to severe hidradenits suppuratva (HS) who had previously failed ant-TNF therapy who received lutkizumab achieved higher response rates than placebo in the primary endpoint of achieving HS Clinical Response at week 16.</w:t>
      </w:r>
    </w:p>
    <w:p>
      <w:pPr>
        <w:spacing w:after="0" w:line="133" w:lineRule="exact"/>
        <w:rPr>
          <w:rFonts w:ascii="Calibri" w:cs="Calibri" w:eastAsia="Calibri" w:hAnsi="Calibri"/>
          <w:sz w:val="18"/>
          <w:szCs w:val="18"/>
          <w:color w:val="auto"/>
        </w:rPr>
      </w:pPr>
    </w:p>
    <w:p>
      <w:pPr>
        <w:ind w:left="980" w:hanging="324"/>
        <w:spacing w:after="0"/>
        <w:tabs>
          <w:tab w:leader="none" w:pos="98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In July 2024, AbbVie initated a Phase 3 clinical trial to evaluate lutkizumab in adult and adolescent patents with moderate to severe HS.</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Oncology</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Epkinly</w:t>
      </w:r>
    </w:p>
    <w:p>
      <w:pPr>
        <w:spacing w:after="0" w:line="136" w:lineRule="exact"/>
        <w:rPr>
          <w:sz w:val="20"/>
          <w:szCs w:val="20"/>
          <w:color w:val="auto"/>
        </w:rPr>
      </w:pPr>
    </w:p>
    <w:p>
      <w:pPr>
        <w:ind w:left="980" w:right="440" w:hanging="324"/>
        <w:spacing w:after="0" w:line="220" w:lineRule="auto"/>
        <w:tabs>
          <w:tab w:leader="none" w:pos="97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 March 2024, AbbVie initated a Phase 3 clinical trial to evaluate Epkinly in combinaton with rituximab and lenalidomide in patents with previously untreated follicular lymphoma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401320</wp:posOffset>
            </wp:positionV>
            <wp:extent cx="51435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2" w:name="page33"/>
    <w:bookmarkEnd w:id="32"/>
    <w:p>
      <w:pPr>
        <w:ind w:left="980" w:right="20" w:hanging="324"/>
        <w:spacing w:after="0" w:line="220" w:lineRule="auto"/>
        <w:tabs>
          <w:tab w:leader="none" w:pos="97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In June 2024, AbbVie announced that the FDA has approved Epkinly for the treatment of adults with relapsed or refractory (R/R) FL afer two or more lines of prior therapy. This indicaton is approved under the FDA's Accelerated Approval program based on overall response rate (ORR) and durability of response. Contnued approval for this indicaton may be contngent upon verifcaton and descripton of clinical beneft in a confrmatory trial.</w:t>
      </w:r>
    </w:p>
    <w:p>
      <w:pPr>
        <w:spacing w:after="0" w:line="139" w:lineRule="exact"/>
        <w:rPr>
          <w:rFonts w:ascii="Calibri" w:cs="Calibri" w:eastAsia="Calibri" w:hAnsi="Calibri"/>
          <w:sz w:val="18"/>
          <w:szCs w:val="18"/>
          <w:color w:val="auto"/>
        </w:rPr>
      </w:pPr>
    </w:p>
    <w:p>
      <w:pPr>
        <w:ind w:left="980" w:right="20" w:hanging="324"/>
        <w:spacing w:after="0" w:line="225" w:lineRule="auto"/>
        <w:tabs>
          <w:tab w:leader="none" w:pos="97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In June 2024, AbbVie announced that the EMA Commitee for Medicinal Products for Human Use has adopted a positve opinion recommending the conditonal marketng authorizaton of Tepkinly as a monotherapy for the treatment of adult patents with R/R FL afer two or more prior therapies.</w:t>
      </w:r>
    </w:p>
    <w:p>
      <w:pPr>
        <w:spacing w:after="0" w:line="120"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Elahere</w:t>
      </w:r>
    </w:p>
    <w:p>
      <w:pPr>
        <w:spacing w:after="0" w:line="136" w:lineRule="exact"/>
        <w:rPr>
          <w:sz w:val="20"/>
          <w:szCs w:val="20"/>
          <w:color w:val="auto"/>
        </w:rPr>
      </w:pPr>
    </w:p>
    <w:p>
      <w:pPr>
        <w:ind w:left="980" w:right="460" w:hanging="324"/>
        <w:spacing w:after="0" w:line="242" w:lineRule="auto"/>
        <w:tabs>
          <w:tab w:leader="none" w:pos="973"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In March 2024, AbbVie announced that the FDA granted full approval for Elahere for the treatment of folate receptor alpha (FRα)-positve, platnum-resistant epithelial ovarian, fallopian tube or primary peritoneal adult cancer patents treated with up to three prior therapies.</w:t>
      </w:r>
    </w:p>
    <w:p>
      <w:pPr>
        <w:spacing w:after="0" w:line="135" w:lineRule="exact"/>
        <w:rPr>
          <w:rFonts w:ascii="Calibri" w:cs="Calibri" w:eastAsia="Calibri" w:hAnsi="Calibri"/>
          <w:sz w:val="17"/>
          <w:szCs w:val="17"/>
          <w:color w:val="auto"/>
        </w:rPr>
      </w:pPr>
    </w:p>
    <w:p>
      <w:pPr>
        <w:ind w:left="980" w:right="120" w:hanging="324"/>
        <w:spacing w:after="0" w:line="233" w:lineRule="auto"/>
        <w:tabs>
          <w:tab w:leader="none" w:pos="973"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In June 2024, AbbVie announced positve topline results from the Phase 2 PICCOLO trial evaluatng Elahere monotherapy in heavily pre-treated patents with FRα positve, platnum-sensitve ovarian cancer. The study met its primary endpoint and no new safety concerns were identfed.</w:t>
      </w:r>
    </w:p>
    <w:p>
      <w:pPr>
        <w:spacing w:after="0" w:line="132"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Navitoclax</w:t>
      </w:r>
    </w:p>
    <w:p>
      <w:pPr>
        <w:spacing w:after="0" w:line="136" w:lineRule="exact"/>
        <w:rPr>
          <w:sz w:val="20"/>
          <w:szCs w:val="20"/>
          <w:color w:val="auto"/>
        </w:rPr>
      </w:pPr>
    </w:p>
    <w:p>
      <w:pPr>
        <w:ind w:left="980" w:right="80" w:hanging="324"/>
        <w:spacing w:after="0" w:line="220" w:lineRule="auto"/>
        <w:tabs>
          <w:tab w:leader="none" w:pos="97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In April 2024, AbbVie announced its decision to discontnue the Phase 3 TRANSFORM-2 study evaluatng navitoclax, a BCL-XL/BCL-2 inhibitor, plus ruxolitnib in patents with R/R myelofbrosis following evaluaton of the totality of data from the Phase 3 TRANSFORM-1 trial and feedback from regulators.</w:t>
      </w:r>
    </w:p>
    <w:p>
      <w:pPr>
        <w:spacing w:after="0" w:line="133"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ABBV-383</w:t>
      </w:r>
    </w:p>
    <w:p>
      <w:pPr>
        <w:spacing w:after="0" w:line="136" w:lineRule="exact"/>
        <w:rPr>
          <w:sz w:val="20"/>
          <w:szCs w:val="20"/>
          <w:color w:val="auto"/>
        </w:rPr>
      </w:pPr>
    </w:p>
    <w:p>
      <w:pPr>
        <w:ind w:left="980" w:right="700" w:hanging="324"/>
        <w:spacing w:after="0" w:line="227" w:lineRule="auto"/>
        <w:tabs>
          <w:tab w:leader="none" w:pos="97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 June 2024, AbbVie initated the CERVINO Phase 3 clinical trial to evaluate ABBV-383 monotherapy compared with standard available therapies in adult patents with R/R multple myeloma who have received at least two lines of prior therapy.</w:t>
      </w:r>
    </w:p>
    <w:p>
      <w:pPr>
        <w:spacing w:after="0" w:line="12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Aesthetcs</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Juvederm Collecton</w:t>
      </w:r>
    </w:p>
    <w:p>
      <w:pPr>
        <w:spacing w:after="0" w:line="123" w:lineRule="exact"/>
        <w:rPr>
          <w:sz w:val="20"/>
          <w:szCs w:val="20"/>
          <w:color w:val="auto"/>
        </w:rPr>
      </w:pPr>
    </w:p>
    <w:p>
      <w:pPr>
        <w:ind w:left="980" w:right="180" w:hanging="324"/>
        <w:spacing w:after="0" w:line="227" w:lineRule="auto"/>
        <w:tabs>
          <w:tab w:leader="none" w:pos="97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In March 2024, AbbVie announced the FDA approval of Juvederm Voluma XC for injecton in the temple region to improve moderate to severe temple hollowing in adults over the age of 21.</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Neuroscience</w:t>
      </w:r>
    </w:p>
    <w:p>
      <w:pPr>
        <w:spacing w:after="0" w:line="118" w:lineRule="exact"/>
        <w:rPr>
          <w:sz w:val="20"/>
          <w:szCs w:val="20"/>
          <w:color w:val="auto"/>
        </w:rPr>
      </w:pPr>
    </w:p>
    <w:p>
      <w:pPr>
        <w:ind w:left="500"/>
        <w:spacing w:after="0"/>
        <w:rPr>
          <w:sz w:val="20"/>
          <w:szCs w:val="20"/>
          <w:color w:val="auto"/>
        </w:rPr>
      </w:pPr>
      <w:r>
        <w:rPr>
          <w:rFonts w:ascii="Calibri" w:cs="Calibri" w:eastAsia="Calibri" w:hAnsi="Calibri"/>
          <w:sz w:val="18"/>
          <w:szCs w:val="18"/>
          <w:u w:val="single" w:color="auto"/>
          <w:color w:val="auto"/>
        </w:rPr>
        <w:t>ABBV-951</w:t>
      </w:r>
    </w:p>
    <w:p>
      <w:pPr>
        <w:spacing w:after="0" w:line="136" w:lineRule="exact"/>
        <w:rPr>
          <w:sz w:val="20"/>
          <w:szCs w:val="20"/>
          <w:color w:val="auto"/>
        </w:rPr>
      </w:pPr>
    </w:p>
    <w:p>
      <w:pPr>
        <w:ind w:left="980" w:right="280" w:hanging="324"/>
        <w:spacing w:after="0" w:line="225" w:lineRule="auto"/>
        <w:tabs>
          <w:tab w:leader="none" w:pos="97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In January 2024, AbbVie announced the launch of Produodopa (ABBV-951) in the European Union for the treatment of advanced Parkinson's disease with severe motor fuctuatons and hyperkinesia (excessive movement) or dyskinesia (involuntary movement), and when available combinatons of Parkinson's medicinal products have not given satsfactory results.</w:t>
      </w:r>
    </w:p>
    <w:p>
      <w:pPr>
        <w:spacing w:after="0" w:line="124" w:lineRule="exact"/>
        <w:rPr>
          <w:rFonts w:ascii="Calibri" w:cs="Calibri" w:eastAsia="Calibri" w:hAnsi="Calibri"/>
          <w:sz w:val="18"/>
          <w:szCs w:val="18"/>
          <w:color w:val="auto"/>
        </w:rPr>
      </w:pPr>
    </w:p>
    <w:p>
      <w:pPr>
        <w:ind w:left="980" w:right="40" w:hanging="324"/>
        <w:spacing w:after="0" w:line="223" w:lineRule="auto"/>
        <w:tabs>
          <w:tab w:leader="none" w:pos="97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In June 2024, AbbVie announced it received a Complete Response Leter (CRL) from the FDA for the New Drug Applicaton (NDA) for ABBV-951 for the treatment of motor fuctuatons in adults with advanced Parkinson's disease. In its leter, the FDA cited observatons that were identfed during inspecton of a third-party manufacturer listed in the NDA. The CRL did not identfy any issues related to the safety, efcacy or labeling of ABBV-951, including the device, and does not request that AbbVie conduct additonal efcacy or safety trials related to the drug or device-related testng.</w:t>
      </w:r>
    </w:p>
    <w:p>
      <w:pPr>
        <w:spacing w:after="0" w:line="154"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For a more comprehensive discussion of AbbVie’s products and pipeline, see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31</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color w:val="444867"/>
        </w:rPr>
        <w:t>RESULTS OF OPERATIONS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Net Revenues</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comparisons presented at constant currency rates refect comparatve local currency net revenues at the prior year’s foreign exchange rates. This measure provides informaton on the change in net revenues assuming that foreign currency exchange rates had not changed between the prior and current periods. AbbVie believes that the non-GAAP measure of change in net revenues at constant currency rates, when used in conjuncton with the GAAP measure of change in net revenues at actual currency rates, may provide a more complete understanding of the company’s operatons and can facilitate analysis of the company’s results of operatons, partcularly in evaluatng performance from one period to another.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vMerge w:val="restart"/>
          </w:tcPr>
          <w:p>
            <w:pPr>
              <w:ind w:left="80"/>
              <w:spacing w:after="0"/>
              <w:rPr>
                <w:sz w:val="20"/>
                <w:szCs w:val="20"/>
                <w:color w:val="auto"/>
              </w:rPr>
            </w:pPr>
            <w:r>
              <w:rPr>
                <w:rFonts w:ascii="Calibri" w:cs="Calibri" w:eastAsia="Calibri" w:hAnsi="Calibri"/>
                <w:sz w:val="14"/>
                <w:szCs w:val="14"/>
                <w:b w:val="1"/>
                <w:bCs w:val="1"/>
                <w:color w:val="auto"/>
              </w:rPr>
              <w:t>Three months ended</w:t>
            </w:r>
          </w:p>
        </w:tc>
        <w:tc>
          <w:tcPr>
            <w:tcW w:w="2640" w:type="dxa"/>
            <w:vAlign w:val="bottom"/>
            <w:gridSpan w:val="3"/>
          </w:tcPr>
          <w:p>
            <w:pPr>
              <w:ind w:left="82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720" w:type="dxa"/>
            <w:vAlign w:val="bottom"/>
            <w:gridSpan w:val="4"/>
            <w:vMerge w:val="restart"/>
          </w:tcPr>
          <w:p>
            <w:pPr>
              <w:ind w:left="200"/>
              <w:spacing w:after="0"/>
              <w:rPr>
                <w:sz w:val="20"/>
                <w:szCs w:val="20"/>
                <w:color w:val="auto"/>
              </w:rPr>
            </w:pPr>
            <w:r>
              <w:rPr>
                <w:rFonts w:ascii="Calibri" w:cs="Calibri" w:eastAsia="Calibri" w:hAnsi="Calibri"/>
                <w:sz w:val="14"/>
                <w:szCs w:val="14"/>
                <w:b w:val="1"/>
                <w:bCs w:val="1"/>
                <w:color w:val="auto"/>
              </w:rPr>
              <w:t>Six months ended</w:t>
            </w:r>
          </w:p>
        </w:tc>
        <w:tc>
          <w:tcPr>
            <w:tcW w:w="2560" w:type="dxa"/>
            <w:vAlign w:val="bottom"/>
            <w:gridSpan w:val="2"/>
          </w:tcPr>
          <w:p>
            <w:pPr>
              <w:jc w:val="right"/>
              <w:ind w:right="748"/>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24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200" w:type="dxa"/>
            <w:vAlign w:val="bottom"/>
          </w:tcPr>
          <w:p>
            <w:pPr>
              <w:spacing w:after="0"/>
              <w:rPr>
                <w:sz w:val="13"/>
                <w:szCs w:val="13"/>
                <w:color w:val="auto"/>
              </w:rPr>
            </w:pPr>
          </w:p>
        </w:tc>
        <w:tc>
          <w:tcPr>
            <w:tcW w:w="980" w:type="dxa"/>
            <w:vAlign w:val="bottom"/>
            <w:gridSpan w:val="2"/>
          </w:tcPr>
          <w:p>
            <w:pPr>
              <w:ind w:left="460"/>
              <w:spacing w:after="0" w:line="150" w:lineRule="exact"/>
              <w:rPr>
                <w:sz w:val="20"/>
                <w:szCs w:val="20"/>
                <w:color w:val="auto"/>
              </w:rPr>
            </w:pPr>
            <w:r>
              <w:rPr>
                <w:rFonts w:ascii="Calibri" w:cs="Calibri" w:eastAsia="Calibri" w:hAnsi="Calibri"/>
                <w:sz w:val="14"/>
                <w:szCs w:val="14"/>
                <w:b w:val="1"/>
                <w:bCs w:val="1"/>
                <w:color w:val="auto"/>
              </w:rPr>
              <w:t>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right"/>
              <w:ind w:right="428"/>
              <w:spacing w:after="0" w:line="169" w:lineRule="exact"/>
              <w:rPr>
                <w:sz w:val="20"/>
                <w:szCs w:val="20"/>
                <w:color w:val="auto"/>
              </w:rPr>
            </w:pPr>
            <w:r>
              <w:rPr>
                <w:rFonts w:ascii="Calibri" w:cs="Calibri" w:eastAsia="Calibri" w:hAnsi="Calibri"/>
                <w:sz w:val="14"/>
                <w:szCs w:val="14"/>
                <w:b w:val="1"/>
                <w:bCs w:val="1"/>
                <w:color w:val="auto"/>
              </w:rPr>
              <w:t>At actual</w:t>
            </w:r>
          </w:p>
        </w:tc>
        <w:tc>
          <w:tcPr>
            <w:tcW w:w="1280" w:type="dxa"/>
            <w:vAlign w:val="bottom"/>
            <w:gridSpan w:val="2"/>
            <w:vMerge w:val="restart"/>
          </w:tcPr>
          <w:p>
            <w:pPr>
              <w:jc w:val="center"/>
              <w:ind w:right="160"/>
              <w:spacing w:after="0" w:line="169" w:lineRule="exact"/>
              <w:rPr>
                <w:sz w:val="20"/>
                <w:szCs w:val="20"/>
                <w:color w:val="auto"/>
              </w:rPr>
            </w:pPr>
            <w:r>
              <w:rPr>
                <w:rFonts w:ascii="Calibri" w:cs="Calibri" w:eastAsia="Calibri" w:hAnsi="Calibri"/>
                <w:sz w:val="14"/>
                <w:szCs w:val="14"/>
                <w:b w:val="1"/>
                <w:bCs w:val="1"/>
                <w:color w:val="auto"/>
              </w:rPr>
              <w:t>At constant</w:t>
            </w:r>
          </w:p>
        </w:tc>
        <w:tc>
          <w:tcPr>
            <w:tcW w:w="180" w:type="dxa"/>
            <w:vAlign w:val="bottom"/>
          </w:tcPr>
          <w:p>
            <w:pPr>
              <w:spacing w:after="0"/>
              <w:rPr>
                <w:sz w:val="13"/>
                <w:szCs w:val="13"/>
                <w:color w:val="auto"/>
              </w:rPr>
            </w:pPr>
          </w:p>
        </w:tc>
        <w:tc>
          <w:tcPr>
            <w:tcW w:w="1000" w:type="dxa"/>
            <w:vAlign w:val="bottom"/>
            <w:gridSpan w:val="2"/>
          </w:tcPr>
          <w:p>
            <w:pPr>
              <w:jc w:val="right"/>
              <w:spacing w:after="0" w:line="150" w:lineRule="exact"/>
              <w:rPr>
                <w:sz w:val="20"/>
                <w:szCs w:val="20"/>
                <w:color w:val="auto"/>
              </w:rPr>
            </w:pPr>
            <w:r>
              <w:rPr>
                <w:rFonts w:ascii="Calibri" w:cs="Calibri" w:eastAsia="Calibri" w:hAnsi="Calibri"/>
                <w:sz w:val="14"/>
                <w:szCs w:val="14"/>
                <w:b w:val="1"/>
                <w:bCs w:val="1"/>
                <w:color w:val="auto"/>
              </w:rPr>
              <w:t>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ind w:right="428"/>
              <w:spacing w:after="0" w:line="169" w:lineRule="exact"/>
              <w:rPr>
                <w:sz w:val="20"/>
                <w:szCs w:val="20"/>
                <w:color w:val="auto"/>
              </w:rPr>
            </w:pPr>
            <w:r>
              <w:rPr>
                <w:rFonts w:ascii="Calibri" w:cs="Calibri" w:eastAsia="Calibri" w:hAnsi="Calibri"/>
                <w:sz w:val="14"/>
                <w:szCs w:val="14"/>
                <w:b w:val="1"/>
                <w:bCs w:val="1"/>
                <w:color w:val="auto"/>
              </w:rPr>
              <w:t>At actual</w:t>
            </w:r>
          </w:p>
        </w:tc>
        <w:tc>
          <w:tcPr>
            <w:tcW w:w="1180" w:type="dxa"/>
            <w:vAlign w:val="bottom"/>
            <w:vMerge w:val="restart"/>
          </w:tcPr>
          <w:p>
            <w:pPr>
              <w:jc w:val="right"/>
              <w:ind w:right="208"/>
              <w:spacing w:after="0" w:line="169" w:lineRule="exact"/>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33"/>
        </w:trPr>
        <w:tc>
          <w:tcPr>
            <w:tcW w:w="224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80"/>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62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360" w:type="dxa"/>
            <w:vAlign w:val="bottom"/>
          </w:tcPr>
          <w:p>
            <w:pPr>
              <w:jc w:val="right"/>
              <w:ind w:right="248"/>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1280" w:type="dxa"/>
            <w:vAlign w:val="bottom"/>
            <w:gridSpan w:val="2"/>
          </w:tcPr>
          <w:p>
            <w:pPr>
              <w:jc w:val="center"/>
              <w:ind w:right="120"/>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180" w:type="dxa"/>
            <w:vAlign w:val="bottom"/>
          </w:tcPr>
          <w:p>
            <w:pPr>
              <w:spacing w:after="0"/>
              <w:rPr>
                <w:sz w:val="14"/>
                <w:szCs w:val="14"/>
                <w:color w:val="auto"/>
              </w:rPr>
            </w:pPr>
          </w:p>
        </w:tc>
        <w:tc>
          <w:tcPr>
            <w:tcW w:w="700" w:type="dxa"/>
            <w:vAlign w:val="bottom"/>
          </w:tcPr>
          <w:p>
            <w:pPr>
              <w:jc w:val="right"/>
              <w:ind w:right="248"/>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620" w:type="dxa"/>
            <w:vAlign w:val="bottom"/>
          </w:tcPr>
          <w:p>
            <w:pPr>
              <w:jc w:val="right"/>
              <w:ind w:right="208"/>
              <w:spacing w:after="0" w:line="164"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380" w:type="dxa"/>
            <w:vAlign w:val="bottom"/>
          </w:tcPr>
          <w:p>
            <w:pPr>
              <w:jc w:val="right"/>
              <w:ind w:right="268"/>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1180" w:type="dxa"/>
            <w:vAlign w:val="bottom"/>
          </w:tcPr>
          <w:p>
            <w:pPr>
              <w:jc w:val="right"/>
              <w:ind w:right="108"/>
              <w:spacing w:after="0" w:line="163" w:lineRule="exact"/>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33"/>
        </w:trPr>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CCEEFF"/>
            </w:tcBorders>
            <w:shd w:val="clear" w:color="auto" w:fill="CCEEFF"/>
          </w:tcPr>
          <w:p>
            <w:pPr>
              <w:ind w:left="260"/>
              <w:spacing w:after="0" w:line="164" w:lineRule="exact"/>
              <w:rPr>
                <w:sz w:val="20"/>
                <w:szCs w:val="20"/>
                <w:color w:val="auto"/>
              </w:rPr>
            </w:pPr>
            <w:r>
              <w:rPr>
                <w:rFonts w:ascii="Calibri" w:cs="Calibri" w:eastAsia="Calibri" w:hAnsi="Calibri"/>
                <w:sz w:val="14"/>
                <w:szCs w:val="14"/>
                <w:color w:val="auto"/>
              </w:rPr>
              <w:t>United States</w:t>
            </w:r>
          </w:p>
        </w:tc>
        <w:tc>
          <w:tcPr>
            <w:tcW w:w="2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11,106</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10,720</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3.6 %</w:t>
            </w: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3.6 %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20,147</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19,921</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1.1 %</w:t>
            </w: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1.1 %</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alibri" w:cs="Calibri" w:eastAsia="Calibri" w:hAnsi="Calibri"/>
                <w:sz w:val="14"/>
                <w:szCs w:val="14"/>
                <w:color w:val="auto"/>
              </w:rPr>
              <w:t>Internatonal</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Calibri" w:cs="Calibri" w:eastAsia="Calibri" w:hAnsi="Calibri"/>
                <w:sz w:val="14"/>
                <w:szCs w:val="14"/>
                <w:color w:val="auto"/>
              </w:rPr>
              <w:t>3,356</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3,145</w:t>
            </w:r>
          </w:p>
        </w:tc>
        <w:tc>
          <w:tcPr>
            <w:tcW w:w="10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alibri" w:cs="Calibri" w:eastAsia="Calibri" w:hAnsi="Calibri"/>
                <w:sz w:val="14"/>
                <w:szCs w:val="14"/>
                <w:color w:val="auto"/>
              </w:rPr>
              <w:t>6.8 %</w:t>
            </w:r>
          </w:p>
        </w:tc>
        <w:tc>
          <w:tcPr>
            <w:tcW w:w="1180" w:type="dxa"/>
            <w:vAlign w:val="bottom"/>
          </w:tcPr>
          <w:p>
            <w:pPr>
              <w:jc w:val="right"/>
              <w:spacing w:after="0"/>
              <w:rPr>
                <w:sz w:val="20"/>
                <w:szCs w:val="20"/>
                <w:color w:val="auto"/>
              </w:rPr>
            </w:pPr>
            <w:r>
              <w:rPr>
                <w:rFonts w:ascii="Calibri" w:cs="Calibri" w:eastAsia="Calibri" w:hAnsi="Calibri"/>
                <w:sz w:val="14"/>
                <w:szCs w:val="14"/>
                <w:color w:val="auto"/>
              </w:rPr>
              <w:t>12.7 %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alibri" w:cs="Calibri" w:eastAsia="Calibri" w:hAnsi="Calibri"/>
                <w:sz w:val="14"/>
                <w:szCs w:val="14"/>
                <w:color w:val="auto"/>
              </w:rPr>
              <w:t>6,625</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6,169</w:t>
            </w:r>
          </w:p>
        </w:tc>
        <w:tc>
          <w:tcPr>
            <w:tcW w:w="1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alibri" w:cs="Calibri" w:eastAsia="Calibri" w:hAnsi="Calibri"/>
                <w:sz w:val="14"/>
                <w:szCs w:val="14"/>
                <w:color w:val="auto"/>
              </w:rPr>
              <w:t>7.4 %</w:t>
            </w:r>
          </w:p>
        </w:tc>
        <w:tc>
          <w:tcPr>
            <w:tcW w:w="1180" w:type="dxa"/>
            <w:vAlign w:val="bottom"/>
          </w:tcPr>
          <w:p>
            <w:pPr>
              <w:jc w:val="right"/>
              <w:spacing w:after="0"/>
              <w:rPr>
                <w:sz w:val="20"/>
                <w:szCs w:val="20"/>
                <w:color w:val="auto"/>
              </w:rPr>
            </w:pPr>
            <w:r>
              <w:rPr>
                <w:rFonts w:ascii="Calibri" w:cs="Calibri" w:eastAsia="Calibri" w:hAnsi="Calibri"/>
                <w:sz w:val="14"/>
                <w:szCs w:val="14"/>
                <w:color w:val="auto"/>
              </w:rPr>
              <w:t>12.1 %</w:t>
            </w:r>
          </w:p>
        </w:tc>
        <w:tc>
          <w:tcPr>
            <w:tcW w:w="0" w:type="dxa"/>
            <w:vAlign w:val="bottom"/>
          </w:tcPr>
          <w:p>
            <w:pPr>
              <w:spacing w:after="0"/>
              <w:rPr>
                <w:sz w:val="1"/>
                <w:szCs w:val="1"/>
                <w:color w:val="auto"/>
              </w:rPr>
            </w:pPr>
          </w:p>
        </w:tc>
      </w:tr>
      <w:tr>
        <w:trPr>
          <w:trHeight w:val="33"/>
        </w:trPr>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CCEEFF"/>
            </w:tcBorders>
            <w:shd w:val="clear" w:color="auto" w:fill="CCEEFF"/>
          </w:tcPr>
          <w:p>
            <w:pPr>
              <w:ind w:left="260"/>
              <w:spacing w:after="0" w:line="164" w:lineRule="exact"/>
              <w:rPr>
                <w:sz w:val="20"/>
                <w:szCs w:val="20"/>
                <w:color w:val="auto"/>
              </w:rPr>
            </w:pPr>
            <w:r>
              <w:rPr>
                <w:rFonts w:ascii="Calibri" w:cs="Calibri" w:eastAsia="Calibri" w:hAnsi="Calibri"/>
                <w:sz w:val="14"/>
                <w:szCs w:val="14"/>
                <w:color w:val="auto"/>
              </w:rPr>
              <w:t>Net revenues</w:t>
            </w:r>
          </w:p>
        </w:tc>
        <w:tc>
          <w:tcPr>
            <w:tcW w:w="2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14,462</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13,865</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4.3 %</w:t>
            </w: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5.6 %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26,772</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26,090</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2.6 %</w:t>
            </w: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3.7 %</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471805</wp:posOffset>
            </wp:positionV>
            <wp:extent cx="514350" cy="93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32</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color w:val="auto"/>
        </w:rPr>
        <w:t>The following table details AbbVie’s worldwide net revenues: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vMerge w:val="restart"/>
          </w:tcPr>
          <w:p>
            <w:pPr>
              <w:jc w:val="right"/>
              <w:ind w:right="248"/>
              <w:spacing w:after="0"/>
              <w:rPr>
                <w:sz w:val="20"/>
                <w:szCs w:val="20"/>
                <w:color w:val="auto"/>
              </w:rPr>
            </w:pPr>
            <w:r>
              <w:rPr>
                <w:rFonts w:ascii="Calibri" w:cs="Calibri" w:eastAsia="Calibri" w:hAnsi="Calibri"/>
                <w:sz w:val="14"/>
                <w:szCs w:val="14"/>
                <w:b w:val="1"/>
                <w:bCs w:val="1"/>
                <w:color w:val="auto"/>
              </w:rPr>
              <w:t>Three months ended</w:t>
            </w:r>
          </w:p>
        </w:tc>
        <w:tc>
          <w:tcPr>
            <w:tcW w:w="2140" w:type="dxa"/>
            <w:vAlign w:val="bottom"/>
            <w:gridSpan w:val="3"/>
          </w:tcPr>
          <w:p>
            <w:pPr>
              <w:ind w:left="560"/>
              <w:spacing w:after="0"/>
              <w:rPr>
                <w:sz w:val="20"/>
                <w:szCs w:val="20"/>
                <w:color w:val="auto"/>
              </w:rPr>
            </w:pPr>
            <w:r>
              <w:rPr>
                <w:rFonts w:ascii="Calibri" w:cs="Calibri" w:eastAsia="Calibri" w:hAnsi="Calibri"/>
                <w:sz w:val="14"/>
                <w:szCs w:val="14"/>
                <w:b w:val="1"/>
                <w:bCs w:val="1"/>
                <w:color w:val="auto"/>
              </w:rPr>
              <w:t>Percent change</w:t>
            </w:r>
          </w:p>
        </w:tc>
        <w:tc>
          <w:tcPr>
            <w:tcW w:w="160" w:type="dxa"/>
            <w:vAlign w:val="bottom"/>
          </w:tcPr>
          <w:p>
            <w:pPr>
              <w:spacing w:after="0"/>
              <w:rPr>
                <w:sz w:val="14"/>
                <w:szCs w:val="14"/>
                <w:color w:val="auto"/>
              </w:rPr>
            </w:pPr>
          </w:p>
        </w:tc>
        <w:tc>
          <w:tcPr>
            <w:tcW w:w="1620" w:type="dxa"/>
            <w:vAlign w:val="bottom"/>
            <w:gridSpan w:val="3"/>
            <w:vMerge w:val="restart"/>
          </w:tcPr>
          <w:p>
            <w:pPr>
              <w:jc w:val="right"/>
              <w:ind w:right="348"/>
              <w:spacing w:after="0"/>
              <w:rPr>
                <w:sz w:val="20"/>
                <w:szCs w:val="20"/>
                <w:color w:val="auto"/>
              </w:rPr>
            </w:pPr>
            <w:r>
              <w:rPr>
                <w:rFonts w:ascii="Calibri" w:cs="Calibri" w:eastAsia="Calibri" w:hAnsi="Calibri"/>
                <w:sz w:val="14"/>
                <w:szCs w:val="14"/>
                <w:b w:val="1"/>
                <w:bCs w:val="1"/>
                <w:color w:val="auto"/>
              </w:rPr>
              <w:t>Six months ended</w:t>
            </w:r>
          </w:p>
        </w:tc>
        <w:tc>
          <w:tcPr>
            <w:tcW w:w="2060" w:type="dxa"/>
            <w:vAlign w:val="bottom"/>
            <w:gridSpan w:val="2"/>
          </w:tcPr>
          <w:p>
            <w:pPr>
              <w:jc w:val="right"/>
              <w:ind w:right="508"/>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7"/>
        </w:trPr>
        <w:tc>
          <w:tcPr>
            <w:tcW w:w="14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140" w:type="dxa"/>
            <w:vAlign w:val="bottom"/>
            <w:gridSpan w:val="2"/>
            <w:vMerge w:val="restart"/>
          </w:tcPr>
          <w:p>
            <w:pPr>
              <w:jc w:val="center"/>
              <w:ind w:right="140"/>
              <w:spacing w:after="0"/>
              <w:rPr>
                <w:sz w:val="20"/>
                <w:szCs w:val="20"/>
                <w:color w:val="auto"/>
              </w:rPr>
            </w:pPr>
            <w:r>
              <w:rPr>
                <w:rFonts w:ascii="Calibri" w:cs="Calibri" w:eastAsia="Calibri" w:hAnsi="Calibri"/>
                <w:sz w:val="14"/>
                <w:szCs w:val="14"/>
                <w:b w:val="1"/>
                <w:bCs w:val="1"/>
                <w:color w:val="auto"/>
              </w:rPr>
              <w:t>At constant</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2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04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46"/>
        </w:trPr>
        <w:tc>
          <w:tcPr>
            <w:tcW w:w="14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2023</w:t>
            </w:r>
          </w:p>
        </w:tc>
        <w:tc>
          <w:tcPr>
            <w:tcW w:w="100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ind w:right="188"/>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2023</w:t>
            </w:r>
          </w:p>
        </w:tc>
        <w:tc>
          <w:tcPr>
            <w:tcW w:w="10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4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14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currency rates</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04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4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Immunology</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Humira</w:t>
            </w: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2,360</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3,452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(31.6)%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(31.6)%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4,131</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6,400</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(35.5)%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(35.5)%</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454</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560</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(18.9)%</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953</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1,153</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(17.3)%</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(12.1)%</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2,814</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4,012</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(29.8)%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5,084</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7,553</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(32.7)%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(31.9)%</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Skyrizi</w:t>
            </w: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2,340</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1,634</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43.2 %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43.2 %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3,996</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2,773</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44.1 %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44.1 %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387</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249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55.5 %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61.8 %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739</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470</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57.3 %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61.7 %</w:t>
            </w:r>
          </w:p>
        </w:tc>
        <w:tc>
          <w:tcPr>
            <w:tcW w:w="0" w:type="dxa"/>
            <w:vAlign w:val="bottom"/>
          </w:tcPr>
          <w:p>
            <w:pPr>
              <w:spacing w:after="0"/>
              <w:rPr>
                <w:sz w:val="1"/>
                <w:szCs w:val="1"/>
                <w:color w:val="auto"/>
              </w:rPr>
            </w:pPr>
          </w:p>
        </w:tc>
      </w:tr>
      <w:tr>
        <w:trPr>
          <w:trHeight w:val="176"/>
        </w:trPr>
        <w:tc>
          <w:tcPr>
            <w:tcW w:w="14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2,727</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1,883</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44.8 %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45.6 %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4,735</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3,243</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46.0 %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46.6 %</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Rinvoq</w:t>
            </w:r>
          </w:p>
        </w:tc>
        <w:tc>
          <w:tcPr>
            <w:tcW w:w="2040" w:type="dxa"/>
            <w:vAlign w:val="bottom"/>
            <w:tcBorders>
              <w:bottom w:val="single" w:sz="8" w:color="CCEEFF"/>
            </w:tcBorders>
            <w:shd w:val="clear" w:color="auto" w:fill="CCEEFF"/>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1,017</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645</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57.9 %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57.9 %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1,742</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1,094</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59.3 %</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59.3 %</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413</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273</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51.1 %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62.6 %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781</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510</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53.0 %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62.7 %</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1,430</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918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55.8 %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59.2 %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2,523</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1,604</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57.3 %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60.4 %</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Oncology</w:t>
            </w:r>
          </w:p>
        </w:tc>
        <w:tc>
          <w:tcPr>
            <w:tcW w:w="20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Imbruvica</w:t>
            </w: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595</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666</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(10.6)%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1,205</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1,304</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(7.5)%</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Calibri" w:cs="Calibri" w:eastAsia="Calibri" w:hAnsi="Calibri"/>
                <w:sz w:val="14"/>
                <w:szCs w:val="14"/>
                <w:color w:val="auto"/>
              </w:rPr>
              <w:t>Collaboraton revenues</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238</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241</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(1.4)%</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466</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481</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(3.2)%</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(3.2)%</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833</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907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1,671</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1,785</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(6.4)%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(6.4)%</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Venclexta</w:t>
            </w: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300</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265</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12.8 %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12.8 %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581</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530</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9.5 %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9.5 %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337</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306</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10.4 %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18.4 %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670</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579</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15.8 %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22.0 %</w:t>
            </w:r>
          </w:p>
        </w:tc>
        <w:tc>
          <w:tcPr>
            <w:tcW w:w="0" w:type="dxa"/>
            <w:vAlign w:val="bottom"/>
          </w:tcPr>
          <w:p>
            <w:pPr>
              <w:spacing w:after="0"/>
              <w:rPr>
                <w:sz w:val="1"/>
                <w:szCs w:val="1"/>
                <w:color w:val="auto"/>
              </w:rPr>
            </w:pPr>
          </w:p>
        </w:tc>
      </w:tr>
      <w:tr>
        <w:trPr>
          <w:trHeight w:val="176"/>
        </w:trPr>
        <w:tc>
          <w:tcPr>
            <w:tcW w:w="14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637</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571</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11.5 %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15.8 %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1,251</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1,109</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12.8 %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16.0 %</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shd w:val="clear" w:color="auto" w:fill="CCEEFF"/>
          </w:tcPr>
          <w:p>
            <w:pPr>
              <w:ind w:left="20"/>
              <w:spacing w:after="0" w:line="196" w:lineRule="exact"/>
              <w:rPr>
                <w:sz w:val="20"/>
                <w:szCs w:val="20"/>
                <w:color w:val="auto"/>
              </w:rPr>
            </w:pPr>
            <w:r>
              <w:rPr>
                <w:rFonts w:ascii="Calibri" w:cs="Calibri" w:eastAsia="Calibri" w:hAnsi="Calibri"/>
                <w:sz w:val="14"/>
                <w:szCs w:val="14"/>
                <w:color w:val="auto"/>
              </w:rPr>
              <w:t>Elahere</w:t>
            </w:r>
            <w:r>
              <w:rPr>
                <w:rFonts w:ascii="Calibri" w:cs="Calibri" w:eastAsia="Calibri" w:hAnsi="Calibri"/>
                <w:sz w:val="18"/>
                <w:szCs w:val="18"/>
                <w:color w:val="auto"/>
                <w:vertAlign w:val="superscript"/>
              </w:rPr>
              <w:t>(a)</w:t>
            </w:r>
          </w:p>
        </w:tc>
        <w:tc>
          <w:tcPr>
            <w:tcW w:w="2040" w:type="dxa"/>
            <w:vAlign w:val="bottom"/>
            <w:tcBorders>
              <w:bottom w:val="single" w:sz="8" w:color="auto"/>
            </w:tcBorders>
            <w:shd w:val="clear" w:color="auto" w:fill="CCEEFF"/>
          </w:tcPr>
          <w:p>
            <w:pPr>
              <w:ind w:left="240"/>
              <w:spacing w:after="0"/>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n/m</w:t>
            </w:r>
          </w:p>
        </w:tc>
        <w:tc>
          <w:tcPr>
            <w:tcW w:w="1140" w:type="dxa"/>
            <w:vAlign w:val="bottom"/>
            <w:tcBorders>
              <w:bottom w:val="single" w:sz="8" w:color="auto"/>
            </w:tcBorders>
            <w:gridSpan w:val="2"/>
            <w:shd w:val="clear" w:color="auto" w:fill="CCEEFF"/>
          </w:tcPr>
          <w:p>
            <w:pPr>
              <w:ind w:left="760"/>
              <w:spacing w:after="0"/>
              <w:rPr>
                <w:sz w:val="20"/>
                <w:szCs w:val="20"/>
                <w:color w:val="auto"/>
              </w:rPr>
            </w:pPr>
            <w:r>
              <w:rPr>
                <w:rFonts w:ascii="Calibri" w:cs="Calibri" w:eastAsia="Calibri" w:hAnsi="Calibri"/>
                <w:sz w:val="14"/>
                <w:szCs w:val="14"/>
                <w:color w:val="auto"/>
              </w:rPr>
              <w:t>n/m</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192</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n/m</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n/m</w:t>
            </w:r>
          </w:p>
        </w:tc>
        <w:tc>
          <w:tcPr>
            <w:tcW w:w="0" w:type="dxa"/>
            <w:vAlign w:val="bottom"/>
          </w:tcPr>
          <w:p>
            <w:pPr>
              <w:spacing w:after="0"/>
              <w:rPr>
                <w:sz w:val="1"/>
                <w:szCs w:val="1"/>
                <w:color w:val="auto"/>
              </w:rPr>
            </w:pPr>
          </w:p>
        </w:tc>
      </w:tr>
      <w:tr>
        <w:trPr>
          <w:trHeight w:val="163"/>
        </w:trPr>
        <w:tc>
          <w:tcPr>
            <w:tcW w:w="1440" w:type="dxa"/>
            <w:vAlign w:val="bottom"/>
          </w:tcPr>
          <w:p>
            <w:pPr>
              <w:ind w:left="20"/>
              <w:spacing w:after="0" w:line="164" w:lineRule="exact"/>
              <w:rPr>
                <w:sz w:val="20"/>
                <w:szCs w:val="20"/>
                <w:color w:val="auto"/>
              </w:rPr>
            </w:pPr>
            <w:r>
              <w:rPr>
                <w:rFonts w:ascii="Calibri" w:cs="Calibri" w:eastAsia="Calibri" w:hAnsi="Calibri"/>
                <w:sz w:val="14"/>
                <w:szCs w:val="14"/>
                <w:color w:val="auto"/>
              </w:rPr>
              <w:t>Epkinly</w:t>
            </w:r>
          </w:p>
        </w:tc>
        <w:tc>
          <w:tcPr>
            <w:tcW w:w="2040" w:type="dxa"/>
            <w:vAlign w:val="bottom"/>
          </w:tcPr>
          <w:p>
            <w:pPr>
              <w:ind w:left="240"/>
              <w:spacing w:after="0" w:line="164" w:lineRule="exact"/>
              <w:rPr>
                <w:sz w:val="20"/>
                <w:szCs w:val="20"/>
                <w:color w:val="auto"/>
              </w:rPr>
            </w:pPr>
            <w:r>
              <w:rPr>
                <w:rFonts w:ascii="Calibri" w:cs="Calibri" w:eastAsia="Calibri" w:hAnsi="Calibri"/>
                <w:sz w:val="14"/>
                <w:szCs w:val="14"/>
                <w:color w:val="auto"/>
              </w:rPr>
              <w:t>Collaboraton revenues</w:t>
            </w:r>
          </w:p>
        </w:tc>
        <w:tc>
          <w:tcPr>
            <w:tcW w:w="16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29</w:t>
            </w:r>
          </w:p>
        </w:tc>
        <w:tc>
          <w:tcPr>
            <w:tcW w:w="28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&gt;100.0 %</w:t>
            </w: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120" w:type="dxa"/>
            <w:vAlign w:val="bottom"/>
          </w:tcPr>
          <w:p>
            <w:pPr>
              <w:spacing w:after="0"/>
              <w:rPr>
                <w:sz w:val="14"/>
                <w:szCs w:val="14"/>
                <w:color w:val="auto"/>
              </w:rPr>
            </w:pPr>
          </w:p>
        </w:tc>
        <w:tc>
          <w:tcPr>
            <w:tcW w:w="16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Pr>
          <w:p>
            <w:pPr>
              <w:jc w:val="right"/>
              <w:ind w:right="8"/>
              <w:spacing w:after="0" w:line="164" w:lineRule="exact"/>
              <w:rPr>
                <w:sz w:val="20"/>
                <w:szCs w:val="20"/>
                <w:color w:val="auto"/>
              </w:rPr>
            </w:pPr>
            <w:r>
              <w:rPr>
                <w:rFonts w:ascii="Calibri" w:cs="Calibri" w:eastAsia="Calibri" w:hAnsi="Calibri"/>
                <w:sz w:val="14"/>
                <w:szCs w:val="14"/>
                <w:color w:val="auto"/>
              </w:rPr>
              <w:t>51</w:t>
            </w:r>
          </w:p>
        </w:tc>
        <w:tc>
          <w:tcPr>
            <w:tcW w:w="300" w:type="dxa"/>
            <w:vAlign w:val="bottom"/>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28"/>
              <w:spacing w:after="0" w:line="164" w:lineRule="exact"/>
              <w:rPr>
                <w:sz w:val="20"/>
                <w:szCs w:val="20"/>
                <w:color w:val="auto"/>
              </w:rPr>
            </w:pPr>
            <w:r>
              <w:rPr>
                <w:rFonts w:ascii="Calibri" w:cs="Calibri" w:eastAsia="Calibri" w:hAnsi="Calibri"/>
                <w:sz w:val="14"/>
                <w:szCs w:val="14"/>
                <w:color w:val="auto"/>
              </w:rPr>
              <w:t>&gt;100.0 %</w:t>
            </w:r>
          </w:p>
        </w:tc>
        <w:tc>
          <w:tcPr>
            <w:tcW w:w="1040" w:type="dxa"/>
            <w:vAlign w:val="bottom"/>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n/m</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Calibri" w:cs="Calibri" w:eastAsia="Calibri" w:hAnsi="Calibri"/>
                <w:sz w:val="14"/>
                <w:szCs w:val="14"/>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12</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n/m</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n/m</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36</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&gt;100.0 %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63</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&gt;100.0 %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Aesthetcs</w:t>
            </w:r>
          </w:p>
        </w:tc>
        <w:tc>
          <w:tcPr>
            <w:tcW w:w="20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Calibri" w:cs="Calibri" w:eastAsia="Calibri" w:hAnsi="Calibri"/>
                <w:sz w:val="14"/>
                <w:szCs w:val="14"/>
                <w:color w:val="auto"/>
              </w:rPr>
              <w:t>Botox Cosmetc</w:t>
            </w:r>
          </w:p>
        </w:tc>
        <w:tc>
          <w:tcPr>
            <w:tcW w:w="2040" w:type="dxa"/>
            <w:vAlign w:val="bottom"/>
          </w:tcPr>
          <w:p>
            <w:pPr>
              <w:ind w:left="240"/>
              <w:spacing w:after="0"/>
              <w:rPr>
                <w:sz w:val="20"/>
                <w:szCs w:val="20"/>
                <w:color w:val="auto"/>
              </w:rPr>
            </w:pPr>
            <w:r>
              <w:rPr>
                <w:rFonts w:ascii="Calibri" w:cs="Calibri" w:eastAsia="Calibri" w:hAnsi="Calibri"/>
                <w:sz w:val="14"/>
                <w:szCs w:val="14"/>
                <w:color w:val="auto"/>
              </w:rPr>
              <w:t>United States</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450</w:t>
            </w:r>
          </w:p>
        </w:tc>
        <w:tc>
          <w:tcPr>
            <w:tcW w:w="2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420</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7.1 %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7.1 %</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839</w:t>
            </w:r>
          </w:p>
        </w:tc>
        <w:tc>
          <w:tcPr>
            <w:tcW w:w="3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829</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1.2 %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1.2 %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279</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265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5.2 %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10.9 %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523</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515</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6.2 %</w:t>
            </w:r>
          </w:p>
        </w:tc>
        <w:tc>
          <w:tcPr>
            <w:tcW w:w="0" w:type="dxa"/>
            <w:vAlign w:val="bottom"/>
          </w:tcPr>
          <w:p>
            <w:pPr>
              <w:spacing w:after="0"/>
              <w:rPr>
                <w:sz w:val="1"/>
                <w:szCs w:val="1"/>
                <w:color w:val="auto"/>
              </w:rPr>
            </w:pPr>
          </w:p>
        </w:tc>
      </w:tr>
      <w:tr>
        <w:trPr>
          <w:trHeight w:val="176"/>
        </w:trPr>
        <w:tc>
          <w:tcPr>
            <w:tcW w:w="14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729</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685</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6.4 %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8.6 %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1,362</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1,344</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1.3 %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3.1 %</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Juvederm Collecton</w:t>
            </w:r>
          </w:p>
        </w:tc>
        <w:tc>
          <w:tcPr>
            <w:tcW w:w="2040" w:type="dxa"/>
            <w:vAlign w:val="bottom"/>
            <w:tcBorders>
              <w:bottom w:val="single" w:sz="8" w:color="CCEEFF"/>
            </w:tcBorders>
            <w:shd w:val="clear" w:color="auto" w:fill="CCEEFF"/>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138</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125</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10.4 %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10.4 %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244</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247</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(1.2)%</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(1.2)%</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205</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243</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(15.6)%</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396</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476</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(16.8)%</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(11.9)%</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343</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368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(6.8)%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640</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723</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(8.3)%</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Other Aesthetcs</w:t>
            </w: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275</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284</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(2.3)%</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(2.3)%</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556</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530</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5.2 %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5.2 %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43</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47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81</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87</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(8.1)%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w:t>
            </w:r>
          </w:p>
        </w:tc>
        <w:tc>
          <w:tcPr>
            <w:tcW w:w="0" w:type="dxa"/>
            <w:vAlign w:val="bottom"/>
          </w:tcPr>
          <w:p>
            <w:pPr>
              <w:spacing w:after="0"/>
              <w:rPr>
                <w:sz w:val="1"/>
                <w:szCs w:val="1"/>
                <w:color w:val="auto"/>
              </w:rPr>
            </w:pPr>
          </w:p>
        </w:tc>
      </w:tr>
      <w:tr>
        <w:trPr>
          <w:trHeight w:val="176"/>
        </w:trPr>
        <w:tc>
          <w:tcPr>
            <w:tcW w:w="14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318</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331</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(3.6)%</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(2.5)%</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637</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617</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3.3 %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4.2 %</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b w:val="1"/>
                <w:bCs w:val="1"/>
                <w:color w:val="auto"/>
              </w:rPr>
              <w:t>Neuroscience</w:t>
            </w:r>
          </w:p>
        </w:tc>
        <w:tc>
          <w:tcPr>
            <w:tcW w:w="20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Calibri" w:cs="Calibri" w:eastAsia="Calibri" w:hAnsi="Calibri"/>
                <w:sz w:val="14"/>
                <w:szCs w:val="14"/>
                <w:color w:val="auto"/>
              </w:rPr>
              <w:t>Botox Therapeutc</w:t>
            </w:r>
          </w:p>
        </w:tc>
        <w:tc>
          <w:tcPr>
            <w:tcW w:w="2040" w:type="dxa"/>
            <w:vAlign w:val="bottom"/>
          </w:tcPr>
          <w:p>
            <w:pPr>
              <w:ind w:left="240"/>
              <w:spacing w:after="0"/>
              <w:rPr>
                <w:sz w:val="20"/>
                <w:szCs w:val="20"/>
                <w:color w:val="auto"/>
              </w:rPr>
            </w:pPr>
            <w:r>
              <w:rPr>
                <w:rFonts w:ascii="Calibri" w:cs="Calibri" w:eastAsia="Calibri" w:hAnsi="Calibri"/>
                <w:sz w:val="14"/>
                <w:szCs w:val="14"/>
                <w:color w:val="auto"/>
              </w:rPr>
              <w:t>United States</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669</w:t>
            </w:r>
          </w:p>
        </w:tc>
        <w:tc>
          <w:tcPr>
            <w:tcW w:w="28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614</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8.9 %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8.9 %</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1,280</w:t>
            </w:r>
          </w:p>
        </w:tc>
        <w:tc>
          <w:tcPr>
            <w:tcW w:w="30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1,201</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6.6 %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6.6 %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145</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134</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7.9 %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13.0 %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282</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266</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9.7 %</w:t>
            </w:r>
          </w:p>
        </w:tc>
        <w:tc>
          <w:tcPr>
            <w:tcW w:w="0" w:type="dxa"/>
            <w:vAlign w:val="bottom"/>
          </w:tcPr>
          <w:p>
            <w:pPr>
              <w:spacing w:after="0"/>
              <w:rPr>
                <w:sz w:val="1"/>
                <w:szCs w:val="1"/>
                <w:color w:val="auto"/>
              </w:rPr>
            </w:pPr>
          </w:p>
        </w:tc>
      </w:tr>
      <w:tr>
        <w:trPr>
          <w:trHeight w:val="176"/>
        </w:trPr>
        <w:tc>
          <w:tcPr>
            <w:tcW w:w="14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814</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748</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8.7 %</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9.6 %</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1,562</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1,467</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6.5 %</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7.2 %</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Vraylar</w:t>
            </w:r>
          </w:p>
        </w:tc>
        <w:tc>
          <w:tcPr>
            <w:tcW w:w="2040" w:type="dxa"/>
            <w:vAlign w:val="bottom"/>
            <w:tcBorders>
              <w:bottom w:val="single" w:sz="8" w:color="CCEEFF"/>
            </w:tcBorders>
            <w:shd w:val="clear" w:color="auto" w:fill="CCEEFF"/>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773</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657</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17.5 %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17.5 %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1,465</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1,217</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20.3 %</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20.3 %</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1</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68.8 %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69.2 %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3</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96.7 %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96.3 %</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774</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658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17.6 %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17.6 %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1,468</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1,219</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20.4 %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20.4 %</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Duodopa</w:t>
            </w: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23</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24</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(2.6)%</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(2.6)%</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48</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49</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(2.6)%</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(2.6)%</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90</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93</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180</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186</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176"/>
        </w:trPr>
        <w:tc>
          <w:tcPr>
            <w:tcW w:w="14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113</w:t>
            </w:r>
          </w:p>
        </w:tc>
        <w:tc>
          <w:tcPr>
            <w:tcW w:w="28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117</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(3.1)%</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(1.9)%</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228</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Calibri" w:cs="Calibri" w:eastAsia="Calibri" w:hAnsi="Calibri"/>
                <w:sz w:val="14"/>
                <w:szCs w:val="14"/>
                <w:color w:val="auto"/>
              </w:rPr>
              <w:t>235</w:t>
            </w:r>
          </w:p>
        </w:tc>
        <w:tc>
          <w:tcPr>
            <w:tcW w:w="102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(2.9)%</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(2.7)%</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Ubrelvy</w:t>
            </w:r>
          </w:p>
        </w:tc>
        <w:tc>
          <w:tcPr>
            <w:tcW w:w="2040" w:type="dxa"/>
            <w:vAlign w:val="bottom"/>
            <w:tcBorders>
              <w:bottom w:val="single" w:sz="8" w:color="CCEEFF"/>
            </w:tcBorders>
            <w:shd w:val="clear" w:color="auto" w:fill="CCEEFF"/>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227</w:t>
            </w:r>
          </w:p>
        </w:tc>
        <w:tc>
          <w:tcPr>
            <w:tcW w:w="28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194</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16.6 %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16.6 %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424</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line="164" w:lineRule="exact"/>
              <w:rPr>
                <w:sz w:val="20"/>
                <w:szCs w:val="20"/>
                <w:color w:val="auto"/>
              </w:rPr>
            </w:pPr>
            <w:r>
              <w:rPr>
                <w:rFonts w:ascii="Calibri" w:cs="Calibri" w:eastAsia="Calibri" w:hAnsi="Calibri"/>
                <w:sz w:val="14"/>
                <w:szCs w:val="14"/>
                <w:color w:val="auto"/>
              </w:rPr>
              <w:t>344</w:t>
            </w:r>
          </w:p>
        </w:tc>
        <w:tc>
          <w:tcPr>
            <w:tcW w:w="102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23.1 %</w:t>
            </w:r>
          </w:p>
        </w:tc>
        <w:tc>
          <w:tcPr>
            <w:tcW w:w="10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23.1 %</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2040" w:type="dxa"/>
            <w:vAlign w:val="bottom"/>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w:t>
            </w:r>
          </w:p>
        </w:tc>
        <w:tc>
          <w:tcPr>
            <w:tcW w:w="2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2</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81.6 %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82.3 %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alibri" w:cs="Calibri" w:eastAsia="Calibri" w:hAnsi="Calibri"/>
                <w:sz w:val="14"/>
                <w:szCs w:val="14"/>
                <w:color w:val="auto"/>
              </w:rPr>
              <w:t>10</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alibri" w:cs="Calibri" w:eastAsia="Calibri" w:hAnsi="Calibri"/>
                <w:sz w:val="14"/>
                <w:szCs w:val="14"/>
                <w:color w:val="auto"/>
              </w:rPr>
              <w:t>4</w:t>
            </w:r>
          </w:p>
        </w:tc>
        <w:tc>
          <w:tcPr>
            <w:tcW w:w="1020" w:type="dxa"/>
            <w:vAlign w:val="bottom"/>
          </w:tcPr>
          <w:p>
            <w:pPr>
              <w:jc w:val="right"/>
              <w:ind w:right="28"/>
              <w:spacing w:after="0"/>
              <w:rPr>
                <w:sz w:val="20"/>
                <w:szCs w:val="20"/>
                <w:color w:val="auto"/>
              </w:rPr>
            </w:pPr>
            <w:r>
              <w:rPr>
                <w:rFonts w:ascii="Calibri" w:cs="Calibri" w:eastAsia="Calibri" w:hAnsi="Calibri"/>
                <w:sz w:val="14"/>
                <w:szCs w:val="14"/>
                <w:color w:val="auto"/>
              </w:rPr>
              <w:t>&gt;100.0 %</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231</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196</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17.5 %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17.5 %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w w:val="83"/>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434</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348</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24.6 %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24.6 %</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Qulipta</w:t>
            </w: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United States</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146</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95</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52.8 %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52.8 %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274</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161</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69.8 %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69.8 %</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Internatonal</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&gt;100.0 %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&gt;100.0 %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7</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Calibri" w:cs="Calibri" w:eastAsia="Calibri" w:hAnsi="Calibri"/>
                <w:sz w:val="14"/>
                <w:szCs w:val="14"/>
                <w:color w:val="auto"/>
              </w:rPr>
              <w:t>1</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&gt;100.0 %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163"/>
        </w:trPr>
        <w:tc>
          <w:tcPr>
            <w:tcW w:w="14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ind w:left="240"/>
              <w:spacing w:after="0" w:line="164" w:lineRule="exact"/>
              <w:rPr>
                <w:sz w:val="20"/>
                <w:szCs w:val="20"/>
                <w:color w:val="auto"/>
              </w:rPr>
            </w:pPr>
            <w:r>
              <w:rPr>
                <w:rFonts w:ascii="Calibri" w:cs="Calibri" w:eastAsia="Calibri" w:hAnsi="Calibri"/>
                <w:sz w:val="14"/>
                <w:szCs w:val="14"/>
                <w:color w:val="auto"/>
              </w:rPr>
              <w:t>Total</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150</w:t>
            </w:r>
          </w:p>
        </w:tc>
        <w:tc>
          <w:tcPr>
            <w:tcW w:w="28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96</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56.3 %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56.3 %</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64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281</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162</w:t>
            </w:r>
          </w:p>
        </w:tc>
        <w:tc>
          <w:tcPr>
            <w:tcW w:w="102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73.2 %</w:t>
            </w:r>
          </w:p>
        </w:tc>
        <w:tc>
          <w:tcPr>
            <w:tcW w:w="10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73.2 %</w:t>
            </w: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3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 xml:space="preserve">| </w:t>
      </w:r>
      <w:r>
        <w:rPr>
          <w:sz w:val="1"/>
          <w:szCs w:val="1"/>
          <w:color w:val="auto"/>
        </w:rPr>
        <w:drawing>
          <wp:inline distT="0" distB="0" distL="0" distR="0">
            <wp:extent cx="514350" cy="9461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35"/>
          <w:szCs w:val="35"/>
          <w:b w:val="1"/>
          <w:bCs w:val="1"/>
          <w:i w:val="1"/>
          <w:iCs w:val="1"/>
          <w:color w:val="auto"/>
          <w:vertAlign w:val="superscript"/>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vMerge w:val="restart"/>
          </w:tcPr>
          <w:p>
            <w:pPr>
              <w:jc w:val="right"/>
              <w:ind w:right="268"/>
              <w:spacing w:after="0"/>
              <w:rPr>
                <w:sz w:val="20"/>
                <w:szCs w:val="20"/>
                <w:color w:val="auto"/>
              </w:rPr>
            </w:pPr>
            <w:r>
              <w:rPr>
                <w:rFonts w:ascii="Calibri" w:cs="Calibri" w:eastAsia="Calibri" w:hAnsi="Calibri"/>
                <w:sz w:val="14"/>
                <w:szCs w:val="14"/>
                <w:b w:val="1"/>
                <w:bCs w:val="1"/>
                <w:color w:val="auto"/>
              </w:rPr>
              <w:t>Three months ended</w:t>
            </w:r>
          </w:p>
        </w:tc>
        <w:tc>
          <w:tcPr>
            <w:tcW w:w="2120" w:type="dxa"/>
            <w:vAlign w:val="bottom"/>
            <w:gridSpan w:val="3"/>
          </w:tcPr>
          <w:p>
            <w:pPr>
              <w:ind w:left="540"/>
              <w:spacing w:after="0"/>
              <w:rPr>
                <w:sz w:val="20"/>
                <w:szCs w:val="20"/>
                <w:color w:val="auto"/>
              </w:rPr>
            </w:pPr>
            <w:r>
              <w:rPr>
                <w:rFonts w:ascii="Calibri" w:cs="Calibri" w:eastAsia="Calibri" w:hAnsi="Calibri"/>
                <w:sz w:val="14"/>
                <w:szCs w:val="14"/>
                <w:b w:val="1"/>
                <w:bCs w:val="1"/>
                <w:color w:val="auto"/>
              </w:rPr>
              <w:t>Percent change</w:t>
            </w:r>
          </w:p>
        </w:tc>
        <w:tc>
          <w:tcPr>
            <w:tcW w:w="180" w:type="dxa"/>
            <w:vAlign w:val="bottom"/>
          </w:tcPr>
          <w:p>
            <w:pPr>
              <w:spacing w:after="0"/>
              <w:rPr>
                <w:sz w:val="14"/>
                <w:szCs w:val="14"/>
                <w:color w:val="auto"/>
              </w:rPr>
            </w:pPr>
          </w:p>
        </w:tc>
        <w:tc>
          <w:tcPr>
            <w:tcW w:w="1640" w:type="dxa"/>
            <w:vAlign w:val="bottom"/>
            <w:gridSpan w:val="3"/>
            <w:vMerge w:val="restart"/>
          </w:tcPr>
          <w:p>
            <w:pPr>
              <w:jc w:val="right"/>
              <w:ind w:right="368"/>
              <w:spacing w:after="0"/>
              <w:rPr>
                <w:sz w:val="20"/>
                <w:szCs w:val="20"/>
                <w:color w:val="auto"/>
              </w:rPr>
            </w:pPr>
            <w:r>
              <w:rPr>
                <w:rFonts w:ascii="Calibri" w:cs="Calibri" w:eastAsia="Calibri" w:hAnsi="Calibri"/>
                <w:sz w:val="14"/>
                <w:szCs w:val="14"/>
                <w:b w:val="1"/>
                <w:bCs w:val="1"/>
                <w:color w:val="auto"/>
              </w:rPr>
              <w:t>Six months ended</w:t>
            </w:r>
          </w:p>
        </w:tc>
        <w:tc>
          <w:tcPr>
            <w:tcW w:w="2020" w:type="dxa"/>
            <w:vAlign w:val="bottom"/>
            <w:gridSpan w:val="2"/>
          </w:tcPr>
          <w:p>
            <w:pPr>
              <w:jc w:val="right"/>
              <w:ind w:right="488"/>
              <w:spacing w:after="0"/>
              <w:rPr>
                <w:sz w:val="20"/>
                <w:szCs w:val="20"/>
                <w:color w:val="auto"/>
              </w:rPr>
            </w:pPr>
            <w:r>
              <w:rPr>
                <w:rFonts w:ascii="Calibri" w:cs="Calibri" w:eastAsia="Calibri" w:hAnsi="Calibri"/>
                <w:sz w:val="14"/>
                <w:szCs w:val="14"/>
                <w:b w:val="1"/>
                <w:bCs w:val="1"/>
                <w:color w:val="auto"/>
              </w:rPr>
              <w:t>Percent change</w:t>
            </w:r>
          </w:p>
        </w:tc>
        <w:tc>
          <w:tcPr>
            <w:tcW w:w="0" w:type="dxa"/>
            <w:vAlign w:val="bottom"/>
          </w:tcPr>
          <w:p>
            <w:pPr>
              <w:spacing w:after="0"/>
              <w:rPr>
                <w:sz w:val="1"/>
                <w:szCs w:val="1"/>
                <w:color w:val="auto"/>
              </w:rPr>
            </w:pPr>
          </w:p>
        </w:tc>
      </w:tr>
      <w:tr>
        <w:trPr>
          <w:trHeight w:val="47"/>
        </w:trPr>
        <w:tc>
          <w:tcPr>
            <w:tcW w:w="14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120" w:type="dxa"/>
            <w:vAlign w:val="bottom"/>
            <w:gridSpan w:val="2"/>
            <w:vMerge w:val="restart"/>
          </w:tcPr>
          <w:p>
            <w:pPr>
              <w:jc w:val="center"/>
              <w:ind w:right="120"/>
              <w:spacing w:after="0"/>
              <w:rPr>
                <w:sz w:val="20"/>
                <w:szCs w:val="20"/>
                <w:color w:val="auto"/>
              </w:rPr>
            </w:pPr>
            <w:r>
              <w:rPr>
                <w:rFonts w:ascii="Calibri" w:cs="Calibri" w:eastAsia="Calibri" w:hAnsi="Calibri"/>
                <w:sz w:val="14"/>
                <w:szCs w:val="14"/>
                <w:b w:val="1"/>
                <w:bCs w:val="1"/>
                <w:color w:val="auto"/>
              </w:rPr>
              <w:t>At constant</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June 30,</w:t>
            </w:r>
          </w:p>
        </w:tc>
        <w:tc>
          <w:tcPr>
            <w:tcW w:w="680" w:type="dxa"/>
            <w:vAlign w:val="bottom"/>
          </w:tcPr>
          <w:p>
            <w:pPr>
              <w:spacing w:after="0"/>
              <w:rPr>
                <w:sz w:val="14"/>
                <w:szCs w:val="14"/>
                <w:color w:val="auto"/>
              </w:rPr>
            </w:pPr>
          </w:p>
        </w:tc>
        <w:tc>
          <w:tcPr>
            <w:tcW w:w="1000" w:type="dxa"/>
            <w:vAlign w:val="bottom"/>
            <w:vMerge w:val="restart"/>
          </w:tcPr>
          <w:p>
            <w:pPr>
              <w:jc w:val="right"/>
              <w:ind w:right="228"/>
              <w:spacing w:after="0"/>
              <w:rPr>
                <w:sz w:val="20"/>
                <w:szCs w:val="20"/>
                <w:color w:val="auto"/>
              </w:rPr>
            </w:pPr>
            <w:r>
              <w:rPr>
                <w:rFonts w:ascii="Calibri" w:cs="Calibri" w:eastAsia="Calibri" w:hAnsi="Calibri"/>
                <w:sz w:val="14"/>
                <w:szCs w:val="14"/>
                <w:b w:val="1"/>
                <w:bCs w:val="1"/>
                <w:color w:val="auto"/>
              </w:rPr>
              <w:t>At actual</w:t>
            </w:r>
          </w:p>
        </w:tc>
        <w:tc>
          <w:tcPr>
            <w:tcW w:w="102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At constant</w:t>
            </w:r>
          </w:p>
        </w:tc>
        <w:tc>
          <w:tcPr>
            <w:tcW w:w="0" w:type="dxa"/>
            <w:vAlign w:val="bottom"/>
          </w:tcPr>
          <w:p>
            <w:pPr>
              <w:spacing w:after="0"/>
              <w:rPr>
                <w:sz w:val="1"/>
                <w:szCs w:val="1"/>
                <w:color w:val="auto"/>
              </w:rPr>
            </w:pPr>
          </w:p>
        </w:tc>
      </w:tr>
      <w:tr>
        <w:trPr>
          <w:trHeight w:val="46"/>
        </w:trPr>
        <w:tc>
          <w:tcPr>
            <w:tcW w:w="14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8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(dollars in millions)</w:t>
            </w: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2023</w:t>
            </w:r>
          </w:p>
        </w:tc>
        <w:tc>
          <w:tcPr>
            <w:tcW w:w="100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line="20" w:lineRule="exact"/>
              <w:rPr>
                <w:sz w:val="1"/>
                <w:szCs w:val="1"/>
                <w:color w:val="auto"/>
              </w:rPr>
            </w:pPr>
          </w:p>
        </w:tc>
        <w:tc>
          <w:tcPr>
            <w:tcW w:w="6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2023</w:t>
            </w:r>
          </w:p>
        </w:tc>
        <w:tc>
          <w:tcPr>
            <w:tcW w:w="100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1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currency rates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currency rates</w:t>
            </w:r>
          </w:p>
        </w:tc>
        <w:tc>
          <w:tcPr>
            <w:tcW w:w="10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currency rates</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Other Neuroscience</w:t>
            </w:r>
          </w:p>
        </w:tc>
        <w:tc>
          <w:tcPr>
            <w:tcW w:w="202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57</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65</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(10.1)%</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118</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140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(14.6)%</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(14.6)%</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23</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5</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&gt;100.0 %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&gt;100.0 %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36</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9</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&gt;100.0 %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&gt;100.0 %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80</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70</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16.6 %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17.5 %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154</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149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4.1 %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4.7 %</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Eye Care</w:t>
            </w:r>
          </w:p>
        </w:tc>
        <w:tc>
          <w:tcPr>
            <w:tcW w:w="2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Ozurdex</w:t>
            </w: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35</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34</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4.2 %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4.2 %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69</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73</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(5.4)%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(5.4)%</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89</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85</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4.6 %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9.5 %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186</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161</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15.6 %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18.8 %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124</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119</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4.5 %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255</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234</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9.0 %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11.2 %</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Lumigan/Ganfort</w:t>
            </w:r>
          </w:p>
        </w:tc>
        <w:tc>
          <w:tcPr>
            <w:tcW w:w="202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42</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51</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(15.8)%</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(15.8)%</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71</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114</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(37.4)%</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(37.4)%</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61</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68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(11.2)%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123</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135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(9.4)%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(7.3)%</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103</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119</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(13.2)%</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(11.4)%</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194</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249</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(22.2)%</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(21.0)%</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Alphagan/Combigan</w:t>
            </w:r>
          </w:p>
        </w:tc>
        <w:tc>
          <w:tcPr>
            <w:tcW w:w="202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13</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32</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(59.5)%</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28</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60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(53.4)%</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(53.4)%</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36</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33</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9.1 %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20.5 %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80</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76</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5.0 %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12.8 %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49</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65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(23.7)%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108</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136</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(20.6)%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(16.2)%</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Restasis</w:t>
            </w:r>
          </w:p>
        </w:tc>
        <w:tc>
          <w:tcPr>
            <w:tcW w:w="202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18</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82</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(77.3)%</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(77.3)%</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62</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161</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(61.0)%</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(61.0)%</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14</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(18.9)%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27</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30</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(11.4)%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(6.5)%</w:t>
            </w:r>
          </w:p>
        </w:tc>
        <w:tc>
          <w:tcPr>
            <w:tcW w:w="0" w:type="dxa"/>
            <w:vAlign w:val="bottom"/>
          </w:tcPr>
          <w:p>
            <w:pPr>
              <w:spacing w:after="0"/>
              <w:rPr>
                <w:sz w:val="1"/>
                <w:szCs w:val="1"/>
                <w:color w:val="auto"/>
              </w:rPr>
            </w:pPr>
          </w:p>
        </w:tc>
      </w:tr>
      <w:tr>
        <w:trPr>
          <w:trHeight w:val="176"/>
        </w:trPr>
        <w:tc>
          <w:tcPr>
            <w:tcW w:w="14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32</w:t>
            </w:r>
          </w:p>
        </w:tc>
        <w:tc>
          <w:tcPr>
            <w:tcW w:w="300" w:type="dxa"/>
            <w:vAlign w:val="bottom"/>
            <w:tcBorders>
              <w:top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99</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(67.0)%</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(66.2)%</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89</w:t>
            </w:r>
          </w:p>
        </w:tc>
        <w:tc>
          <w:tcPr>
            <w:tcW w:w="300" w:type="dxa"/>
            <w:vAlign w:val="bottom"/>
            <w:tcBorders>
              <w:top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Calibri" w:cs="Calibri" w:eastAsia="Calibri" w:hAnsi="Calibri"/>
                <w:sz w:val="14"/>
                <w:szCs w:val="14"/>
                <w:color w:val="auto"/>
              </w:rPr>
              <w:t>191</w:t>
            </w:r>
          </w:p>
        </w:tc>
        <w:tc>
          <w:tcPr>
            <w:tcW w:w="1000" w:type="dxa"/>
            <w:vAlign w:val="bottom"/>
            <w:tcBorders>
              <w:top w:val="single" w:sz="8" w:color="auto"/>
            </w:tcBorders>
          </w:tcPr>
          <w:p>
            <w:pPr>
              <w:jc w:val="right"/>
              <w:ind w:right="28"/>
              <w:spacing w:after="0"/>
              <w:rPr>
                <w:sz w:val="20"/>
                <w:szCs w:val="20"/>
                <w:color w:val="auto"/>
              </w:rPr>
            </w:pPr>
            <w:r>
              <w:rPr>
                <w:rFonts w:ascii="Calibri" w:cs="Calibri" w:eastAsia="Calibri" w:hAnsi="Calibri"/>
                <w:sz w:val="14"/>
                <w:szCs w:val="14"/>
                <w:color w:val="auto"/>
              </w:rPr>
              <w:t>(53.1)%</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(52.3)%</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Other Eye Care</w:t>
            </w:r>
          </w:p>
        </w:tc>
        <w:tc>
          <w:tcPr>
            <w:tcW w:w="202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131</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110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18.9 %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18.9 %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236</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220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7.1 %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7.1 %</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94</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105</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(10.1)%</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189</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195</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(2.7)%</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1.0 %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225</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215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4.8 %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6.7 %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425</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415</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2.5 %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4.2 %</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Other Key Products</w:t>
            </w:r>
          </w:p>
        </w:tc>
        <w:tc>
          <w:tcPr>
            <w:tcW w:w="2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Mavyret</w:t>
            </w: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167</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193</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(13.2)%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311</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364</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(14.4)%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(14.4)%</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202</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194</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3.8 %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407</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387</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5.0 %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8.9 %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369</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387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718</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751</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(2.4)%</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Creon</w:t>
            </w:r>
          </w:p>
        </w:tc>
        <w:tc>
          <w:tcPr>
            <w:tcW w:w="2020" w:type="dxa"/>
            <w:vAlign w:val="bottom"/>
            <w:tcBorders>
              <w:top w:val="single" w:sz="8" w:color="auto"/>
            </w:tcBorders>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372</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282</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32.1 %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32.1 %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657</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587</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12.0 %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12.0 %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Linzess/Constella</w:t>
            </w:r>
          </w:p>
        </w:tc>
        <w:tc>
          <w:tcPr>
            <w:tcW w:w="2020" w:type="dxa"/>
            <w:vAlign w:val="bottom"/>
            <w:tcBorders>
              <w:bottom w:val="single" w:sz="8" w:color="CCEEFF"/>
            </w:tcBorders>
            <w:shd w:val="clear" w:color="auto" w:fill="CCEEFF"/>
          </w:tcPr>
          <w:p>
            <w:pPr>
              <w:ind w:left="280"/>
              <w:spacing w:after="0" w:line="164" w:lineRule="exact"/>
              <w:rPr>
                <w:sz w:val="20"/>
                <w:szCs w:val="20"/>
                <w:color w:val="auto"/>
              </w:rPr>
            </w:pPr>
            <w:r>
              <w:rPr>
                <w:rFonts w:ascii="Calibri" w:cs="Calibri" w:eastAsia="Calibri" w:hAnsi="Calibri"/>
                <w:sz w:val="14"/>
                <w:szCs w:val="14"/>
                <w:color w:val="auto"/>
              </w:rPr>
              <w:t>United States</w:t>
            </w: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211</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269</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(21.7)%</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(21.7)%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468</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520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(10.0)%</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(10.0)%</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Calibri" w:cs="Calibri" w:eastAsia="Calibri" w:hAnsi="Calibri"/>
                <w:sz w:val="14"/>
                <w:szCs w:val="14"/>
                <w:color w:val="auto"/>
              </w:rPr>
              <w:t>Internatonal</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alibri" w:cs="Calibri" w:eastAsia="Calibri" w:hAnsi="Calibri"/>
                <w:sz w:val="14"/>
                <w:szCs w:val="14"/>
                <w:color w:val="auto"/>
              </w:rPr>
              <w:t>10</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9</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9.1 %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9.2 %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alibri" w:cs="Calibri" w:eastAsia="Calibri" w:hAnsi="Calibri"/>
                <w:sz w:val="14"/>
                <w:szCs w:val="14"/>
                <w:color w:val="auto"/>
              </w:rPr>
              <w:t>19</w:t>
            </w:r>
          </w:p>
        </w:tc>
        <w:tc>
          <w:tcPr>
            <w:tcW w:w="3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alibri" w:cs="Calibri" w:eastAsia="Calibri" w:hAnsi="Calibri"/>
                <w:sz w:val="14"/>
                <w:szCs w:val="14"/>
                <w:color w:val="auto"/>
              </w:rPr>
              <w:t>17</w:t>
            </w:r>
          </w:p>
        </w:tc>
        <w:tc>
          <w:tcPr>
            <w:tcW w:w="1000" w:type="dxa"/>
            <w:vAlign w:val="bottom"/>
          </w:tcPr>
          <w:p>
            <w:pPr>
              <w:jc w:val="right"/>
              <w:ind w:right="28"/>
              <w:spacing w:after="0"/>
              <w:rPr>
                <w:sz w:val="20"/>
                <w:szCs w:val="20"/>
                <w:color w:val="auto"/>
              </w:rPr>
            </w:pPr>
            <w:r>
              <w:rPr>
                <w:rFonts w:ascii="Calibri" w:cs="Calibri" w:eastAsia="Calibri" w:hAnsi="Calibri"/>
                <w:sz w:val="14"/>
                <w:szCs w:val="14"/>
                <w:color w:val="auto"/>
              </w:rPr>
              <w:t>9.1 %</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8.0 %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ind w:left="280"/>
              <w:spacing w:after="0"/>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221</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278</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(20.7)%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487</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Calibri" w:cs="Calibri" w:eastAsia="Calibri" w:hAnsi="Calibri"/>
                <w:sz w:val="14"/>
                <w:szCs w:val="14"/>
                <w:color w:val="auto"/>
              </w:rPr>
              <w:t>537</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Calibri" w:cs="Calibri" w:eastAsia="Calibri" w:hAnsi="Calibri"/>
                <w:sz w:val="14"/>
                <w:szCs w:val="14"/>
                <w:color w:val="auto"/>
              </w:rPr>
              <w:t>(9.4)%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(9.4)%</w:t>
            </w:r>
          </w:p>
        </w:tc>
        <w:tc>
          <w:tcPr>
            <w:tcW w:w="0" w:type="dxa"/>
            <w:vAlign w:val="bottom"/>
          </w:tcPr>
          <w:p>
            <w:pPr>
              <w:spacing w:after="0"/>
              <w:rPr>
                <w:sz w:val="1"/>
                <w:szCs w:val="1"/>
                <w:color w:val="auto"/>
              </w:rPr>
            </w:pPr>
          </w:p>
        </w:tc>
      </w:tr>
      <w:tr>
        <w:trPr>
          <w:trHeight w:val="163"/>
        </w:trPr>
        <w:tc>
          <w:tcPr>
            <w:tcW w:w="148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All other</w:t>
            </w:r>
          </w:p>
        </w:tc>
        <w:tc>
          <w:tcPr>
            <w:tcW w:w="2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810</w:t>
            </w:r>
          </w:p>
        </w:tc>
        <w:tc>
          <w:tcPr>
            <w:tcW w:w="300" w:type="dxa"/>
            <w:vAlign w:val="bottom"/>
            <w:tcBorders>
              <w:top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741</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8.7 %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10.5 %</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1,554</w:t>
            </w:r>
          </w:p>
        </w:tc>
        <w:tc>
          <w:tcPr>
            <w:tcW w:w="30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tcBorders>
          </w:tcPr>
          <w:p>
            <w:pPr>
              <w:jc w:val="right"/>
              <w:ind w:right="108"/>
              <w:spacing w:after="0" w:line="164" w:lineRule="exact"/>
              <w:rPr>
                <w:sz w:val="20"/>
                <w:szCs w:val="20"/>
                <w:color w:val="auto"/>
              </w:rPr>
            </w:pPr>
            <w:r>
              <w:rPr>
                <w:rFonts w:ascii="Calibri" w:cs="Calibri" w:eastAsia="Calibri" w:hAnsi="Calibri"/>
                <w:sz w:val="14"/>
                <w:szCs w:val="14"/>
                <w:color w:val="auto"/>
              </w:rPr>
              <w:t>1,432</w:t>
            </w:r>
          </w:p>
        </w:tc>
        <w:tc>
          <w:tcPr>
            <w:tcW w:w="100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rPr>
              <w:t>8.4 %</w:t>
            </w:r>
          </w:p>
        </w:tc>
        <w:tc>
          <w:tcPr>
            <w:tcW w:w="10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10.2 %</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48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Total net revenues</w:t>
            </w:r>
          </w:p>
        </w:tc>
        <w:tc>
          <w:tcPr>
            <w:tcW w:w="2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14,462</w:t>
            </w:r>
          </w:p>
        </w:tc>
        <w:tc>
          <w:tcPr>
            <w:tcW w:w="300" w:type="dxa"/>
            <w:vAlign w:val="bottom"/>
            <w:tcBorders>
              <w:bottom w:val="single" w:sz="8" w:color="CCEEFF"/>
            </w:tcBorders>
            <w:shd w:val="clear" w:color="auto" w:fill="CCEEFF"/>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13,865</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4.3 %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5.6 %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26,772</w:t>
            </w:r>
          </w:p>
        </w:tc>
        <w:tc>
          <w:tcPr>
            <w:tcW w:w="300" w:type="dxa"/>
            <w:vAlign w:val="bottom"/>
            <w:tcBorders>
              <w:bottom w:val="single" w:sz="8" w:color="CCEEFF"/>
            </w:tcBorders>
            <w:shd w:val="clear" w:color="auto" w:fill="CCEEFF"/>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ind w:right="108"/>
              <w:spacing w:after="0" w:line="164" w:lineRule="exact"/>
              <w:rPr>
                <w:sz w:val="20"/>
                <w:szCs w:val="20"/>
                <w:color w:val="auto"/>
              </w:rPr>
            </w:pPr>
            <w:r>
              <w:rPr>
                <w:rFonts w:ascii="Calibri" w:cs="Calibri" w:eastAsia="Calibri" w:hAnsi="Calibri"/>
                <w:sz w:val="14"/>
                <w:szCs w:val="14"/>
                <w:color w:val="auto"/>
              </w:rPr>
              <w:t>26,090</w:t>
            </w:r>
          </w:p>
        </w:tc>
        <w:tc>
          <w:tcPr>
            <w:tcW w:w="1000" w:type="dxa"/>
            <w:vAlign w:val="bottom"/>
            <w:tcBorders>
              <w:bottom w:val="single" w:sz="8" w:color="CCEEFF"/>
            </w:tcBorders>
            <w:shd w:val="clear" w:color="auto" w:fill="CCEEFF"/>
          </w:tcPr>
          <w:p>
            <w:pPr>
              <w:jc w:val="right"/>
              <w:ind w:right="28"/>
              <w:spacing w:after="0" w:line="164" w:lineRule="exact"/>
              <w:rPr>
                <w:sz w:val="20"/>
                <w:szCs w:val="20"/>
                <w:color w:val="auto"/>
              </w:rPr>
            </w:pPr>
            <w:r>
              <w:rPr>
                <w:rFonts w:ascii="Calibri" w:cs="Calibri" w:eastAsia="Calibri" w:hAnsi="Calibri"/>
                <w:sz w:val="14"/>
                <w:szCs w:val="14"/>
                <w:color w:val="auto"/>
              </w:rPr>
              <w:t>2.6 %</w:t>
            </w:r>
          </w:p>
        </w:tc>
        <w:tc>
          <w:tcPr>
            <w:tcW w:w="10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3.7 %</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Calibri" w:cs="Calibri" w:eastAsia="Calibri" w:hAnsi="Calibri"/>
          <w:sz w:val="14"/>
          <w:szCs w:val="14"/>
          <w:color w:val="auto"/>
        </w:rPr>
        <w:t>n/m – Not meaningful</w:t>
      </w:r>
    </w:p>
    <w:p>
      <w:pPr>
        <w:spacing w:after="0" w:line="140" w:lineRule="exact"/>
        <w:rPr>
          <w:sz w:val="20"/>
          <w:szCs w:val="20"/>
          <w:color w:val="auto"/>
        </w:rPr>
      </w:pPr>
    </w:p>
    <w:p>
      <w:pPr>
        <w:ind w:left="480" w:hanging="432"/>
        <w:spacing w:after="0"/>
        <w:tabs>
          <w:tab w:leader="none" w:pos="48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Net revenues include ImmunoGen product revenues afer the acquisiton closing date of February 12, 2024.</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discussion and analysis of AbbVie’s net revenues by product is presented on a constant currency basis.</w:t>
      </w:r>
    </w:p>
    <w:p>
      <w:pPr>
        <w:spacing w:after="0" w:line="15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Global Humira sales decreased 29% for the three months and 32% for the six months ended June 30, 2024. In the United States, Humira sales decreased by 32% for the three months and 36% for the six months ended June 30, 2024 primarily driven by direct biosimilar competton following the loss of exclusivity on January 31, 2023. Internatonally, Humira revenues decreased 13% for the three months and 12% for the six months ended June 30, 2024 primarily driven by the contnued impact of direct biosimilar competton. AbbVie contnues to pursue strategies to maintain broad formulary access of Humira and manage the impact of biosimilar erosion.</w:t>
      </w:r>
    </w:p>
    <w:p>
      <w:pPr>
        <w:spacing w:after="0" w:line="139"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Net revenues for Skyrizi increased 46% for the three months and 47% for the six months ended June 30, 2024 primarily driven by contnued strong market share uptake as well as market growth across all indicatons.</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Net revenues for Rinvoq increased 59% for the three months and 60% for the six months ended June 30, 2024 primarily driven by contnued strong market share uptake as well as market growth across all indicatons.</w:t>
      </w:r>
    </w:p>
    <w:p>
      <w:pPr>
        <w:spacing w:after="0" w:line="15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Net revenues for Imbruvica represent product revenues in the United States and collaboraton revenues outside of the United States related to AbbVie’s 50% share of Imbruvica proft. AbbVie's global Imbruvica revenues decreased 8% for the three months and 6% for the six months ended June 30, 2024 primarily driven by decreased demand and lower market share in the United States.</w:t>
      </w:r>
    </w:p>
    <w:p>
      <w:pPr>
        <w:spacing w:after="0" w:line="13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Net revenues for Venclexta increased 16% for the three and six months ended June 30, 2024 primarily driven by contnued market share uptake and market growth across all indicatons.</w:t>
      </w:r>
    </w:p>
    <w:p>
      <w:pPr>
        <w:sectPr>
          <w:pgSz w:w="11900" w:h="16838" w:orient="portrait"/>
          <w:cols w:equalWidth="0" w:num="1">
            <w:col w:w="11240"/>
          </w:cols>
          <w:pgMar w:left="320" w:top="12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340"/>
        <w:spacing w:after="0"/>
        <w:rPr>
          <w:sz w:val="20"/>
          <w:szCs w:val="20"/>
          <w:color w:val="auto"/>
        </w:rPr>
      </w:pPr>
      <w:r>
        <w:rPr>
          <w:rFonts w:ascii="Calibri" w:cs="Calibri" w:eastAsia="Calibri" w:hAnsi="Calibri"/>
          <w:sz w:val="19"/>
          <w:szCs w:val="19"/>
          <w:i w:val="1"/>
          <w:iCs w:val="1"/>
          <w:color w:val="auto"/>
        </w:rPr>
        <w:t xml:space="preserve">2024 Form 10-Q </w:t>
      </w:r>
      <w:r>
        <w:rPr>
          <w:rFonts w:ascii="Calibri" w:cs="Calibri" w:eastAsia="Calibri" w:hAnsi="Calibri"/>
          <w:sz w:val="19"/>
          <w:szCs w:val="19"/>
          <w:b w:val="1"/>
          <w:bCs w:val="1"/>
          <w:color w:val="auto"/>
        </w:rPr>
        <w:t xml:space="preserve">| </w:t>
      </w:r>
      <w:r>
        <w:rPr>
          <w:sz w:val="1"/>
          <w:szCs w:val="1"/>
          <w:color w:val="auto"/>
        </w:rPr>
        <w:drawing>
          <wp:inline distT="0" distB="0" distL="0" distR="0">
            <wp:extent cx="514350" cy="9461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 cy="94615"/>
                    </a:xfrm>
                    <a:prstGeom prst="rect">
                      <a:avLst/>
                    </a:prstGeom>
                    <a:noFill/>
                    <a:ln>
                      <a:noFill/>
                    </a:ln>
                  </pic:spPr>
                </pic:pic>
              </a:graphicData>
            </a:graphic>
          </wp:inline>
        </w:drawing>
      </w:r>
      <w:r>
        <w:rPr>
          <w:rFonts w:ascii="Calibri" w:cs="Calibri" w:eastAsia="Calibri" w:hAnsi="Calibri"/>
          <w:sz w:val="35"/>
          <w:szCs w:val="35"/>
          <w:b w:val="1"/>
          <w:bCs w:val="1"/>
          <w:i w:val="1"/>
          <w:iCs w:val="1"/>
          <w:color w:val="auto"/>
          <w:vertAlign w:val="superscript"/>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36" w:name="page37"/>
    <w:bookmarkEnd w:id="36"/>
    <w:p>
      <w:pPr>
        <w:ind w:right="180"/>
        <w:spacing w:after="0" w:line="235" w:lineRule="auto"/>
        <w:rPr>
          <w:sz w:val="20"/>
          <w:szCs w:val="20"/>
          <w:color w:val="auto"/>
        </w:rPr>
      </w:pPr>
      <w:r>
        <w:rPr>
          <w:rFonts w:ascii="Calibri" w:cs="Calibri" w:eastAsia="Calibri" w:hAnsi="Calibri"/>
          <w:sz w:val="18"/>
          <w:szCs w:val="18"/>
          <w:color w:val="auto"/>
        </w:rPr>
        <w:t>Net revenues for Elahere were $128 million for the three months and $192 million for the six months ended June 30, 2024 for the period subsequent to the completon of the ImmunoGen acquisiton.</w:t>
      </w:r>
    </w:p>
    <w:p>
      <w:pPr>
        <w:spacing w:after="0" w:line="13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Net revenues for Botox Cosmetc increased 9% for the three months and 3% for the six months ended June 30, 2024 primarily driven by favorable pricing and increased consumer demand. Net revenues for the six months ended June 30, 2024 were also partally ofset by the unfavorable impact of customer inventory destocking in the United States.</w:t>
      </w:r>
    </w:p>
    <w:p>
      <w:pPr>
        <w:spacing w:after="0" w:line="138" w:lineRule="exact"/>
        <w:rPr>
          <w:sz w:val="20"/>
          <w:szCs w:val="20"/>
          <w:color w:val="auto"/>
        </w:rPr>
      </w:pPr>
    </w:p>
    <w:p>
      <w:pPr>
        <w:ind w:right="300"/>
        <w:spacing w:after="0" w:line="226" w:lineRule="auto"/>
        <w:rPr>
          <w:sz w:val="20"/>
          <w:szCs w:val="20"/>
          <w:color w:val="auto"/>
        </w:rPr>
      </w:pPr>
      <w:r>
        <w:rPr>
          <w:rFonts w:ascii="Calibri" w:cs="Calibri" w:eastAsia="Calibri" w:hAnsi="Calibri"/>
          <w:sz w:val="18"/>
          <w:szCs w:val="18"/>
          <w:color w:val="auto"/>
        </w:rPr>
        <w:t>Net revenues for Juvederm Collecton decreased 3% for the three months and 8% for the six months ended June 30, 2024. In the United States, Juvederm Collecton net revenues increased 10% for the three months primarily driven by market share uptake and decreased 1% for the six months ended June 30, 2024 primarily driven by the unfavorable impact of customer inventory destocking partally ofset by market share uptake. Internatonally, Juvederm net revenues decreased 10% for the three months and 12% for the six months ended June 30, 2024 primarily driven by decreased consumer demand across internatonal markets.</w:t>
      </w:r>
    </w:p>
    <w:p>
      <w:pPr>
        <w:spacing w:after="0" w:line="140"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color w:val="auto"/>
        </w:rPr>
        <w:t>Net revenues for Botox Therapeutc increased 10% for the three months and 7% for the six months ended June 30, 2024 primarily driven by contnued market share uptake as well as market growth.</w:t>
      </w:r>
    </w:p>
    <w:p>
      <w:pPr>
        <w:spacing w:after="0" w:line="138"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Net revenues for Vraylar increased 18% for the three months and 20% for the six months ended June 30, 2024 primarily driven by contnued market share uptake as well as market growth.</w:t>
      </w:r>
    </w:p>
    <w:p>
      <w:pPr>
        <w:spacing w:after="0" w:line="15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Net revenues for Ubrelvy increased 18% for the three months and 25% for the six months ended June 30, 2024 primarily driven by contnued market share uptake as well as market growth.</w:t>
      </w:r>
    </w:p>
    <w:p>
      <w:pPr>
        <w:spacing w:after="0" w:line="15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Net revenues for Qulipta increased 56% for the three months and 73% for the six months ended June 30, 2024 primarily driven by contnued strong market share uptake as well as market growth.</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Gross Margin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center"/>
              <w:ind w:right="39"/>
              <w:spacing w:after="0"/>
              <w:rPr>
                <w:sz w:val="20"/>
                <w:szCs w:val="20"/>
                <w:color w:val="auto"/>
              </w:rPr>
            </w:pPr>
            <w:r>
              <w:rPr>
                <w:rFonts w:ascii="Calibri" w:cs="Calibri" w:eastAsia="Calibri" w:hAnsi="Calibri"/>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379"/>
              <w:spacing w:after="0"/>
              <w:rPr>
                <w:sz w:val="20"/>
                <w:szCs w:val="20"/>
                <w:color w:val="auto"/>
              </w:rPr>
            </w:pPr>
            <w:r>
              <w:rPr>
                <w:rFonts w:ascii="Calibri" w:cs="Calibri" w:eastAsia="Calibri" w:hAnsi="Calibri"/>
                <w:sz w:val="14"/>
                <w:szCs w:val="14"/>
                <w:b w:val="1"/>
                <w:bCs w:val="1"/>
                <w:color w:val="auto"/>
              </w:rPr>
              <w:t>June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339"/>
              <w:spacing w:after="0"/>
              <w:rPr>
                <w:sz w:val="20"/>
                <w:szCs w:val="20"/>
                <w:color w:val="auto"/>
              </w:rPr>
            </w:pPr>
            <w:r>
              <w:rPr>
                <w:rFonts w:ascii="Calibri" w:cs="Calibri" w:eastAsia="Calibri" w:hAnsi="Calibri"/>
                <w:sz w:val="14"/>
                <w:szCs w:val="14"/>
                <w:b w:val="1"/>
                <w:bCs w:val="1"/>
                <w:color w:val="auto"/>
              </w:rPr>
              <w:t>June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96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line="164" w:lineRule="exact"/>
              <w:rPr>
                <w:sz w:val="20"/>
                <w:szCs w:val="20"/>
                <w:color w:val="auto"/>
              </w:rPr>
            </w:pPr>
            <w:r>
              <w:rPr>
                <w:rFonts w:ascii="Calibri" w:cs="Calibri" w:eastAsia="Calibri" w:hAnsi="Calibri"/>
                <w:sz w:val="14"/>
                <w:szCs w:val="14"/>
                <w:b w:val="1"/>
                <w:bCs w:val="1"/>
                <w:color w:val="auto"/>
              </w:rPr>
              <w:t>2024</w:t>
            </w:r>
          </w:p>
        </w:tc>
        <w:tc>
          <w:tcPr>
            <w:tcW w:w="320" w:type="dxa"/>
            <w:vAlign w:val="bottom"/>
          </w:tcPr>
          <w:p>
            <w:pPr>
              <w:spacing w:after="0"/>
              <w:rPr>
                <w:sz w:val="14"/>
                <w:szCs w:val="14"/>
                <w:color w:val="auto"/>
              </w:rPr>
            </w:pPr>
          </w:p>
        </w:tc>
        <w:tc>
          <w:tcPr>
            <w:tcW w:w="1120" w:type="dxa"/>
            <w:vAlign w:val="bottom"/>
          </w:tcPr>
          <w:p>
            <w:pPr>
              <w:jc w:val="center"/>
              <w:ind w:right="339"/>
              <w:spacing w:after="0" w:line="164" w:lineRule="exact"/>
              <w:rPr>
                <w:sz w:val="20"/>
                <w:szCs w:val="20"/>
                <w:color w:val="auto"/>
              </w:rPr>
            </w:pPr>
            <w:r>
              <w:rPr>
                <w:rFonts w:ascii="Calibri" w:cs="Calibri" w:eastAsia="Calibri" w:hAnsi="Calibri"/>
                <w:sz w:val="14"/>
                <w:szCs w:val="14"/>
                <w:b w:val="1"/>
                <w:bCs w:val="1"/>
                <w:color w:val="auto"/>
              </w:rPr>
              <w:t>2023</w:t>
            </w:r>
          </w:p>
        </w:tc>
        <w:tc>
          <w:tcPr>
            <w:tcW w:w="1000" w:type="dxa"/>
            <w:vAlign w:val="bottom"/>
          </w:tcPr>
          <w:p>
            <w:pPr>
              <w:ind w:left="160"/>
              <w:spacing w:after="0" w:line="164" w:lineRule="exact"/>
              <w:rPr>
                <w:sz w:val="20"/>
                <w:szCs w:val="20"/>
                <w:color w:val="auto"/>
              </w:rPr>
            </w:pPr>
            <w:r>
              <w:rPr>
                <w:rFonts w:ascii="Calibri" w:cs="Calibri" w:eastAsia="Calibri" w:hAnsi="Calibri"/>
                <w:sz w:val="14"/>
                <w:szCs w:val="14"/>
                <w:b w:val="1"/>
                <w:bCs w:val="1"/>
                <w:color w:val="auto"/>
              </w:rPr>
              <w:t>% change</w:t>
            </w:r>
          </w:p>
        </w:tc>
        <w:tc>
          <w:tcPr>
            <w:tcW w:w="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96"/>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1100" w:type="dxa"/>
            <w:vAlign w:val="bottom"/>
          </w:tcPr>
          <w:p>
            <w:pPr>
              <w:jc w:val="center"/>
              <w:ind w:right="299"/>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1040" w:type="dxa"/>
            <w:vAlign w:val="bottom"/>
          </w:tcPr>
          <w:p>
            <w:pPr>
              <w:jc w:val="right"/>
              <w:ind w:right="199"/>
              <w:spacing w:after="0" w:line="164"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Gross margin</w:t>
            </w: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CEEFF"/>
          </w:tcPr>
          <w:p>
            <w:pPr>
              <w:jc w:val="right"/>
              <w:ind w:right="36"/>
              <w:spacing w:after="0" w:line="215" w:lineRule="exact"/>
              <w:rPr>
                <w:sz w:val="20"/>
                <w:szCs w:val="20"/>
                <w:color w:val="auto"/>
              </w:rPr>
            </w:pPr>
            <w:r>
              <w:rPr>
                <w:rFonts w:ascii="Calibri" w:cs="Calibri" w:eastAsia="Calibri" w:hAnsi="Calibri"/>
                <w:sz w:val="18"/>
                <w:szCs w:val="18"/>
                <w:color w:val="auto"/>
              </w:rPr>
              <w:t>10,260</w:t>
            </w:r>
          </w:p>
        </w:tc>
        <w:tc>
          <w:tcPr>
            <w:tcW w:w="32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259"/>
              <w:spacing w:after="0" w:line="215" w:lineRule="exact"/>
              <w:rPr>
                <w:sz w:val="20"/>
                <w:szCs w:val="20"/>
                <w:color w:val="auto"/>
              </w:rPr>
            </w:pPr>
            <w:r>
              <w:rPr>
                <w:rFonts w:ascii="Calibri" w:cs="Calibri" w:eastAsia="Calibri" w:hAnsi="Calibri"/>
                <w:sz w:val="18"/>
                <w:szCs w:val="18"/>
                <w:color w:val="auto"/>
              </w:rPr>
              <w:t>9,625</w:t>
            </w:r>
          </w:p>
        </w:tc>
        <w:tc>
          <w:tcPr>
            <w:tcW w:w="1380" w:type="dxa"/>
            <w:vAlign w:val="bottom"/>
            <w:gridSpan w:val="3"/>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7 %  $</w:t>
            </w:r>
          </w:p>
        </w:tc>
        <w:tc>
          <w:tcPr>
            <w:tcW w:w="920" w:type="dxa"/>
            <w:vAlign w:val="bottom"/>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18,476</w:t>
            </w:r>
          </w:p>
        </w:tc>
        <w:tc>
          <w:tcPr>
            <w:tcW w:w="26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ind w:right="219"/>
              <w:spacing w:after="0" w:line="215" w:lineRule="exact"/>
              <w:rPr>
                <w:sz w:val="20"/>
                <w:szCs w:val="20"/>
                <w:color w:val="auto"/>
              </w:rPr>
            </w:pPr>
            <w:r>
              <w:rPr>
                <w:rFonts w:ascii="Calibri" w:cs="Calibri" w:eastAsia="Calibri" w:hAnsi="Calibri"/>
                <w:sz w:val="18"/>
                <w:szCs w:val="18"/>
                <w:color w:val="auto"/>
              </w:rPr>
              <w:t>17,864</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as a % of net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71 %</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9"/>
              <w:spacing w:after="0" w:line="215" w:lineRule="exact"/>
              <w:rPr>
                <w:sz w:val="20"/>
                <w:szCs w:val="20"/>
                <w:color w:val="auto"/>
              </w:rPr>
            </w:pPr>
            <w:r>
              <w:rPr>
                <w:rFonts w:ascii="Calibri" w:cs="Calibri" w:eastAsia="Calibri" w:hAnsi="Calibri"/>
                <w:sz w:val="18"/>
                <w:szCs w:val="18"/>
                <w:color w:val="auto"/>
              </w:rPr>
              <w:t>69 %</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69 %</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9"/>
              <w:spacing w:after="0" w:line="215" w:lineRule="exact"/>
              <w:rPr>
                <w:sz w:val="20"/>
                <w:szCs w:val="20"/>
                <w:color w:val="auto"/>
              </w:rPr>
            </w:pPr>
            <w:r>
              <w:rPr>
                <w:rFonts w:ascii="Calibri" w:cs="Calibri" w:eastAsia="Calibri" w:hAnsi="Calibri"/>
                <w:sz w:val="18"/>
                <w:szCs w:val="18"/>
                <w:color w:val="auto"/>
              </w:rPr>
              <w:t>68 %</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720"/>
        <w:spacing w:after="0" w:line="235" w:lineRule="auto"/>
        <w:rPr>
          <w:sz w:val="20"/>
          <w:szCs w:val="20"/>
          <w:color w:val="auto"/>
        </w:rPr>
      </w:pPr>
      <w:r>
        <w:rPr>
          <w:rFonts w:ascii="Calibri" w:cs="Calibri" w:eastAsia="Calibri" w:hAnsi="Calibri"/>
          <w:sz w:val="18"/>
          <w:szCs w:val="18"/>
          <w:color w:val="auto"/>
        </w:rPr>
        <w:t>Gross margin as a percentage of net revenues increased for the three and six months ended June 30, 2024 compared to the prior year. Gross margin percentage for the three and six months ended June 30, 2024 was favorably impacted by lower amortzaton of intangibles.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Selling, General and Administratve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359"/>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319"/>
              <w:spacing w:after="0"/>
              <w:rPr>
                <w:sz w:val="20"/>
                <w:szCs w:val="20"/>
                <w:color w:val="auto"/>
              </w:rPr>
            </w:pPr>
            <w:r>
              <w:rPr>
                <w:rFonts w:ascii="Calibri" w:cs="Calibri" w:eastAsia="Calibri" w:hAnsi="Calibri"/>
                <w:sz w:val="14"/>
                <w:szCs w:val="14"/>
                <w:b w:val="1"/>
                <w:bCs w:val="1"/>
                <w:color w:val="auto"/>
              </w:rPr>
              <w:t>June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6"/>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120" w:type="dxa"/>
            <w:vAlign w:val="bottom"/>
          </w:tcPr>
          <w:p>
            <w:pPr>
              <w:jc w:val="center"/>
              <w:ind w:right="339"/>
              <w:spacing w:after="0" w:line="164" w:lineRule="exact"/>
              <w:rPr>
                <w:sz w:val="20"/>
                <w:szCs w:val="20"/>
                <w:color w:val="auto"/>
              </w:rPr>
            </w:pPr>
            <w:r>
              <w:rPr>
                <w:rFonts w:ascii="Calibri" w:cs="Calibri" w:eastAsia="Calibri" w:hAnsi="Calibri"/>
                <w:sz w:val="14"/>
                <w:szCs w:val="14"/>
                <w:b w:val="1"/>
                <w:bCs w:val="1"/>
                <w:color w:val="auto"/>
              </w:rPr>
              <w:t>2023</w:t>
            </w:r>
          </w:p>
        </w:tc>
        <w:tc>
          <w:tcPr>
            <w:tcW w:w="980" w:type="dxa"/>
            <w:vAlign w:val="bottom"/>
          </w:tcPr>
          <w:p>
            <w:pPr>
              <w:ind w:left="160"/>
              <w:spacing w:after="0" w:line="164" w:lineRule="exact"/>
              <w:rPr>
                <w:sz w:val="20"/>
                <w:szCs w:val="20"/>
                <w:color w:val="auto"/>
              </w:rPr>
            </w:pPr>
            <w:r>
              <w:rPr>
                <w:rFonts w:ascii="Calibri" w:cs="Calibri" w:eastAsia="Calibri" w:hAnsi="Calibri"/>
                <w:sz w:val="14"/>
                <w:szCs w:val="14"/>
                <w:b w:val="1"/>
                <w:bCs w:val="1"/>
                <w:color w:val="auto"/>
              </w:rPr>
              <w:t>% change</w:t>
            </w:r>
          </w:p>
        </w:tc>
        <w:tc>
          <w:tcPr>
            <w:tcW w:w="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6"/>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1080" w:type="dxa"/>
            <w:vAlign w:val="bottom"/>
          </w:tcPr>
          <w:p>
            <w:pPr>
              <w:jc w:val="center"/>
              <w:ind w:right="299"/>
              <w:spacing w:after="0" w:line="164" w:lineRule="exact"/>
              <w:rPr>
                <w:sz w:val="20"/>
                <w:szCs w:val="20"/>
                <w:color w:val="auto"/>
              </w:rPr>
            </w:pPr>
            <w:r>
              <w:rPr>
                <w:rFonts w:ascii="Calibri" w:cs="Calibri" w:eastAsia="Calibri" w:hAnsi="Calibri"/>
                <w:sz w:val="14"/>
                <w:szCs w:val="14"/>
                <w:b w:val="1"/>
                <w:bCs w:val="1"/>
                <w:color w:val="auto"/>
              </w:rPr>
              <w:t>2023</w:t>
            </w:r>
          </w:p>
        </w:tc>
        <w:tc>
          <w:tcPr>
            <w:tcW w:w="1040" w:type="dxa"/>
            <w:vAlign w:val="bottom"/>
          </w:tcPr>
          <w:p>
            <w:pPr>
              <w:jc w:val="right"/>
              <w:ind w:right="199"/>
              <w:spacing w:after="0" w:line="164"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ind w:right="56"/>
              <w:spacing w:after="0" w:line="215" w:lineRule="exact"/>
              <w:rPr>
                <w:sz w:val="20"/>
                <w:szCs w:val="20"/>
                <w:color w:val="auto"/>
              </w:rPr>
            </w:pPr>
            <w:r>
              <w:rPr>
                <w:rFonts w:ascii="Calibri" w:cs="Calibri" w:eastAsia="Calibri" w:hAnsi="Calibri"/>
                <w:sz w:val="18"/>
                <w:szCs w:val="18"/>
                <w:color w:val="auto"/>
              </w:rPr>
              <w:t>3,377</w:t>
            </w:r>
          </w:p>
        </w:tc>
        <w:tc>
          <w:tcPr>
            <w:tcW w:w="30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259"/>
              <w:spacing w:after="0" w:line="215" w:lineRule="exact"/>
              <w:rPr>
                <w:sz w:val="20"/>
                <w:szCs w:val="20"/>
                <w:color w:val="auto"/>
              </w:rPr>
            </w:pPr>
            <w:r>
              <w:rPr>
                <w:rFonts w:ascii="Calibri" w:cs="Calibri" w:eastAsia="Calibri" w:hAnsi="Calibri"/>
                <w:sz w:val="18"/>
                <w:szCs w:val="18"/>
                <w:color w:val="auto"/>
              </w:rPr>
              <w:t>3,268</w:t>
            </w:r>
          </w:p>
        </w:tc>
        <w:tc>
          <w:tcPr>
            <w:tcW w:w="1360" w:type="dxa"/>
            <w:vAlign w:val="bottom"/>
            <w:gridSpan w:val="3"/>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3 %  $</w:t>
            </w:r>
          </w:p>
        </w:tc>
        <w:tc>
          <w:tcPr>
            <w:tcW w:w="920" w:type="dxa"/>
            <w:vAlign w:val="bottom"/>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6,692</w:t>
            </w:r>
          </w:p>
        </w:tc>
        <w:tc>
          <w:tcPr>
            <w:tcW w:w="26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ind w:right="219"/>
              <w:spacing w:after="0" w:line="215" w:lineRule="exact"/>
              <w:rPr>
                <w:sz w:val="20"/>
                <w:szCs w:val="20"/>
                <w:color w:val="auto"/>
              </w:rPr>
            </w:pPr>
            <w:r>
              <w:rPr>
                <w:rFonts w:ascii="Calibri" w:cs="Calibri" w:eastAsia="Calibri" w:hAnsi="Calibri"/>
                <w:sz w:val="18"/>
                <w:szCs w:val="18"/>
                <w:color w:val="auto"/>
              </w:rPr>
              <w:t>6,307</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as a % of net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23 %</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9"/>
              <w:spacing w:after="0" w:line="215" w:lineRule="exact"/>
              <w:rPr>
                <w:sz w:val="20"/>
                <w:szCs w:val="20"/>
                <w:color w:val="auto"/>
              </w:rPr>
            </w:pPr>
            <w:r>
              <w:rPr>
                <w:rFonts w:ascii="Calibri" w:cs="Calibri" w:eastAsia="Calibri" w:hAnsi="Calibri"/>
                <w:sz w:val="18"/>
                <w:szCs w:val="18"/>
                <w:color w:val="auto"/>
              </w:rPr>
              <w:t>24 %</w:t>
            </w: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25 %</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line="215" w:lineRule="exact"/>
              <w:rPr>
                <w:sz w:val="20"/>
                <w:szCs w:val="20"/>
                <w:color w:val="auto"/>
              </w:rPr>
            </w:pPr>
            <w:r>
              <w:rPr>
                <w:rFonts w:ascii="Calibri" w:cs="Calibri" w:eastAsia="Calibri" w:hAnsi="Calibri"/>
                <w:sz w:val="18"/>
                <w:szCs w:val="18"/>
                <w:color w:val="auto"/>
              </w:rPr>
              <w:t>24 %</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Selling, general and administratve (SG&amp;A) expenses as a percentage of net revenues decreased for the three months and increased for the six months ended June 30, 2024 compared to the prior year. SG&amp;A expense percentage for the three months ended June 30, 2024 was favorably impacted by leverage from revenue growth. SG&amp;A expense percentage for the six months ended June 30, 2024 was unfavorably impacted by acquisiton and integraton costs incurred in connecton with the ImmunoGen acquisiton including cash-setled, post-closing expense for ImmunoGen employee incentve awards. See Note 4 to the condensed consolidated fnancial statements for additonal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488315</wp:posOffset>
            </wp:positionV>
            <wp:extent cx="51435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35</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b w:val="1"/>
          <w:bCs w:val="1"/>
          <w:color w:val="444867"/>
        </w:rPr>
        <w:t>Research and Development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tcPr>
          <w:p>
            <w:pPr>
              <w:jc w:val="center"/>
              <w:ind w:right="59"/>
              <w:spacing w:after="0"/>
              <w:rPr>
                <w:sz w:val="20"/>
                <w:szCs w:val="20"/>
                <w:color w:val="auto"/>
              </w:rPr>
            </w:pPr>
            <w:r>
              <w:rPr>
                <w:rFonts w:ascii="Calibri" w:cs="Calibri" w:eastAsia="Calibri" w:hAnsi="Calibri"/>
                <w:sz w:val="14"/>
                <w:szCs w:val="14"/>
                <w:b w:val="1"/>
                <w:bCs w:val="1"/>
                <w:color w:val="auto"/>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359"/>
              <w:spacing w:after="0"/>
              <w:rPr>
                <w:sz w:val="20"/>
                <w:szCs w:val="20"/>
                <w:color w:val="auto"/>
              </w:rPr>
            </w:pPr>
            <w:r>
              <w:rPr>
                <w:rFonts w:ascii="Calibri" w:cs="Calibri" w:eastAsia="Calibri" w:hAnsi="Calibri"/>
                <w:sz w:val="14"/>
                <w:szCs w:val="14"/>
                <w:b w:val="1"/>
                <w:bCs w:val="1"/>
                <w:color w:val="auto"/>
              </w:rPr>
              <w:t>June 30,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319"/>
              <w:spacing w:after="0"/>
              <w:rPr>
                <w:sz w:val="20"/>
                <w:szCs w:val="20"/>
                <w:color w:val="auto"/>
              </w:rPr>
            </w:pPr>
            <w:r>
              <w:rPr>
                <w:rFonts w:ascii="Calibri" w:cs="Calibri" w:eastAsia="Calibri" w:hAnsi="Calibri"/>
                <w:sz w:val="14"/>
                <w:szCs w:val="14"/>
                <w:b w:val="1"/>
                <w:bCs w:val="1"/>
                <w:color w:val="auto"/>
              </w:rPr>
              <w:t>June 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0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6"/>
              <w:spacing w:after="0" w:line="164" w:lineRule="exact"/>
              <w:rPr>
                <w:sz w:val="20"/>
                <w:szCs w:val="20"/>
                <w:color w:val="auto"/>
              </w:rPr>
            </w:pPr>
            <w:r>
              <w:rPr>
                <w:rFonts w:ascii="Calibri" w:cs="Calibri" w:eastAsia="Calibri" w:hAnsi="Calibri"/>
                <w:sz w:val="14"/>
                <w:szCs w:val="14"/>
                <w:b w:val="1"/>
                <w:bCs w:val="1"/>
                <w:color w:val="auto"/>
              </w:rPr>
              <w:t>2024</w:t>
            </w:r>
          </w:p>
        </w:tc>
        <w:tc>
          <w:tcPr>
            <w:tcW w:w="300" w:type="dxa"/>
            <w:vAlign w:val="bottom"/>
          </w:tcPr>
          <w:p>
            <w:pPr>
              <w:spacing w:after="0"/>
              <w:rPr>
                <w:sz w:val="14"/>
                <w:szCs w:val="14"/>
                <w:color w:val="auto"/>
              </w:rPr>
            </w:pPr>
          </w:p>
        </w:tc>
        <w:tc>
          <w:tcPr>
            <w:tcW w:w="1120" w:type="dxa"/>
            <w:vAlign w:val="bottom"/>
          </w:tcPr>
          <w:p>
            <w:pPr>
              <w:jc w:val="center"/>
              <w:ind w:right="359"/>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980" w:type="dxa"/>
            <w:vAlign w:val="bottom"/>
          </w:tcPr>
          <w:p>
            <w:pPr>
              <w:ind w:left="160"/>
              <w:spacing w:after="0" w:line="164" w:lineRule="exact"/>
              <w:rPr>
                <w:sz w:val="20"/>
                <w:szCs w:val="20"/>
                <w:color w:val="auto"/>
              </w:rPr>
            </w:pPr>
            <w:r>
              <w:rPr>
                <w:rFonts w:ascii="Calibri" w:cs="Calibri" w:eastAsia="Calibri" w:hAnsi="Calibri"/>
                <w:sz w:val="14"/>
                <w:szCs w:val="14"/>
                <w:b w:val="1"/>
                <w:bCs w:val="1"/>
                <w:color w:val="auto"/>
              </w:rPr>
              <w:t>% change</w:t>
            </w:r>
          </w:p>
        </w:tc>
        <w:tc>
          <w:tcPr>
            <w:tcW w:w="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6"/>
              <w:spacing w:after="0" w:line="164"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1080" w:type="dxa"/>
            <w:vAlign w:val="bottom"/>
          </w:tcPr>
          <w:p>
            <w:pPr>
              <w:jc w:val="center"/>
              <w:ind w:right="299"/>
              <w:spacing w:after="0" w:line="164" w:lineRule="exact"/>
              <w:rPr>
                <w:sz w:val="20"/>
                <w:szCs w:val="20"/>
                <w:color w:val="auto"/>
              </w:rPr>
            </w:pPr>
            <w:r>
              <w:rPr>
                <w:rFonts w:ascii="Calibri" w:cs="Calibri" w:eastAsia="Calibri" w:hAnsi="Calibri"/>
                <w:sz w:val="14"/>
                <w:szCs w:val="14"/>
                <w:b w:val="1"/>
                <w:bCs w:val="1"/>
                <w:color w:val="auto"/>
              </w:rPr>
              <w:t>2023</w:t>
            </w:r>
          </w:p>
        </w:tc>
        <w:tc>
          <w:tcPr>
            <w:tcW w:w="1040" w:type="dxa"/>
            <w:vAlign w:val="bottom"/>
          </w:tcPr>
          <w:p>
            <w:pPr>
              <w:jc w:val="right"/>
              <w:ind w:right="199"/>
              <w:spacing w:after="0" w:line="164"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Research and development</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ind w:right="116"/>
              <w:spacing w:after="0" w:line="215" w:lineRule="exact"/>
              <w:rPr>
                <w:sz w:val="20"/>
                <w:szCs w:val="20"/>
                <w:color w:val="auto"/>
              </w:rPr>
            </w:pPr>
            <w:r>
              <w:rPr>
                <w:rFonts w:ascii="Calibri" w:cs="Calibri" w:eastAsia="Calibri" w:hAnsi="Calibri"/>
                <w:sz w:val="18"/>
                <w:szCs w:val="18"/>
                <w:color w:val="auto"/>
              </w:rPr>
              <w:t>1,948</w:t>
            </w:r>
          </w:p>
        </w:tc>
        <w:tc>
          <w:tcPr>
            <w:tcW w:w="30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EFF"/>
          </w:tcPr>
          <w:p>
            <w:pPr>
              <w:jc w:val="right"/>
              <w:ind w:right="339"/>
              <w:spacing w:after="0" w:line="215" w:lineRule="exact"/>
              <w:rPr>
                <w:sz w:val="20"/>
                <w:szCs w:val="20"/>
                <w:color w:val="auto"/>
              </w:rPr>
            </w:pPr>
            <w:r>
              <w:rPr>
                <w:rFonts w:ascii="Calibri" w:cs="Calibri" w:eastAsia="Calibri" w:hAnsi="Calibri"/>
                <w:sz w:val="18"/>
                <w:szCs w:val="18"/>
                <w:color w:val="auto"/>
              </w:rPr>
              <w:t>1,733</w:t>
            </w:r>
          </w:p>
        </w:tc>
        <w:tc>
          <w:tcPr>
            <w:tcW w:w="1360" w:type="dxa"/>
            <w:vAlign w:val="bottom"/>
            <w:gridSpan w:val="3"/>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12 %  $</w:t>
            </w:r>
          </w:p>
        </w:tc>
        <w:tc>
          <w:tcPr>
            <w:tcW w:w="920" w:type="dxa"/>
            <w:vAlign w:val="bottom"/>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3,887</w:t>
            </w:r>
          </w:p>
        </w:tc>
        <w:tc>
          <w:tcPr>
            <w:tcW w:w="260" w:type="dxa"/>
            <w:vAlign w:val="bottom"/>
            <w:shd w:val="clear" w:color="auto" w:fill="CCEEFF"/>
          </w:tcPr>
          <w:p>
            <w:pPr>
              <w:jc w:val="right"/>
              <w:ind w:right="19"/>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ind w:right="219"/>
              <w:spacing w:after="0" w:line="215" w:lineRule="exact"/>
              <w:rPr>
                <w:sz w:val="20"/>
                <w:szCs w:val="20"/>
                <w:color w:val="auto"/>
              </w:rPr>
            </w:pPr>
            <w:r>
              <w:rPr>
                <w:rFonts w:ascii="Calibri" w:cs="Calibri" w:eastAsia="Calibri" w:hAnsi="Calibri"/>
                <w:sz w:val="18"/>
                <w:szCs w:val="18"/>
                <w:color w:val="auto"/>
              </w:rPr>
              <w:t>4,025</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as a % of net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13 %</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line="215" w:lineRule="exact"/>
              <w:rPr>
                <w:sz w:val="20"/>
                <w:szCs w:val="20"/>
                <w:color w:val="auto"/>
              </w:rPr>
            </w:pPr>
            <w:r>
              <w:rPr>
                <w:rFonts w:ascii="Calibri" w:cs="Calibri" w:eastAsia="Calibri" w:hAnsi="Calibri"/>
                <w:sz w:val="18"/>
                <w:szCs w:val="18"/>
                <w:color w:val="auto"/>
              </w:rPr>
              <w:t>12 %</w:t>
            </w: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15 %</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line="215" w:lineRule="exact"/>
              <w:rPr>
                <w:sz w:val="20"/>
                <w:szCs w:val="20"/>
                <w:color w:val="auto"/>
              </w:rPr>
            </w:pPr>
            <w:r>
              <w:rPr>
                <w:rFonts w:ascii="Calibri" w:cs="Calibri" w:eastAsia="Calibri" w:hAnsi="Calibri"/>
                <w:sz w:val="18"/>
                <w:szCs w:val="18"/>
                <w:color w:val="auto"/>
              </w:rPr>
              <w:t>15 %</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Research and development (R&amp;D) expenses as a percentage of net revenues increased for the three months and were fat for the six months ended June 30, 2024 compared to the prior year. R&amp;D expense percentage for the three months ended June 30, 2024 was unfavorably impacted by increased funding to support all stages of the company’s pipeline assets. R&amp;D expense percentage for the six months ended June 30, 2024 was favorably impacted by an intangible asset impairment charge of $630 million incurred during the six months ended June 30, 2023 ofset by increased funding to support all stages of the company’s pipeline assets as well as acquisiton and integraton costs incurred in connecton with the ImmunoGen acquisiton including cash-setled, post-closing expense for ImmunoGen employee incentve awards. See Note 4 to the condensed consolidated fnancial statements for additonal informaton.</w:t>
      </w:r>
    </w:p>
    <w:p>
      <w:pPr>
        <w:spacing w:after="0" w:line="13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Acquired IPR&amp;D and Milestones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20" w:type="dxa"/>
            <w:vAlign w:val="bottom"/>
            <w:gridSpan w:val="3"/>
          </w:tcPr>
          <w:p>
            <w:pPr>
              <w:jc w:val="right"/>
              <w:ind w:right="36"/>
              <w:spacing w:after="0"/>
              <w:rPr>
                <w:sz w:val="20"/>
                <w:szCs w:val="20"/>
                <w:color w:val="auto"/>
              </w:rPr>
            </w:pPr>
            <w:r>
              <w:rPr>
                <w:rFonts w:ascii="Calibri" w:cs="Calibri" w:eastAsia="Calibri" w:hAnsi="Calibri"/>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right"/>
              <w:ind w:right="495"/>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ind w:right="416"/>
              <w:spacing w:after="0"/>
              <w:rPr>
                <w:sz w:val="20"/>
                <w:szCs w:val="20"/>
                <w:color w:val="auto"/>
              </w:rPr>
            </w:pPr>
            <w:r>
              <w:rPr>
                <w:rFonts w:ascii="Calibri" w:cs="Calibri" w:eastAsia="Calibri" w:hAnsi="Calibri"/>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0"/>
              <w:spacing w:after="0"/>
              <w:rPr>
                <w:sz w:val="20"/>
                <w:szCs w:val="20"/>
                <w:color w:val="auto"/>
              </w:rPr>
            </w:pPr>
            <w:r>
              <w:rPr>
                <w:rFonts w:ascii="Calibri" w:cs="Calibri" w:eastAsia="Calibri" w:hAnsi="Calibri"/>
                <w:sz w:val="14"/>
                <w:szCs w:val="14"/>
                <w:b w:val="1"/>
                <w:bCs w:val="1"/>
                <w:color w:val="auto"/>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7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(dollars in millions)</w:t>
            </w:r>
          </w:p>
        </w:tc>
        <w:tc>
          <w:tcPr>
            <w:tcW w:w="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38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9"/>
              <w:spacing w:after="0" w:line="164" w:lineRule="exact"/>
              <w:rPr>
                <w:sz w:val="20"/>
                <w:szCs w:val="20"/>
                <w:color w:val="auto"/>
              </w:rPr>
            </w:pPr>
            <w:r>
              <w:rPr>
                <w:rFonts w:ascii="Calibri" w:cs="Calibri" w:eastAsia="Calibri" w:hAnsi="Calibri"/>
                <w:sz w:val="14"/>
                <w:szCs w:val="14"/>
                <w:b w:val="1"/>
                <w:bCs w:val="1"/>
                <w:color w:val="auto"/>
              </w:rPr>
              <w:t>2024</w:t>
            </w:r>
          </w:p>
        </w:tc>
        <w:tc>
          <w:tcPr>
            <w:tcW w:w="380" w:type="dxa"/>
            <w:vAlign w:val="bottom"/>
          </w:tcPr>
          <w:p>
            <w:pPr>
              <w:spacing w:after="0"/>
              <w:rPr>
                <w:sz w:val="14"/>
                <w:szCs w:val="14"/>
                <w:color w:val="auto"/>
              </w:rPr>
            </w:pPr>
          </w:p>
        </w:tc>
        <w:tc>
          <w:tcPr>
            <w:tcW w:w="760" w:type="dxa"/>
            <w:vAlign w:val="bottom"/>
          </w:tcPr>
          <w:p>
            <w:pPr>
              <w:jc w:val="right"/>
              <w:ind w:right="29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Upfront charges</w:t>
            </w:r>
          </w:p>
        </w:tc>
        <w:tc>
          <w:tcPr>
            <w:tcW w:w="680" w:type="dxa"/>
            <w:vAlign w:val="bottom"/>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927</w:t>
            </w:r>
          </w:p>
        </w:tc>
        <w:tc>
          <w:tcPr>
            <w:tcW w:w="760" w:type="dxa"/>
            <w:vAlign w:val="bottom"/>
            <w:shd w:val="clear" w:color="auto" w:fill="CCEEFF"/>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1,006</w:t>
            </w:r>
          </w:p>
        </w:tc>
        <w:tc>
          <w:tcPr>
            <w:tcW w:w="38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352</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Development milestones</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rPr>
              <w:t>10</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Acquired IPR&amp;D and milestones</w:t>
            </w:r>
          </w:p>
        </w:tc>
        <w:tc>
          <w:tcPr>
            <w:tcW w:w="680" w:type="dxa"/>
            <w:vAlign w:val="bottom"/>
            <w:tcBorders>
              <w:bottom w:val="single" w:sz="8" w:color="auto"/>
            </w:tcBorders>
            <w:shd w:val="clear" w:color="auto" w:fill="CCEEFF"/>
          </w:tcPr>
          <w:p>
            <w:pPr>
              <w:jc w:val="right"/>
              <w:ind w:right="499"/>
              <w:spacing w:after="0" w:line="215"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auto"/>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4"/>
              </w:rPr>
              <w:t>937</w:t>
            </w:r>
          </w:p>
        </w:tc>
        <w:tc>
          <w:tcPr>
            <w:tcW w:w="760" w:type="dxa"/>
            <w:vAlign w:val="bottom"/>
            <w:tcBorders>
              <w:bottom w:val="single" w:sz="8" w:color="auto"/>
            </w:tcBorders>
            <w:shd w:val="clear" w:color="auto" w:fill="CCEEFF"/>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1,101</w:t>
            </w:r>
          </w:p>
        </w:tc>
        <w:tc>
          <w:tcPr>
            <w:tcW w:w="3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Acquired IPR&amp;D and milestones expense for the three and six months ended June 30, 2024 included a charge related to the upfront payment of $250 million to acquire Celsius Therapeutcs. See Note 4 to the condensed consolidated fnancial statements for additonal informaton.</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Other Non-Operatng Expenses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120" w:type="dxa"/>
            <w:vAlign w:val="bottom"/>
            <w:gridSpan w:val="3"/>
          </w:tcPr>
          <w:p>
            <w:pPr>
              <w:jc w:val="right"/>
              <w:ind w:right="115"/>
              <w:spacing w:after="0"/>
              <w:rPr>
                <w:sz w:val="20"/>
                <w:szCs w:val="20"/>
                <w:color w:val="auto"/>
              </w:rPr>
            </w:pPr>
            <w:r>
              <w:rPr>
                <w:rFonts w:ascii="Calibri" w:cs="Calibri" w:eastAsia="Calibri" w:hAnsi="Calibri"/>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195"/>
              <w:spacing w:after="0"/>
              <w:rPr>
                <w:sz w:val="20"/>
                <w:szCs w:val="20"/>
                <w:color w:val="auto"/>
              </w:rPr>
            </w:pPr>
            <w:r>
              <w:rPr>
                <w:rFonts w:ascii="Calibri" w:cs="Calibri" w:eastAsia="Calibri" w:hAnsi="Calibri"/>
                <w:sz w:val="14"/>
                <w:szCs w:val="14"/>
                <w:b w:val="1"/>
                <w:bCs w:val="1"/>
                <w:color w:val="auto"/>
              </w:rPr>
              <w:t>Six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495"/>
              <w:spacing w:after="0"/>
              <w:rPr>
                <w:sz w:val="20"/>
                <w:szCs w:val="20"/>
                <w:color w:val="auto"/>
              </w:rPr>
            </w:pPr>
            <w:r>
              <w:rPr>
                <w:rFonts w:ascii="Calibri" w:cs="Calibri" w:eastAsia="Calibri" w:hAnsi="Calibri"/>
                <w:sz w:val="14"/>
                <w:szCs w:val="14"/>
                <w:b w:val="1"/>
                <w:bCs w:val="1"/>
                <w:color w:val="auto"/>
              </w:rPr>
              <w:t>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ind w:right="495"/>
              <w:spacing w:after="0"/>
              <w:rPr>
                <w:sz w:val="20"/>
                <w:szCs w:val="20"/>
                <w:color w:val="auto"/>
              </w:rPr>
            </w:pPr>
            <w:r>
              <w:rPr>
                <w:rFonts w:ascii="Calibri" w:cs="Calibri" w:eastAsia="Calibri" w:hAnsi="Calibri"/>
                <w:sz w:val="14"/>
                <w:szCs w:val="14"/>
                <w:b w:val="1"/>
                <w:bCs w:val="1"/>
                <w:color w:val="auto"/>
              </w:rPr>
              <w:t>June 30,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940" w:type="dxa"/>
            <w:vAlign w:val="bottom"/>
            <w:vMerge w:val="continue"/>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5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2023</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w:t>
            </w:r>
          </w:p>
        </w:tc>
        <w:tc>
          <w:tcPr>
            <w:tcW w:w="760" w:type="dxa"/>
            <w:vAlign w:val="bottom"/>
            <w:shd w:val="clear" w:color="auto" w:fill="CCEEFF"/>
          </w:tcPr>
          <w:p>
            <w:pPr>
              <w:jc w:val="right"/>
              <w:ind w:right="577"/>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726</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w w:val="97"/>
              </w:rPr>
              <w:t>1,386</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7"/>
              </w:rPr>
              <w:t>1,105</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(220)</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(427)</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(197)</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760" w:type="dxa"/>
            <w:vAlign w:val="bottom"/>
            <w:tcBorders>
              <w:bottom w:val="single" w:sz="8" w:color="auto"/>
            </w:tcBorders>
            <w:shd w:val="clear" w:color="auto" w:fill="CCEEFF"/>
          </w:tcPr>
          <w:p>
            <w:pPr>
              <w:jc w:val="right"/>
              <w:ind w:right="577"/>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506</w:t>
            </w:r>
          </w:p>
        </w:tc>
        <w:tc>
          <w:tcPr>
            <w:tcW w:w="840" w:type="dxa"/>
            <w:vAlign w:val="bottom"/>
            <w:tcBorders>
              <w:bottom w:val="single" w:sz="8" w:color="auto"/>
            </w:tcBorders>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454</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959</w:t>
            </w:r>
          </w:p>
        </w:tc>
        <w:tc>
          <w:tcPr>
            <w:tcW w:w="840" w:type="dxa"/>
            <w:vAlign w:val="bottom"/>
            <w:tcBorders>
              <w:bottom w:val="single" w:sz="8" w:color="auto"/>
            </w:tcBorders>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908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foreign exchange loss</w:t>
            </w:r>
          </w:p>
        </w:tc>
        <w:tc>
          <w:tcPr>
            <w:tcW w:w="760" w:type="dxa"/>
            <w:vAlign w:val="bottom"/>
            <w:shd w:val="clear" w:color="auto" w:fill="CCEEFF"/>
          </w:tcPr>
          <w:p>
            <w:pPr>
              <w:jc w:val="right"/>
              <w:ind w:right="577"/>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3"/>
              <w:spacing w:after="0" w:line="215" w:lineRule="exact"/>
              <w:rPr>
                <w:sz w:val="20"/>
                <w:szCs w:val="20"/>
                <w:color w:val="auto"/>
              </w:rPr>
            </w:pPr>
            <w:r>
              <w:rPr>
                <w:rFonts w:ascii="Calibri" w:cs="Calibri" w:eastAsia="Calibri" w:hAnsi="Calibri"/>
                <w:sz w:val="18"/>
                <w:szCs w:val="18"/>
                <w:color w:val="auto"/>
              </w:rPr>
              <w:t>1</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ind w:right="15"/>
              <w:spacing w:after="0" w:line="215" w:lineRule="exact"/>
              <w:rPr>
                <w:sz w:val="20"/>
                <w:szCs w:val="20"/>
                <w:color w:val="auto"/>
              </w:rPr>
            </w:pPr>
            <w:r>
              <w:rPr>
                <w:rFonts w:ascii="Calibri" w:cs="Calibri" w:eastAsia="Calibri" w:hAnsi="Calibri"/>
                <w:sz w:val="18"/>
                <w:szCs w:val="18"/>
                <w:color w:val="auto"/>
              </w:rPr>
              <w:t>5</w:t>
            </w:r>
          </w:p>
        </w:tc>
        <w:tc>
          <w:tcPr>
            <w:tcW w:w="840" w:type="dxa"/>
            <w:vAlign w:val="bottom"/>
            <w:shd w:val="clear" w:color="auto" w:fill="CCEEFF"/>
          </w:tcPr>
          <w:p>
            <w:pPr>
              <w:jc w:val="right"/>
              <w:ind w:right="575"/>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Other expense, net</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
              <w:spacing w:after="0" w:line="215" w:lineRule="exact"/>
              <w:rPr>
                <w:sz w:val="20"/>
                <w:szCs w:val="20"/>
                <w:color w:val="auto"/>
              </w:rPr>
            </w:pPr>
            <w:r>
              <w:rPr>
                <w:rFonts w:ascii="Calibri" w:cs="Calibri" w:eastAsia="Calibri" w:hAnsi="Calibri"/>
                <w:sz w:val="18"/>
                <w:szCs w:val="18"/>
                <w:color w:val="auto"/>
                <w:w w:val="97"/>
              </w:rPr>
              <w:t>1,345</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2"/>
              </w:rPr>
              <w:t>1,412</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line="215" w:lineRule="exact"/>
              <w:rPr>
                <w:sz w:val="20"/>
                <w:szCs w:val="20"/>
                <w:color w:val="auto"/>
              </w:rPr>
            </w:pPr>
            <w:r>
              <w:rPr>
                <w:rFonts w:ascii="Calibri" w:cs="Calibri" w:eastAsia="Calibri" w:hAnsi="Calibri"/>
                <w:sz w:val="18"/>
                <w:szCs w:val="18"/>
                <w:color w:val="auto"/>
                <w:w w:val="97"/>
              </w:rPr>
              <w:t>1,931</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7"/>
              </w:rPr>
              <w:t>3,216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Interest expense increased for the three and six months ended June 30, 2024 compared to the prior year primarily due to the incremental interest associated with fnancing the ImmunoGen and Cerevel Therapeutcs acquisitons. See Note 8 to the condensed consolidated fnancial statements for additonal informaton related to debt issued to fnance the ImmunoGen and Cerevel Therapeutcs acquisitons.</w:t>
      </w:r>
    </w:p>
    <w:p>
      <w:pPr>
        <w:spacing w:after="0" w:line="138"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Interest income increased for the three and six months ended June 30, 2024 compared to the prior year primarily due to a higher average cash and cash equivalents balance and the impact of higher interest rates.</w:t>
      </w:r>
    </w:p>
    <w:p>
      <w:pPr>
        <w:spacing w:after="0" w:line="150"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Other expense, net included charges related to changes in fair value of contngent consideraton liabilites of $1.5 billion for the three months and $2.1 billion for the six months ended June 30, 2024 and $1.6 billion for the three months and $3.4 billion for the six months ended June 30, 2023. The fair value of contngent consideraton liabilites is impacted by the passage of tme and multple other inputs, including the probability of success of achieving regulatory/commercial milestones, discount rates, the estmated amount of future sales of the acquired products and other market-based factors. For the three and six months ended June 30, 2024, the change in fair value refected higher estmated Skyrizi sales and the passage of tme, partally ofset by higher discount rates. For the three and six months ended June 30, 2023 the change in fair value refected higher estmated Skyrizi sales driven by stronger market share uptake and the passage of tme. The change in fair value for the three months ended June 30, 2023 is also partally ofset by higher discount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481330</wp:posOffset>
            </wp:positionV>
            <wp:extent cx="514350" cy="94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36</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b w:val="1"/>
          <w:bCs w:val="1"/>
          <w:color w:val="444867"/>
        </w:rPr>
        <w:t>Income Tax Expense</w:t>
      </w:r>
    </w:p>
    <w:p>
      <w:pPr>
        <w:spacing w:after="0" w:line="13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efectve tax rate was 36% for the three months and 30% for the six months ended June 30, 2024 compared to 22% for the three months and 26% for the six months ended June 30, 2023. The efectve tax rate in each period difered from the U.S. statutory tax rate of 21% principally due to the impact of foreign operatons which refects the impact of lower income tax rates in locatons outside the United States, changes in fair value of contngent consideraton and business development actvites, including ImmunoGen acquisiton-related costs. The increase in the efectve tax rate for the three months ended June 30, 2024 over the prior year was primarily due to business development actvites. The increase in the efectve tax rate for the six months ended June 30, 2024 over the prior year was primarily due to business development actvites in the current period, ofset by decreased changes in fair value of contngent consideraton and impairment of certain intangible assets in the prior period.</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FINANCIAL POSITION, LIQUIDITY AND CAPITAL RESOURCES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ind w:left="560"/>
              <w:spacing w:after="0"/>
              <w:rPr>
                <w:sz w:val="20"/>
                <w:szCs w:val="20"/>
                <w:color w:val="auto"/>
              </w:rPr>
            </w:pPr>
            <w:r>
              <w:rPr>
                <w:rFonts w:ascii="Calibri" w:cs="Calibri" w:eastAsia="Calibri" w:hAnsi="Calibri"/>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ind w:left="860"/>
              <w:spacing w:after="0"/>
              <w:rPr>
                <w:sz w:val="20"/>
                <w:szCs w:val="20"/>
                <w:color w:val="auto"/>
              </w:rPr>
            </w:pPr>
            <w:r>
              <w:rPr>
                <w:rFonts w:ascii="Calibri" w:cs="Calibri" w:eastAsia="Calibri" w:hAnsi="Calibri"/>
                <w:sz w:val="14"/>
                <w:szCs w:val="14"/>
                <w:b w:val="1"/>
                <w:bCs w:val="1"/>
                <w:color w:val="auto"/>
              </w:rPr>
              <w:t>June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4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20"/>
              <w:spacing w:after="0" w:line="164" w:lineRule="exact"/>
              <w:rPr>
                <w:sz w:val="20"/>
                <w:szCs w:val="20"/>
                <w:color w:val="auto"/>
              </w:rPr>
            </w:pPr>
            <w:r>
              <w:rPr>
                <w:rFonts w:ascii="Calibri" w:cs="Calibri" w:eastAsia="Calibri" w:hAnsi="Calibri"/>
                <w:sz w:val="14"/>
                <w:szCs w:val="14"/>
                <w:b w:val="1"/>
                <w:bCs w:val="1"/>
                <w:color w:val="auto"/>
              </w:rPr>
              <w:t>2024</w:t>
            </w:r>
          </w:p>
        </w:tc>
        <w:tc>
          <w:tcPr>
            <w:tcW w:w="560" w:type="dxa"/>
            <w:vAlign w:val="bottom"/>
          </w:tcPr>
          <w:p>
            <w:pPr>
              <w:spacing w:after="0"/>
              <w:rPr>
                <w:sz w:val="14"/>
                <w:szCs w:val="14"/>
                <w:color w:val="auto"/>
              </w:rPr>
            </w:pPr>
          </w:p>
        </w:tc>
        <w:tc>
          <w:tcPr>
            <w:tcW w:w="860" w:type="dxa"/>
            <w:vAlign w:val="bottom"/>
          </w:tcPr>
          <w:p>
            <w:pPr>
              <w:jc w:val="right"/>
              <w:ind w:right="455"/>
              <w:spacing w:after="0" w:line="164" w:lineRule="exact"/>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8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Cash fows provided by (used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Operatng actvites</w:t>
            </w:r>
          </w:p>
        </w:tc>
        <w:tc>
          <w:tcPr>
            <w:tcW w:w="32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ind w:left="580"/>
              <w:spacing w:after="0"/>
              <w:rPr>
                <w:sz w:val="20"/>
                <w:szCs w:val="20"/>
                <w:color w:val="auto"/>
              </w:rPr>
            </w:pPr>
            <w:r>
              <w:rPr>
                <w:rFonts w:ascii="Calibri" w:cs="Calibri" w:eastAsia="Calibri" w:hAnsi="Calibri"/>
                <w:sz w:val="18"/>
                <w:szCs w:val="18"/>
                <w:color w:val="auto"/>
              </w:rPr>
              <w:t>6,311</w:t>
            </w:r>
          </w:p>
        </w:tc>
        <w:tc>
          <w:tcPr>
            <w:tcW w:w="560" w:type="dxa"/>
            <w:vAlign w:val="bottom"/>
            <w:shd w:val="clear" w:color="auto" w:fill="CCEEFF"/>
          </w:tcPr>
          <w:p>
            <w:pPr>
              <w:jc w:val="right"/>
              <w:ind w:right="31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10,512</w:t>
            </w:r>
          </w:p>
        </w:tc>
        <w:tc>
          <w:tcPr>
            <w:tcW w:w="0" w:type="dxa"/>
            <w:vAlign w:val="bottom"/>
          </w:tcPr>
          <w:p>
            <w:pPr>
              <w:spacing w:after="0"/>
              <w:rPr>
                <w:sz w:val="1"/>
                <w:szCs w:val="1"/>
                <w:color w:val="auto"/>
              </w:rPr>
            </w:pPr>
          </w:p>
        </w:tc>
      </w:tr>
      <w:tr>
        <w:trPr>
          <w:trHeight w:val="222"/>
        </w:trPr>
        <w:tc>
          <w:tcPr>
            <w:tcW w:w="8400" w:type="dxa"/>
            <w:vAlign w:val="bottom"/>
          </w:tcPr>
          <w:p>
            <w:pPr>
              <w:ind w:left="20"/>
              <w:spacing w:after="0" w:line="215" w:lineRule="exact"/>
              <w:rPr>
                <w:sz w:val="20"/>
                <w:szCs w:val="20"/>
                <w:color w:val="auto"/>
              </w:rPr>
            </w:pPr>
            <w:r>
              <w:rPr>
                <w:rFonts w:ascii="Calibri" w:cs="Calibri" w:eastAsia="Calibri" w:hAnsi="Calibri"/>
                <w:sz w:val="18"/>
                <w:szCs w:val="18"/>
                <w:color w:val="auto"/>
              </w:rPr>
              <w:t>Investng actvites</w:t>
            </w:r>
          </w:p>
        </w:tc>
        <w:tc>
          <w:tcPr>
            <w:tcW w:w="320" w:type="dxa"/>
            <w:vAlign w:val="bottom"/>
          </w:tcPr>
          <w:p>
            <w:pPr>
              <w:spacing w:after="0"/>
              <w:rPr>
                <w:sz w:val="19"/>
                <w:szCs w:val="19"/>
                <w:color w:val="auto"/>
              </w:rPr>
            </w:pPr>
          </w:p>
        </w:tc>
        <w:tc>
          <w:tcPr>
            <w:tcW w:w="1100" w:type="dxa"/>
            <w:vAlign w:val="bottom"/>
          </w:tcPr>
          <w:p>
            <w:pPr>
              <w:ind w:left="420"/>
              <w:spacing w:after="0" w:line="215" w:lineRule="exact"/>
              <w:rPr>
                <w:sz w:val="20"/>
                <w:szCs w:val="20"/>
                <w:color w:val="auto"/>
              </w:rPr>
            </w:pPr>
            <w:r>
              <w:rPr>
                <w:rFonts w:ascii="Calibri" w:cs="Calibri" w:eastAsia="Calibri" w:hAnsi="Calibri"/>
                <w:sz w:val="18"/>
                <w:szCs w:val="18"/>
                <w:color w:val="auto"/>
              </w:rPr>
              <w:t>(10,690)</w:t>
            </w:r>
          </w:p>
        </w:tc>
        <w:tc>
          <w:tcPr>
            <w:tcW w:w="56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(840)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8"/>
                <w:szCs w:val="18"/>
                <w:color w:val="auto"/>
              </w:rPr>
              <w:t>Financing actvites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580"/>
              <w:spacing w:after="0"/>
              <w:rPr>
                <w:sz w:val="20"/>
                <w:szCs w:val="20"/>
                <w:color w:val="auto"/>
              </w:rPr>
            </w:pPr>
            <w:r>
              <w:rPr>
                <w:rFonts w:ascii="Calibri" w:cs="Calibri" w:eastAsia="Calibri" w:hAnsi="Calibri"/>
                <w:sz w:val="18"/>
                <w:szCs w:val="18"/>
                <w:color w:val="auto"/>
              </w:rPr>
              <w:t>4,722</w:t>
            </w: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(10,112)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Operatng cash fows for the six months ended June 30, 2024 decreased compared to the prior year primarily due to the tming of working capital, higher contngent consideraton payments classifed as operatng cash fows and decreased results from operatons driven by ImmunoGen acquisiton-related cash expenses.</w:t>
      </w:r>
    </w:p>
    <w:p>
      <w:pPr>
        <w:spacing w:after="0" w:line="151" w:lineRule="exact"/>
        <w:rPr>
          <w:sz w:val="20"/>
          <w:szCs w:val="20"/>
          <w:color w:val="auto"/>
        </w:rPr>
      </w:pPr>
    </w:p>
    <w:p>
      <w:pPr>
        <w:jc w:val="both"/>
        <w:ind w:right="200"/>
        <w:spacing w:after="0" w:line="254" w:lineRule="auto"/>
        <w:rPr>
          <w:sz w:val="20"/>
          <w:szCs w:val="20"/>
          <w:color w:val="auto"/>
        </w:rPr>
      </w:pPr>
      <w:r>
        <w:rPr>
          <w:rFonts w:ascii="Calibri" w:cs="Calibri" w:eastAsia="Calibri" w:hAnsi="Calibri"/>
          <w:sz w:val="17"/>
          <w:szCs w:val="17"/>
          <w:color w:val="auto"/>
        </w:rPr>
        <w:t>Investng cash fows for the six months ended June 30, 2024 included $9.8 billion cash consideraton paid to acquire ImmunoGen ofset by cash acquired of $591 million, payments made for other acquisitons and investments of $1.0 billion and capital expenditures of $434 million. Investng cash fows for the six months ended June 30, 2023 included payments made for other acquisitons and investments of $513 million and capital expenditures of $353 million.</w:t>
      </w:r>
    </w:p>
    <w:p>
      <w:pPr>
        <w:spacing w:after="0" w:line="13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Financing cash fows for the six months ended June 30, 2024 included the issuance of unsecured senior notes totaling $15.0 billion aggregate principal which were used to fnance the acquisitons of ImmunoGen and Cerevel Therapeutcs. Additonally, fnancing cash fows included the issuance and repayment of $5.0 billion under the term loan credit agreement and repayments of €1.5 billion aggregate principal amount of 1.38% senior euro notes, €700 million aggregate principal amount of 1.25% senior euro notes, $1.0 billion aggregate principal amount of 3.85% senior notes and $99 million of secured term notes assumed from ImmunoGen in conjuncton with the acquisiton. Financing cash fows for the six months ended June 30, 2023 included repayments of $1.0 billion foatng rate term loan, $1.0 billion aggregate principal amount of 2.85% senior notes and $350 million aggregate principal amount of the company’s 2.80% senior notes.</w:t>
      </w:r>
    </w:p>
    <w:p>
      <w:pPr>
        <w:spacing w:after="0" w:line="14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Financing cash fows also included cash dividend payments of $5.5 billion for the six months ended June 30, 2024 and $5.3 billion for the six months ended June 30, 2023. The increase in cash dividend payments was primarily driven by the increase in the quarterly dividend rate.</w:t>
      </w:r>
    </w:p>
    <w:p>
      <w:pPr>
        <w:spacing w:after="0" w:line="15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On June 21, 2024, the company announced that its board of directors declared a quarterly cash dividend of $1.55 per share for stockholders of record at the close of business on July 15, 2024, payable on August 15, 2024. The tming, declaraton, amount of and payment of any dividends by AbbVie in the future is within the discreton of its board of directors and will depend upon many factors, including AbbVie’s fnancial conditon, earnings, capital requirements of its operatng subsidiaries, covenants associated with certain of AbbVie’s debt service obligatons, legal requirements, regulatory constraints, industry practce, ability to access capital markets and other factors deemed relevant by its board of directors.</w:t>
      </w:r>
    </w:p>
    <w:p>
      <w:pPr>
        <w:spacing w:after="0" w:line="15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company's stock repurchase authorizaton permits purchases of AbbVie shares from tme to tme in open-market or private transactons at management's discreton. The program has no tme limit and can be discontnued at any tme. On February 16, 2023, AbbVie’s board of directors authorized a $5.0 billion increase to the existng stock repurchase authorizaton. AbbVie repurchased 5 million shares for $959 million during the six months ended June 30, 2024 and 10 million shares for $1.6 billion during the six months ended June 30, 2023.</w:t>
      </w:r>
    </w:p>
    <w:p>
      <w:pPr>
        <w:spacing w:after="0" w:line="138"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Financing cash fows also included contngent consideraton payments of $641 million for the six months ended June 30, 2023. There were no contngent consideraton payments classifed as fnancing cash fows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37</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9" w:name="page40"/>
    <w:bookmarkEnd w:id="39"/>
    <w:p>
      <w:pPr>
        <w:ind w:right="420"/>
        <w:spacing w:after="0" w:line="235" w:lineRule="auto"/>
        <w:rPr>
          <w:sz w:val="20"/>
          <w:szCs w:val="20"/>
          <w:color w:val="auto"/>
        </w:rPr>
      </w:pPr>
      <w:r>
        <w:rPr>
          <w:rFonts w:ascii="Calibri" w:cs="Calibri" w:eastAsia="Calibri" w:hAnsi="Calibri"/>
          <w:sz w:val="18"/>
          <w:szCs w:val="18"/>
          <w:color w:val="auto"/>
        </w:rPr>
        <w:t>During the six months ended June 30, 2024, the company issued and redeemed $1.7 billion of commercial paper. There were no commercial paper borrowings outstanding as of June 30, 2024 and December 31, 2023. AbbVie may issue additonal commercial paper or retre commercial paper to meet liquidity requirements as needed.</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Credit Risk</w:t>
      </w:r>
    </w:p>
    <w:p>
      <w:pPr>
        <w:spacing w:after="0" w:line="15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AbbVie monitors economic conditons, the creditworthiness of customers and government regulatons and funding, both domestcally and abroad. AbbVie regularly communicates with its customers regarding the status of receivable balances, including their payment plans and obtains positve confrmaton of the validity of the receivables. AbbVie establishes an allowance for credit losses equal to the estmate of future losses over the contractual life of outstanding accounts receivable. AbbVie may also utlize factoring arrangements to mitgate credit risk, although the receivables included in such arrangements have historically not been a signifcant amount of total outstanding receivables.</w:t>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Credit Facility, Access to Capital and Credit Ratngs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Credit Facility</w:t>
      </w:r>
    </w:p>
    <w:p>
      <w:pPr>
        <w:spacing w:after="0" w:line="136" w:lineRule="exact"/>
        <w:rPr>
          <w:sz w:val="20"/>
          <w:szCs w:val="20"/>
          <w:color w:val="auto"/>
        </w:rPr>
      </w:pPr>
    </w:p>
    <w:p>
      <w:pPr>
        <w:ind w:right="100"/>
        <w:spacing w:after="0" w:line="213" w:lineRule="auto"/>
        <w:rPr>
          <w:sz w:val="20"/>
          <w:szCs w:val="20"/>
          <w:color w:val="auto"/>
        </w:rPr>
      </w:pPr>
      <w:r>
        <w:rPr>
          <w:rFonts w:ascii="Calibri" w:cs="Calibri" w:eastAsia="Calibri" w:hAnsi="Calibri"/>
          <w:sz w:val="18"/>
          <w:szCs w:val="18"/>
          <w:color w:val="auto"/>
        </w:rPr>
        <w:t>In December 2023, in connecton with the acquisitons of ImmunoGen and Cerevel Therapeutcs, AbbVie entered into a $9.0 billion 364-day bridge credit agreement and $5.0 billion 364-day term loan credit agreement. In February, 2024, AbbVie borrowed and repaid $5.0 billion under the term loan credit agreement. Subsequent to the $15.0 billion issuance of senior notes, AbbVie terminated both the bridge and term loan credit agreements in the frst quarter of 2024.</w:t>
      </w:r>
    </w:p>
    <w:p>
      <w:pPr>
        <w:spacing w:after="0" w:line="124" w:lineRule="exact"/>
        <w:rPr>
          <w:sz w:val="20"/>
          <w:szCs w:val="20"/>
          <w:color w:val="auto"/>
        </w:rPr>
      </w:pPr>
    </w:p>
    <w:p>
      <w:pPr>
        <w:ind w:right="100"/>
        <w:spacing w:after="0" w:line="212" w:lineRule="auto"/>
        <w:rPr>
          <w:sz w:val="20"/>
          <w:szCs w:val="20"/>
          <w:color w:val="auto"/>
        </w:rPr>
      </w:pPr>
      <w:r>
        <w:rPr>
          <w:rFonts w:ascii="Calibri" w:cs="Calibri" w:eastAsia="Calibri" w:hAnsi="Calibri"/>
          <w:sz w:val="18"/>
          <w:szCs w:val="18"/>
          <w:color w:val="auto"/>
        </w:rPr>
        <w:t>In March 2023, AbbVie entered into an amended and restated fve-year revolving credit facility. The amendment increased the unsecured revolving credit facility commitments from $4.0 billion to $5.0 billion and extended the maturity date of the facility from August 2023 to March 2028. This credit facility enables the company to borrow funds on an unsecured basis at variable interest rates and contains various covenants. At June 30, 2024, the company was in compliance with all covenants, and commitment fees under the credit facility were insignifcant. No amounts were outstanding under the company's credit facility as of June 30, 2024 and December 31, 2023.</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Access to Capital</w:t>
      </w:r>
    </w:p>
    <w:p>
      <w:pPr>
        <w:spacing w:after="0" w:line="150"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The company intends to fund short-term and long-term fnancial obligatons as they mature through cash on hand, future cash fows from operatons or has the ability to issue additonal debt. The company’s ability to generate cash fows from operatons, issue debt or enter into fnancing arrangements on acceptable terms could be adversely afected if there is a material decline in the demand for the company’s products or in the solvency of its customers or suppliers, deterioraton in the company’s key fnancial ratos or credit ratngs or other material unfavorable changes in business conditons. At the current tme, the company believes it has sufcient fnancial fexibility to issue debt, enter into other fnancing arrangements and atract long-term capital on acceptable terms to support the company’s growth objectves.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Credit Ratngs</w:t>
      </w:r>
    </w:p>
    <w:p>
      <w:pPr>
        <w:spacing w:after="0" w:line="136"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There were no changes in the company’s credit ratngs during the six months ended June 30, 2024. Unfavorable changes to the ratngs may have an adverse impact on future fnancing arrangements; however, they would not afect the company’s ability to draw on its credit facility and would not result in an acceleraton of scheduled maturites of any of the company’s outstanding debt.</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CRITICAL ACCOUNTING POLICIES</w:t>
      </w:r>
    </w:p>
    <w:p>
      <w:pPr>
        <w:spacing w:after="0" w:line="15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 summary of the company’s signifcant accountng policies is included in Note 2, “Summary of Signifcant Accountng Policies” in AbbVie's Annual Report on Form 10-K for the year ended December 31, 2023. There have been no signifcant changes in the company’s applicaton of its critcal accountng policies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487045</wp:posOffset>
            </wp:positionV>
            <wp:extent cx="51435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38</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b w:val="1"/>
          <w:bCs w:val="1"/>
          <w:color w:val="444867"/>
        </w:rPr>
        <w:t>FORWARD-LOOKING STATEMENTS</w:t>
      </w:r>
    </w:p>
    <w:p>
      <w:pPr>
        <w:spacing w:after="0" w:line="1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Some statements in this quarterly report on Form 10-Q are, or may be considered, forward-looking statements for purposes of the Private Securites Litgaton Reform Act of 1995. The words “believe,” “expect,” “antcipate,” “project,” and similar expressions and use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in AbbVie’s Annual Report on Form 10-K for the year ended December 31, 2023, which has been fled with the Securites and Exchange Commission. AbbVie notes these factors for investors as permited by the Private Securites Litgaton Reform Act of 1995. AbbVie undertakes no obligaton, and specifcally declines, to release publicly any revisions to forward-looking statements as a result of subsequent events or developments, except as required by law.</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For a discussion of the company's market risk, see Item 7A, "Quanttatve and Qualitatve Disclosures About Market Risk" in AbbVie's Annual Report on Form 10-K for the year ended December 31, 2023.</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DISCLOSURE CONTROLS AND PROCEDURES</w:t>
      </w:r>
    </w:p>
    <w:p>
      <w:pPr>
        <w:spacing w:after="0" w:line="15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color w:val="auto"/>
        </w:rPr>
        <w:t xml:space="preserve">Evaluaton of disclosure controls and procedures. </w:t>
      </w:r>
      <w:r>
        <w:rPr>
          <w:rFonts w:ascii="Calibri" w:cs="Calibri" w:eastAsia="Calibri" w:hAnsi="Calibri"/>
          <w:sz w:val="18"/>
          <w:szCs w:val="18"/>
          <w:color w:val="auto"/>
        </w:rPr>
        <w:t>The Chief Executve Ofcer, Robert A. Michael, and the Chief Financial Ofcer, Scot T. Reents, evaluated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efectveness of AbbVie's disclosure controls and procedures as of the end of the period covered by this report, and concluded that AbbVie's disclosure controls and procedures were efectve to ensure that informaton AbbVie is required to disclose in the reports that it fles or submits with the Securites and Exchange Commission under the Securites Exchange Act of 1934 is recorded, processed, summarized and reported, within the tme periods specifed in the Commission's rules and forms, and to ensure that informaton required to be disclosed by AbbVie in the reports that it fles or submits under the Securites Exchange Act of 1934 is accumulated and communicated to AbbVie's management, including its principal executve ofcer and principal fnancial ofcer, as appropriate to allow tmely decisions regarding required disclosure.</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444867"/>
        </w:rPr>
        <w:t>INTERNAL CONTROL OVER FINANCIAL REPORTING</w:t>
      </w:r>
    </w:p>
    <w:p>
      <w:pPr>
        <w:spacing w:after="0" w:line="150"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b w:val="1"/>
          <w:bCs w:val="1"/>
          <w:color w:val="auto"/>
        </w:rPr>
        <w:t xml:space="preserve">Changes in internal control over fnancial reportng. </w:t>
      </w:r>
      <w:r>
        <w:rPr>
          <w:rFonts w:ascii="Calibri" w:cs="Calibri" w:eastAsia="Calibri" w:hAnsi="Calibri"/>
          <w:sz w:val="18"/>
          <w:szCs w:val="18"/>
          <w:color w:val="auto"/>
        </w:rPr>
        <w:t>There were no changes in AbbVie's internal control over fnancial reportng (as defned in Rule 13a-15(f)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under the Securites Exchange Act of 1934) that have materially afected, or are reasonably likely to materially afect, AbbVie's internal control over fnancial reportng during the quarter ended June 30, 2024.</w:t>
      </w:r>
    </w:p>
    <w:p>
      <w:pPr>
        <w:spacing w:after="0" w:line="151"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color w:val="auto"/>
        </w:rPr>
        <w:t xml:space="preserve">Inherent Limitatons on Efectveness of Controls. </w:t>
      </w:r>
      <w:r>
        <w:rPr>
          <w:rFonts w:ascii="Calibri" w:cs="Calibri" w:eastAsia="Calibri" w:hAnsi="Calibri"/>
          <w:sz w:val="18"/>
          <w:szCs w:val="18"/>
          <w:color w:val="auto"/>
        </w:rPr>
        <w:t>AbbVie’s management, including its Chief Executve Ofcer and its Chief Financial Ofcer, do not expect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that AbbVie’s disclosure controls or internal control over fnancial reportng will prevent or detect all errors and all fraud. A control system, no mater how well designed and operated, can provide only reasonable, not absolute, assurance that the control system’s objectves will be met. The design of a control system must refect the fact that there are resource constraints, and the benefts of controls must be considered relatve to their costs. Further, because of the inherent limitatons in all control systems, no evaluaton of controls can provide absolute assurance that misstatements due to error or fraud will not occur or that all control issues and instances of fraud, if any, have been detected. These inherent limitatons include the realites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4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design of any system of controls is based in part on certain assumptons about the likelihood of future events, and there can be no assurance that any design will succeed in achieving its stated goals under all potental future conditons. Projectons of any evaluaton of controls efectveness to future periods are subject to risks. Over tme, controls may become inadequate because of changes in conditons or deterioraton in the degree of compliance with policies or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487680</wp:posOffset>
            </wp:positionV>
            <wp:extent cx="51435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39</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1" w:name="page42"/>
    <w:bookmarkEnd w:id="41"/>
    <w:p>
      <w:pPr>
        <w:spacing w:after="0"/>
        <w:rPr>
          <w:sz w:val="20"/>
          <w:szCs w:val="20"/>
          <w:color w:val="auto"/>
        </w:rPr>
      </w:pPr>
      <w:r>
        <w:rPr>
          <w:rFonts w:ascii="Calibri" w:cs="Calibri" w:eastAsia="Calibri" w:hAnsi="Calibri"/>
          <w:sz w:val="22"/>
          <w:szCs w:val="22"/>
          <w:b w:val="1"/>
          <w:bCs w:val="1"/>
          <w:color w:val="444867"/>
        </w:rPr>
        <w:t>PART II. OTHER INFORMATION</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Informaton pertaining to legal proceedings is provided in Note 12 to the Condensed Consolidated Financial Statements and is incorporated by reference herein.</w:t>
      </w:r>
    </w:p>
    <w:p>
      <w:pPr>
        <w:spacing w:after="0" w:line="19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760" w:hanging="226"/>
        <w:spacing w:after="0"/>
        <w:tabs>
          <w:tab w:leader="none" w:pos="760" w:val="left"/>
        </w:tabs>
        <w:numPr>
          <w:ilvl w:val="0"/>
          <w:numId w:val="19"/>
        </w:numPr>
        <w:rPr>
          <w:rFonts w:ascii="Calibri" w:cs="Calibri" w:eastAsia="Calibri" w:hAnsi="Calibri"/>
          <w:sz w:val="18"/>
          <w:szCs w:val="18"/>
          <w:color w:val="auto"/>
        </w:rPr>
      </w:pPr>
      <w:r>
        <w:rPr>
          <w:rFonts w:ascii="Calibri" w:cs="Calibri" w:eastAsia="Calibri" w:hAnsi="Calibri"/>
          <w:sz w:val="18"/>
          <w:szCs w:val="18"/>
          <w:i w:val="1"/>
          <w:iCs w:val="1"/>
          <w:color w:val="auto"/>
        </w:rPr>
        <w:t>Issuer Purchases of Equity Securites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tcPr>
          <w:p>
            <w:pPr>
              <w:jc w:val="center"/>
              <w:ind w:right="242"/>
              <w:spacing w:after="0"/>
              <w:rPr>
                <w:sz w:val="20"/>
                <w:szCs w:val="20"/>
                <w:color w:val="auto"/>
              </w:rPr>
            </w:pPr>
            <w:r>
              <w:rPr>
                <w:rFonts w:ascii="Calibri" w:cs="Calibri" w:eastAsia="Calibri" w:hAnsi="Calibri"/>
                <w:sz w:val="14"/>
                <w:szCs w:val="14"/>
                <w:b w:val="1"/>
                <w:bCs w:val="1"/>
                <w:color w:val="auto"/>
              </w:rPr>
              <w:t>(d) Maximum</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tcPr>
          <w:p>
            <w:pPr>
              <w:jc w:val="center"/>
              <w:ind w:right="262"/>
              <w:spacing w:after="0" w:line="148" w:lineRule="exact"/>
              <w:rPr>
                <w:sz w:val="20"/>
                <w:szCs w:val="20"/>
                <w:color w:val="auto"/>
              </w:rPr>
            </w:pPr>
            <w:r>
              <w:rPr>
                <w:rFonts w:ascii="Calibri" w:cs="Calibri" w:eastAsia="Calibri" w:hAnsi="Calibri"/>
                <w:sz w:val="14"/>
                <w:szCs w:val="14"/>
                <w:b w:val="1"/>
                <w:bCs w:val="1"/>
                <w:color w:val="auto"/>
              </w:rPr>
              <w:t>Number (or</w:t>
            </w: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40" w:type="dxa"/>
            <w:vAlign w:val="bottom"/>
          </w:tcPr>
          <w:p>
            <w:pPr>
              <w:jc w:val="center"/>
              <w:ind w:right="262"/>
              <w:spacing w:after="0" w:line="136" w:lineRule="exact"/>
              <w:rPr>
                <w:sz w:val="20"/>
                <w:szCs w:val="20"/>
                <w:color w:val="auto"/>
              </w:rPr>
            </w:pPr>
            <w:r>
              <w:rPr>
                <w:rFonts w:ascii="Calibri" w:cs="Calibri" w:eastAsia="Calibri" w:hAnsi="Calibri"/>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tcPr>
          <w:p>
            <w:pPr>
              <w:jc w:val="center"/>
              <w:ind w:left="128"/>
              <w:spacing w:after="0" w:line="149" w:lineRule="exact"/>
              <w:rPr>
                <w:sz w:val="20"/>
                <w:szCs w:val="20"/>
                <w:color w:val="auto"/>
              </w:rPr>
            </w:pPr>
            <w:r>
              <w:rPr>
                <w:rFonts w:ascii="Calibri" w:cs="Calibri" w:eastAsia="Calibri" w:hAnsi="Calibri"/>
                <w:sz w:val="14"/>
                <w:szCs w:val="14"/>
                <w:b w:val="1"/>
                <w:bCs w:val="1"/>
                <w:color w:val="auto"/>
              </w:rPr>
              <w:t>(c) Total Number</w:t>
            </w:r>
          </w:p>
        </w:tc>
        <w:tc>
          <w:tcPr>
            <w:tcW w:w="520" w:type="dxa"/>
            <w:vAlign w:val="bottom"/>
          </w:tcPr>
          <w:p>
            <w:pPr>
              <w:spacing w:after="0"/>
              <w:rPr>
                <w:sz w:val="12"/>
                <w:szCs w:val="12"/>
                <w:color w:val="auto"/>
              </w:rPr>
            </w:pPr>
          </w:p>
        </w:tc>
        <w:tc>
          <w:tcPr>
            <w:tcW w:w="2040" w:type="dxa"/>
            <w:vAlign w:val="bottom"/>
          </w:tcPr>
          <w:p>
            <w:pPr>
              <w:jc w:val="center"/>
              <w:ind w:right="242"/>
              <w:spacing w:after="0" w:line="149" w:lineRule="exact"/>
              <w:rPr>
                <w:sz w:val="20"/>
                <w:szCs w:val="20"/>
                <w:color w:val="auto"/>
              </w:rPr>
            </w:pPr>
            <w:r>
              <w:rPr>
                <w:rFonts w:ascii="Calibri" w:cs="Calibri" w:eastAsia="Calibri" w:hAnsi="Calibri"/>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jc w:val="center"/>
              <w:ind w:left="280"/>
              <w:spacing w:after="0" w:line="149" w:lineRule="exact"/>
              <w:rPr>
                <w:sz w:val="20"/>
                <w:szCs w:val="20"/>
                <w:color w:val="auto"/>
              </w:rPr>
            </w:pPr>
            <w:r>
              <w:rPr>
                <w:rFonts w:ascii="Calibri" w:cs="Calibri" w:eastAsia="Calibri" w:hAnsi="Calibri"/>
                <w:sz w:val="14"/>
                <w:szCs w:val="14"/>
                <w:b w:val="1"/>
                <w:bCs w:val="1"/>
                <w:color w:val="auto"/>
              </w:rPr>
              <w:t>(a) Total</w:t>
            </w:r>
          </w:p>
        </w:tc>
        <w:tc>
          <w:tcPr>
            <w:tcW w:w="1700" w:type="dxa"/>
            <w:vAlign w:val="bottom"/>
            <w:vMerge w:val="restart"/>
          </w:tcPr>
          <w:p>
            <w:pPr>
              <w:jc w:val="center"/>
              <w:ind w:right="379"/>
              <w:spacing w:after="0"/>
              <w:rPr>
                <w:sz w:val="20"/>
                <w:szCs w:val="20"/>
                <w:color w:val="auto"/>
              </w:rPr>
            </w:pPr>
            <w:r>
              <w:rPr>
                <w:rFonts w:ascii="Calibri" w:cs="Calibri" w:eastAsia="Calibri" w:hAnsi="Calibri"/>
                <w:sz w:val="14"/>
                <w:szCs w:val="14"/>
                <w:b w:val="1"/>
                <w:bCs w:val="1"/>
                <w:color w:val="auto"/>
              </w:rPr>
              <w:t>(b) Average</w:t>
            </w:r>
          </w:p>
        </w:tc>
        <w:tc>
          <w:tcPr>
            <w:tcW w:w="1280" w:type="dxa"/>
            <w:vAlign w:val="bottom"/>
          </w:tcPr>
          <w:p>
            <w:pPr>
              <w:jc w:val="center"/>
              <w:ind w:left="128"/>
              <w:spacing w:after="0" w:line="149" w:lineRule="exact"/>
              <w:rPr>
                <w:sz w:val="20"/>
                <w:szCs w:val="20"/>
                <w:color w:val="auto"/>
              </w:rPr>
            </w:pPr>
            <w:r>
              <w:rPr>
                <w:rFonts w:ascii="Calibri" w:cs="Calibri" w:eastAsia="Calibri" w:hAnsi="Calibri"/>
                <w:sz w:val="14"/>
                <w:szCs w:val="14"/>
                <w:b w:val="1"/>
                <w:bCs w:val="1"/>
                <w:color w:val="auto"/>
              </w:rPr>
              <w:t>of Shares (or</w:t>
            </w:r>
          </w:p>
        </w:tc>
        <w:tc>
          <w:tcPr>
            <w:tcW w:w="520" w:type="dxa"/>
            <w:vAlign w:val="bottom"/>
          </w:tcPr>
          <w:p>
            <w:pPr>
              <w:spacing w:after="0"/>
              <w:rPr>
                <w:sz w:val="12"/>
                <w:szCs w:val="12"/>
                <w:color w:val="auto"/>
              </w:rPr>
            </w:pPr>
          </w:p>
        </w:tc>
        <w:tc>
          <w:tcPr>
            <w:tcW w:w="2040" w:type="dxa"/>
            <w:vAlign w:val="bottom"/>
          </w:tcPr>
          <w:p>
            <w:pPr>
              <w:jc w:val="center"/>
              <w:ind w:right="242"/>
              <w:spacing w:after="0" w:line="149" w:lineRule="exact"/>
              <w:rPr>
                <w:sz w:val="20"/>
                <w:szCs w:val="20"/>
                <w:color w:val="auto"/>
              </w:rPr>
            </w:pPr>
            <w:r>
              <w:rPr>
                <w:rFonts w:ascii="Calibri" w:cs="Calibri" w:eastAsia="Calibri" w:hAnsi="Calibri"/>
                <w:sz w:val="14"/>
                <w:szCs w:val="14"/>
                <w:b w:val="1"/>
                <w:bCs w:val="1"/>
                <w:color w:val="auto"/>
              </w:rPr>
              <w:t>Shares (or Units)</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380" w:type="dxa"/>
            <w:vAlign w:val="bottom"/>
          </w:tcPr>
          <w:p>
            <w:pPr>
              <w:jc w:val="center"/>
              <w:ind w:left="280"/>
              <w:spacing w:after="0" w:line="135" w:lineRule="exact"/>
              <w:rPr>
                <w:sz w:val="20"/>
                <w:szCs w:val="20"/>
                <w:color w:val="auto"/>
              </w:rPr>
            </w:pPr>
            <w:r>
              <w:rPr>
                <w:rFonts w:ascii="Calibri" w:cs="Calibri" w:eastAsia="Calibri" w:hAnsi="Calibri"/>
                <w:sz w:val="14"/>
                <w:szCs w:val="14"/>
                <w:b w:val="1"/>
                <w:bCs w:val="1"/>
                <w:color w:val="auto"/>
              </w:rPr>
              <w:t>Number of</w:t>
            </w:r>
          </w:p>
        </w:tc>
        <w:tc>
          <w:tcPr>
            <w:tcW w:w="1700" w:type="dxa"/>
            <w:vAlign w:val="bottom"/>
            <w:vMerge w:val="continue"/>
          </w:tcPr>
          <w:p>
            <w:pPr>
              <w:spacing w:after="0"/>
              <w:rPr>
                <w:sz w:val="11"/>
                <w:szCs w:val="11"/>
                <w:color w:val="auto"/>
              </w:rPr>
            </w:pPr>
          </w:p>
        </w:tc>
        <w:tc>
          <w:tcPr>
            <w:tcW w:w="1280" w:type="dxa"/>
            <w:vAlign w:val="bottom"/>
          </w:tcPr>
          <w:p>
            <w:pPr>
              <w:jc w:val="center"/>
              <w:ind w:left="128"/>
              <w:spacing w:after="0" w:line="135" w:lineRule="exact"/>
              <w:rPr>
                <w:sz w:val="20"/>
                <w:szCs w:val="20"/>
                <w:color w:val="auto"/>
              </w:rPr>
            </w:pPr>
            <w:r>
              <w:rPr>
                <w:rFonts w:ascii="Calibri" w:cs="Calibri" w:eastAsia="Calibri" w:hAnsi="Calibri"/>
                <w:sz w:val="14"/>
                <w:szCs w:val="14"/>
                <w:b w:val="1"/>
                <w:bCs w:val="1"/>
                <w:color w:val="auto"/>
              </w:rPr>
              <w:t>Units) Purchased</w:t>
            </w:r>
          </w:p>
        </w:tc>
        <w:tc>
          <w:tcPr>
            <w:tcW w:w="520" w:type="dxa"/>
            <w:vAlign w:val="bottom"/>
          </w:tcPr>
          <w:p>
            <w:pPr>
              <w:spacing w:after="0"/>
              <w:rPr>
                <w:sz w:val="11"/>
                <w:szCs w:val="11"/>
                <w:color w:val="auto"/>
              </w:rPr>
            </w:pPr>
          </w:p>
        </w:tc>
        <w:tc>
          <w:tcPr>
            <w:tcW w:w="2040" w:type="dxa"/>
            <w:vAlign w:val="bottom"/>
          </w:tcPr>
          <w:p>
            <w:pPr>
              <w:jc w:val="center"/>
              <w:ind w:right="262"/>
              <w:spacing w:after="0" w:line="135" w:lineRule="exact"/>
              <w:rPr>
                <w:sz w:val="20"/>
                <w:szCs w:val="20"/>
                <w:color w:val="auto"/>
              </w:rPr>
            </w:pPr>
            <w:r>
              <w:rPr>
                <w:rFonts w:ascii="Calibri" w:cs="Calibri" w:eastAsia="Calibri" w:hAnsi="Calibri"/>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380" w:type="dxa"/>
            <w:vAlign w:val="bottom"/>
          </w:tcPr>
          <w:p>
            <w:pPr>
              <w:jc w:val="center"/>
              <w:ind w:left="280"/>
              <w:spacing w:after="0" w:line="149" w:lineRule="exact"/>
              <w:rPr>
                <w:sz w:val="20"/>
                <w:szCs w:val="20"/>
                <w:color w:val="auto"/>
              </w:rPr>
            </w:pPr>
            <w:r>
              <w:rPr>
                <w:rFonts w:ascii="Calibri" w:cs="Calibri" w:eastAsia="Calibri" w:hAnsi="Calibri"/>
                <w:sz w:val="14"/>
                <w:szCs w:val="14"/>
                <w:b w:val="1"/>
                <w:bCs w:val="1"/>
                <w:color w:val="auto"/>
                <w:w w:val="98"/>
              </w:rPr>
              <w:t>Shares</w:t>
            </w:r>
          </w:p>
        </w:tc>
        <w:tc>
          <w:tcPr>
            <w:tcW w:w="1700" w:type="dxa"/>
            <w:vAlign w:val="bottom"/>
          </w:tcPr>
          <w:p>
            <w:pPr>
              <w:jc w:val="center"/>
              <w:ind w:right="359"/>
              <w:spacing w:after="0" w:line="149" w:lineRule="exact"/>
              <w:rPr>
                <w:sz w:val="20"/>
                <w:szCs w:val="20"/>
                <w:color w:val="auto"/>
              </w:rPr>
            </w:pPr>
            <w:r>
              <w:rPr>
                <w:rFonts w:ascii="Calibri" w:cs="Calibri" w:eastAsia="Calibri" w:hAnsi="Calibri"/>
                <w:sz w:val="14"/>
                <w:szCs w:val="14"/>
                <w:b w:val="1"/>
                <w:bCs w:val="1"/>
                <w:color w:val="auto"/>
              </w:rPr>
              <w:t>Price Paid</w:t>
            </w:r>
          </w:p>
        </w:tc>
        <w:tc>
          <w:tcPr>
            <w:tcW w:w="1280" w:type="dxa"/>
            <w:vAlign w:val="bottom"/>
          </w:tcPr>
          <w:p>
            <w:pPr>
              <w:jc w:val="center"/>
              <w:ind w:left="108"/>
              <w:spacing w:after="0" w:line="149" w:lineRule="exact"/>
              <w:rPr>
                <w:sz w:val="20"/>
                <w:szCs w:val="20"/>
                <w:color w:val="auto"/>
              </w:rPr>
            </w:pPr>
            <w:r>
              <w:rPr>
                <w:rFonts w:ascii="Calibri" w:cs="Calibri" w:eastAsia="Calibri" w:hAnsi="Calibri"/>
                <w:sz w:val="14"/>
                <w:szCs w:val="14"/>
                <w:b w:val="1"/>
                <w:bCs w:val="1"/>
                <w:color w:val="auto"/>
              </w:rPr>
              <w:t>as Part of Publicly</w:t>
            </w:r>
          </w:p>
        </w:tc>
        <w:tc>
          <w:tcPr>
            <w:tcW w:w="520" w:type="dxa"/>
            <w:vAlign w:val="bottom"/>
          </w:tcPr>
          <w:p>
            <w:pPr>
              <w:spacing w:after="0"/>
              <w:rPr>
                <w:sz w:val="12"/>
                <w:szCs w:val="12"/>
                <w:color w:val="auto"/>
              </w:rPr>
            </w:pPr>
          </w:p>
        </w:tc>
        <w:tc>
          <w:tcPr>
            <w:tcW w:w="2040" w:type="dxa"/>
            <w:vAlign w:val="bottom"/>
          </w:tcPr>
          <w:p>
            <w:pPr>
              <w:jc w:val="center"/>
              <w:ind w:right="262"/>
              <w:spacing w:after="0" w:line="149" w:lineRule="exact"/>
              <w:rPr>
                <w:sz w:val="20"/>
                <w:szCs w:val="20"/>
                <w:color w:val="auto"/>
              </w:rPr>
            </w:pPr>
            <w:r>
              <w:rPr>
                <w:rFonts w:ascii="Calibri" w:cs="Calibri" w:eastAsia="Calibri" w:hAnsi="Calibri"/>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380" w:type="dxa"/>
            <w:vAlign w:val="bottom"/>
          </w:tcPr>
          <w:p>
            <w:pPr>
              <w:jc w:val="center"/>
              <w:ind w:left="280"/>
              <w:spacing w:after="0" w:line="135" w:lineRule="exact"/>
              <w:rPr>
                <w:sz w:val="20"/>
                <w:szCs w:val="20"/>
                <w:color w:val="auto"/>
              </w:rPr>
            </w:pPr>
            <w:r>
              <w:rPr>
                <w:rFonts w:ascii="Calibri" w:cs="Calibri" w:eastAsia="Calibri" w:hAnsi="Calibri"/>
                <w:sz w:val="14"/>
                <w:szCs w:val="14"/>
                <w:b w:val="1"/>
                <w:bCs w:val="1"/>
                <w:color w:val="auto"/>
              </w:rPr>
              <w:t>(or Units)</w:t>
            </w:r>
          </w:p>
        </w:tc>
        <w:tc>
          <w:tcPr>
            <w:tcW w:w="1700" w:type="dxa"/>
            <w:vAlign w:val="bottom"/>
          </w:tcPr>
          <w:p>
            <w:pPr>
              <w:jc w:val="center"/>
              <w:ind w:right="379"/>
              <w:spacing w:after="0" w:line="135" w:lineRule="exact"/>
              <w:rPr>
                <w:sz w:val="20"/>
                <w:szCs w:val="20"/>
                <w:color w:val="auto"/>
              </w:rPr>
            </w:pPr>
            <w:r>
              <w:rPr>
                <w:rFonts w:ascii="Calibri" w:cs="Calibri" w:eastAsia="Calibri" w:hAnsi="Calibri"/>
                <w:sz w:val="14"/>
                <w:szCs w:val="14"/>
                <w:b w:val="1"/>
                <w:bCs w:val="1"/>
                <w:color w:val="auto"/>
              </w:rPr>
              <w:t>per Share</w:t>
            </w:r>
          </w:p>
        </w:tc>
        <w:tc>
          <w:tcPr>
            <w:tcW w:w="1280" w:type="dxa"/>
            <w:vAlign w:val="bottom"/>
          </w:tcPr>
          <w:p>
            <w:pPr>
              <w:jc w:val="center"/>
              <w:ind w:left="128"/>
              <w:spacing w:after="0" w:line="135" w:lineRule="exact"/>
              <w:rPr>
                <w:sz w:val="20"/>
                <w:szCs w:val="20"/>
                <w:color w:val="auto"/>
              </w:rPr>
            </w:pPr>
            <w:r>
              <w:rPr>
                <w:rFonts w:ascii="Calibri" w:cs="Calibri" w:eastAsia="Calibri" w:hAnsi="Calibri"/>
                <w:sz w:val="14"/>
                <w:szCs w:val="14"/>
                <w:b w:val="1"/>
                <w:bCs w:val="1"/>
                <w:color w:val="auto"/>
              </w:rPr>
              <w:t>Announced Plans</w:t>
            </w:r>
          </w:p>
        </w:tc>
        <w:tc>
          <w:tcPr>
            <w:tcW w:w="520" w:type="dxa"/>
            <w:vAlign w:val="bottom"/>
          </w:tcPr>
          <w:p>
            <w:pPr>
              <w:spacing w:after="0"/>
              <w:rPr>
                <w:sz w:val="11"/>
                <w:szCs w:val="11"/>
                <w:color w:val="auto"/>
              </w:rPr>
            </w:pPr>
          </w:p>
        </w:tc>
        <w:tc>
          <w:tcPr>
            <w:tcW w:w="2040" w:type="dxa"/>
            <w:vAlign w:val="bottom"/>
          </w:tcPr>
          <w:p>
            <w:pPr>
              <w:jc w:val="center"/>
              <w:ind w:right="242"/>
              <w:spacing w:after="0" w:line="135" w:lineRule="exact"/>
              <w:rPr>
                <w:sz w:val="20"/>
                <w:szCs w:val="20"/>
                <w:color w:val="auto"/>
              </w:rPr>
            </w:pPr>
            <w:r>
              <w:rPr>
                <w:rFonts w:ascii="Calibri" w:cs="Calibri" w:eastAsia="Calibri" w:hAnsi="Calibri"/>
                <w:sz w:val="14"/>
                <w:szCs w:val="14"/>
                <w:b w:val="1"/>
                <w:bCs w:val="1"/>
                <w:color w:val="auto"/>
              </w:rPr>
              <w:t>the Plans or</w:t>
            </w:r>
          </w:p>
        </w:tc>
        <w:tc>
          <w:tcPr>
            <w:tcW w:w="0" w:type="dxa"/>
            <w:vAlign w:val="bottom"/>
          </w:tcPr>
          <w:p>
            <w:pPr>
              <w:spacing w:after="0"/>
              <w:rPr>
                <w:sz w:val="1"/>
                <w:szCs w:val="1"/>
                <w:color w:val="auto"/>
              </w:rPr>
            </w:pPr>
          </w:p>
        </w:tc>
      </w:tr>
      <w:tr>
        <w:trPr>
          <w:trHeight w:val="183"/>
        </w:trPr>
        <w:tc>
          <w:tcPr>
            <w:tcW w:w="3320" w:type="dxa"/>
            <w:vAlign w:val="bottom"/>
          </w:tcPr>
          <w:p>
            <w:pPr>
              <w:ind w:left="1880"/>
              <w:spacing w:after="0"/>
              <w:rPr>
                <w:sz w:val="20"/>
                <w:szCs w:val="20"/>
                <w:color w:val="auto"/>
              </w:rPr>
            </w:pPr>
            <w:r>
              <w:rPr>
                <w:rFonts w:ascii="Calibri" w:cs="Calibri" w:eastAsia="Calibri" w:hAnsi="Calibri"/>
                <w:sz w:val="14"/>
                <w:szCs w:val="14"/>
                <w:b w:val="1"/>
                <w:bCs w:val="1"/>
                <w:color w:val="auto"/>
              </w:rPr>
              <w:t>Period</w:t>
            </w:r>
          </w:p>
        </w:tc>
        <w:tc>
          <w:tcPr>
            <w:tcW w:w="2380" w:type="dxa"/>
            <w:vAlign w:val="bottom"/>
          </w:tcPr>
          <w:p>
            <w:pPr>
              <w:jc w:val="center"/>
              <w:ind w:left="320"/>
              <w:spacing w:after="0"/>
              <w:rPr>
                <w:sz w:val="20"/>
                <w:szCs w:val="20"/>
                <w:color w:val="auto"/>
              </w:rPr>
            </w:pPr>
            <w:r>
              <w:rPr>
                <w:rFonts w:ascii="Calibri" w:cs="Calibri" w:eastAsia="Calibri" w:hAnsi="Calibri"/>
                <w:sz w:val="14"/>
                <w:szCs w:val="14"/>
                <w:b w:val="1"/>
                <w:bCs w:val="1"/>
                <w:color w:val="auto"/>
              </w:rPr>
              <w:t>Purchased</w:t>
            </w:r>
          </w:p>
        </w:tc>
        <w:tc>
          <w:tcPr>
            <w:tcW w:w="1700" w:type="dxa"/>
            <w:vAlign w:val="bottom"/>
          </w:tcPr>
          <w:p>
            <w:pPr>
              <w:jc w:val="center"/>
              <w:ind w:right="339"/>
              <w:spacing w:after="0"/>
              <w:rPr>
                <w:sz w:val="20"/>
                <w:szCs w:val="20"/>
                <w:color w:val="auto"/>
              </w:rPr>
            </w:pPr>
            <w:r>
              <w:rPr>
                <w:rFonts w:ascii="Calibri" w:cs="Calibri" w:eastAsia="Calibri" w:hAnsi="Calibri"/>
                <w:sz w:val="14"/>
                <w:szCs w:val="14"/>
                <w:b w:val="1"/>
                <w:bCs w:val="1"/>
                <w:color w:val="auto"/>
              </w:rPr>
              <w:t>(or Unit)</w:t>
            </w:r>
          </w:p>
        </w:tc>
        <w:tc>
          <w:tcPr>
            <w:tcW w:w="1280" w:type="dxa"/>
            <w:vAlign w:val="bottom"/>
          </w:tcPr>
          <w:p>
            <w:pPr>
              <w:jc w:val="center"/>
              <w:ind w:left="168"/>
              <w:spacing w:after="0"/>
              <w:rPr>
                <w:sz w:val="20"/>
                <w:szCs w:val="20"/>
                <w:color w:val="auto"/>
              </w:rPr>
            </w:pPr>
            <w:r>
              <w:rPr>
                <w:rFonts w:ascii="Calibri" w:cs="Calibri" w:eastAsia="Calibri" w:hAnsi="Calibri"/>
                <w:sz w:val="14"/>
                <w:szCs w:val="14"/>
                <w:b w:val="1"/>
                <w:bCs w:val="1"/>
                <w:color w:val="auto"/>
              </w:rPr>
              <w:t>or Programs</w:t>
            </w:r>
          </w:p>
        </w:tc>
        <w:tc>
          <w:tcPr>
            <w:tcW w:w="520" w:type="dxa"/>
            <w:vAlign w:val="bottom"/>
          </w:tcPr>
          <w:p>
            <w:pPr>
              <w:spacing w:after="0"/>
              <w:rPr>
                <w:sz w:val="15"/>
                <w:szCs w:val="15"/>
                <w:color w:val="auto"/>
              </w:rPr>
            </w:pPr>
          </w:p>
        </w:tc>
        <w:tc>
          <w:tcPr>
            <w:tcW w:w="2040" w:type="dxa"/>
            <w:vAlign w:val="bottom"/>
          </w:tcPr>
          <w:p>
            <w:pPr>
              <w:jc w:val="center"/>
              <w:ind w:right="222"/>
              <w:spacing w:after="0"/>
              <w:rPr>
                <w:sz w:val="20"/>
                <w:szCs w:val="20"/>
                <w:color w:val="auto"/>
              </w:rPr>
            </w:pPr>
            <w:r>
              <w:rPr>
                <w:rFonts w:ascii="Calibri" w:cs="Calibri" w:eastAsia="Calibri" w:hAnsi="Calibri"/>
                <w:sz w:val="14"/>
                <w:szCs w:val="14"/>
                <w:b w:val="1"/>
                <w:bCs w:val="1"/>
                <w:color w:val="auto"/>
              </w:rPr>
              <w:t>Programs</w:t>
            </w:r>
          </w:p>
        </w:tc>
        <w:tc>
          <w:tcPr>
            <w:tcW w:w="0" w:type="dxa"/>
            <w:vAlign w:val="bottom"/>
          </w:tcPr>
          <w:p>
            <w:pPr>
              <w:spacing w:after="0"/>
              <w:rPr>
                <w:sz w:val="1"/>
                <w:szCs w:val="1"/>
                <w:color w:val="auto"/>
              </w:rPr>
            </w:pPr>
          </w:p>
        </w:tc>
      </w:tr>
      <w:tr>
        <w:trPr>
          <w:trHeight w:val="248"/>
        </w:trPr>
        <w:tc>
          <w:tcPr>
            <w:tcW w:w="3320" w:type="dxa"/>
            <w:vAlign w:val="bottom"/>
          </w:tcPr>
          <w:p>
            <w:pPr>
              <w:ind w:left="20"/>
              <w:spacing w:after="0"/>
              <w:rPr>
                <w:sz w:val="20"/>
                <w:szCs w:val="20"/>
                <w:color w:val="auto"/>
              </w:rPr>
            </w:pPr>
            <w:r>
              <w:rPr>
                <w:rFonts w:ascii="Calibri" w:cs="Calibri" w:eastAsia="Calibri" w:hAnsi="Calibri"/>
                <w:sz w:val="18"/>
                <w:szCs w:val="18"/>
                <w:color w:val="auto"/>
              </w:rPr>
              <w:t>April 1, 2024 - April 30, 2024</w:t>
            </w:r>
          </w:p>
        </w:tc>
        <w:tc>
          <w:tcPr>
            <w:tcW w:w="2380" w:type="dxa"/>
            <w:vAlign w:val="bottom"/>
          </w:tcPr>
          <w:p>
            <w:pPr>
              <w:jc w:val="right"/>
              <w:ind w:right="200"/>
              <w:spacing w:after="0" w:line="247" w:lineRule="exact"/>
              <w:rPr>
                <w:sz w:val="20"/>
                <w:szCs w:val="20"/>
                <w:color w:val="auto"/>
              </w:rPr>
            </w:pPr>
            <w:r>
              <w:rPr>
                <w:rFonts w:ascii="Calibri" w:cs="Calibri" w:eastAsia="Calibri" w:hAnsi="Calibri"/>
                <w:sz w:val="18"/>
                <w:szCs w:val="18"/>
                <w:color w:val="auto"/>
              </w:rPr>
              <w:t xml:space="preserve">986 </w:t>
            </w:r>
            <w:r>
              <w:rPr>
                <w:rFonts w:ascii="Calibri" w:cs="Calibri" w:eastAsia="Calibri" w:hAnsi="Calibri"/>
                <w:sz w:val="23"/>
                <w:szCs w:val="23"/>
                <w:color w:val="auto"/>
                <w:vertAlign w:val="superscript"/>
              </w:rPr>
              <w:t>(1)</w:t>
            </w:r>
          </w:p>
        </w:tc>
        <w:tc>
          <w:tcPr>
            <w:tcW w:w="1700" w:type="dxa"/>
            <w:vAlign w:val="bottom"/>
          </w:tcPr>
          <w:p>
            <w:pPr>
              <w:jc w:val="right"/>
              <w:ind w:right="139"/>
              <w:spacing w:after="0" w:line="247" w:lineRule="exact"/>
              <w:rPr>
                <w:sz w:val="20"/>
                <w:szCs w:val="20"/>
                <w:color w:val="auto"/>
              </w:rPr>
            </w:pPr>
            <w:r>
              <w:rPr>
                <w:rFonts w:ascii="Calibri" w:cs="Calibri" w:eastAsia="Calibri" w:hAnsi="Calibri"/>
                <w:sz w:val="18"/>
                <w:szCs w:val="18"/>
                <w:color w:val="auto"/>
              </w:rPr>
              <w:t xml:space="preserve">$170.95 </w:t>
            </w:r>
            <w:r>
              <w:rPr>
                <w:rFonts w:ascii="Calibri" w:cs="Calibri" w:eastAsia="Calibri" w:hAnsi="Calibri"/>
                <w:sz w:val="23"/>
                <w:szCs w:val="23"/>
                <w:color w:val="auto"/>
                <w:vertAlign w:val="superscript"/>
              </w:rPr>
              <w:t>(1)</w:t>
            </w:r>
          </w:p>
        </w:tc>
        <w:tc>
          <w:tcPr>
            <w:tcW w:w="12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Calibri" w:cs="Calibri" w:eastAsia="Calibri" w:hAnsi="Calibri"/>
                <w:sz w:val="18"/>
                <w:szCs w:val="18"/>
                <w:color w:val="auto"/>
              </w:rPr>
              <w:t>—</w:t>
            </w:r>
          </w:p>
        </w:tc>
        <w:tc>
          <w:tcPr>
            <w:tcW w:w="2040" w:type="dxa"/>
            <w:vAlign w:val="bottom"/>
          </w:tcPr>
          <w:p>
            <w:pPr>
              <w:jc w:val="right"/>
              <w:ind w:right="322"/>
              <w:spacing w:after="0"/>
              <w:rPr>
                <w:sz w:val="20"/>
                <w:szCs w:val="20"/>
                <w:color w:val="auto"/>
              </w:rPr>
            </w:pPr>
            <w:r>
              <w:rPr>
                <w:rFonts w:ascii="Calibri" w:cs="Calibri" w:eastAsia="Calibri" w:hAnsi="Calibri"/>
                <w:sz w:val="18"/>
                <w:szCs w:val="18"/>
                <w:color w:val="auto"/>
              </w:rPr>
              <w:t>$3,849,610,303</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Calibri" w:cs="Calibri" w:eastAsia="Calibri" w:hAnsi="Calibri"/>
                <w:sz w:val="18"/>
                <w:szCs w:val="18"/>
                <w:color w:val="auto"/>
              </w:rPr>
              <w:t>May 1, 2024 - May 31, 2024</w:t>
            </w:r>
          </w:p>
        </w:tc>
        <w:tc>
          <w:tcPr>
            <w:tcW w:w="2380" w:type="dxa"/>
            <w:vAlign w:val="bottom"/>
          </w:tcPr>
          <w:p>
            <w:pPr>
              <w:jc w:val="right"/>
              <w:ind w:right="200"/>
              <w:spacing w:after="0" w:line="230" w:lineRule="exact"/>
              <w:rPr>
                <w:sz w:val="20"/>
                <w:szCs w:val="20"/>
                <w:color w:val="auto"/>
              </w:rPr>
            </w:pPr>
            <w:r>
              <w:rPr>
                <w:rFonts w:ascii="Calibri" w:cs="Calibri" w:eastAsia="Calibri" w:hAnsi="Calibri"/>
                <w:sz w:val="18"/>
                <w:szCs w:val="18"/>
                <w:color w:val="auto"/>
              </w:rPr>
              <w:t xml:space="preserve">1,058 </w:t>
            </w:r>
            <w:r>
              <w:rPr>
                <w:rFonts w:ascii="Calibri" w:cs="Calibri" w:eastAsia="Calibri" w:hAnsi="Calibri"/>
                <w:sz w:val="23"/>
                <w:szCs w:val="23"/>
                <w:color w:val="auto"/>
                <w:vertAlign w:val="superscript"/>
              </w:rPr>
              <w:t>(1)</w:t>
            </w:r>
          </w:p>
        </w:tc>
        <w:tc>
          <w:tcPr>
            <w:tcW w:w="1700" w:type="dxa"/>
            <w:vAlign w:val="bottom"/>
          </w:tcPr>
          <w:p>
            <w:pPr>
              <w:jc w:val="right"/>
              <w:ind w:right="139"/>
              <w:spacing w:after="0" w:line="230" w:lineRule="exact"/>
              <w:rPr>
                <w:sz w:val="20"/>
                <w:szCs w:val="20"/>
                <w:color w:val="auto"/>
              </w:rPr>
            </w:pPr>
            <w:r>
              <w:rPr>
                <w:rFonts w:ascii="Calibri" w:cs="Calibri" w:eastAsia="Calibri" w:hAnsi="Calibri"/>
                <w:sz w:val="18"/>
                <w:szCs w:val="18"/>
                <w:color w:val="auto"/>
              </w:rPr>
              <w:t xml:space="preserve">$162.91 </w:t>
            </w:r>
            <w:r>
              <w:rPr>
                <w:rFonts w:ascii="Calibri" w:cs="Calibri" w:eastAsia="Calibri" w:hAnsi="Calibri"/>
                <w:sz w:val="23"/>
                <w:szCs w:val="23"/>
                <w:color w:val="auto"/>
                <w:vertAlign w:val="superscript"/>
              </w:rPr>
              <w:t>(1)</w:t>
            </w:r>
          </w:p>
        </w:tc>
        <w:tc>
          <w:tcPr>
            <w:tcW w:w="12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Calibri" w:cs="Calibri" w:eastAsia="Calibri" w:hAnsi="Calibri"/>
                <w:sz w:val="18"/>
                <w:szCs w:val="18"/>
                <w:color w:val="auto"/>
              </w:rPr>
              <w:t>—</w:t>
            </w:r>
          </w:p>
        </w:tc>
        <w:tc>
          <w:tcPr>
            <w:tcW w:w="2040" w:type="dxa"/>
            <w:vAlign w:val="bottom"/>
          </w:tcPr>
          <w:p>
            <w:pPr>
              <w:jc w:val="right"/>
              <w:ind w:right="322"/>
              <w:spacing w:after="0"/>
              <w:rPr>
                <w:sz w:val="20"/>
                <w:szCs w:val="20"/>
                <w:color w:val="auto"/>
              </w:rPr>
            </w:pPr>
            <w:r>
              <w:rPr>
                <w:rFonts w:ascii="Calibri" w:cs="Calibri" w:eastAsia="Calibri" w:hAnsi="Calibri"/>
                <w:sz w:val="18"/>
                <w:szCs w:val="18"/>
                <w:color w:val="auto"/>
              </w:rPr>
              <w:t>$3,849,610,303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Calibri" w:cs="Calibri" w:eastAsia="Calibri" w:hAnsi="Calibri"/>
                <w:sz w:val="18"/>
                <w:szCs w:val="18"/>
                <w:color w:val="auto"/>
              </w:rPr>
              <w:t>June 1, 2024 - June 30, 2024</w:t>
            </w:r>
          </w:p>
        </w:tc>
        <w:tc>
          <w:tcPr>
            <w:tcW w:w="2380" w:type="dxa"/>
            <w:vAlign w:val="bottom"/>
          </w:tcPr>
          <w:p>
            <w:pPr>
              <w:jc w:val="right"/>
              <w:ind w:right="200"/>
              <w:spacing w:after="0" w:line="243" w:lineRule="exact"/>
              <w:rPr>
                <w:sz w:val="20"/>
                <w:szCs w:val="20"/>
                <w:color w:val="auto"/>
              </w:rPr>
            </w:pPr>
            <w:r>
              <w:rPr>
                <w:rFonts w:ascii="Calibri" w:cs="Calibri" w:eastAsia="Calibri" w:hAnsi="Calibri"/>
                <w:sz w:val="18"/>
                <w:szCs w:val="18"/>
                <w:color w:val="auto"/>
              </w:rPr>
              <w:t xml:space="preserve">1,081 </w:t>
            </w:r>
            <w:r>
              <w:rPr>
                <w:rFonts w:ascii="Calibri" w:cs="Calibri" w:eastAsia="Calibri" w:hAnsi="Calibri"/>
                <w:sz w:val="23"/>
                <w:szCs w:val="23"/>
                <w:color w:val="auto"/>
                <w:vertAlign w:val="superscript"/>
              </w:rPr>
              <w:t>(1)</w:t>
            </w:r>
          </w:p>
        </w:tc>
        <w:tc>
          <w:tcPr>
            <w:tcW w:w="1700" w:type="dxa"/>
            <w:vAlign w:val="bottom"/>
          </w:tcPr>
          <w:p>
            <w:pPr>
              <w:jc w:val="right"/>
              <w:ind w:right="139"/>
              <w:spacing w:after="0" w:line="243" w:lineRule="exact"/>
              <w:rPr>
                <w:sz w:val="20"/>
                <w:szCs w:val="20"/>
                <w:color w:val="auto"/>
              </w:rPr>
            </w:pPr>
            <w:r>
              <w:rPr>
                <w:rFonts w:ascii="Calibri" w:cs="Calibri" w:eastAsia="Calibri" w:hAnsi="Calibri"/>
                <w:sz w:val="18"/>
                <w:szCs w:val="18"/>
                <w:color w:val="auto"/>
              </w:rPr>
              <w:t xml:space="preserve">$167.51 </w:t>
            </w:r>
            <w:r>
              <w:rPr>
                <w:rFonts w:ascii="Calibri" w:cs="Calibri" w:eastAsia="Calibri" w:hAnsi="Calibri"/>
                <w:sz w:val="23"/>
                <w:szCs w:val="23"/>
                <w:color w:val="auto"/>
                <w:vertAlign w:val="superscript"/>
              </w:rPr>
              <w:t>(1)</w:t>
            </w:r>
          </w:p>
        </w:tc>
        <w:tc>
          <w:tcPr>
            <w:tcW w:w="12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Calibri" w:cs="Calibri" w:eastAsia="Calibri" w:hAnsi="Calibri"/>
                <w:sz w:val="18"/>
                <w:szCs w:val="18"/>
                <w:color w:val="auto"/>
              </w:rPr>
              <w:t>—</w:t>
            </w:r>
          </w:p>
        </w:tc>
        <w:tc>
          <w:tcPr>
            <w:tcW w:w="2040" w:type="dxa"/>
            <w:vAlign w:val="bottom"/>
          </w:tcPr>
          <w:p>
            <w:pPr>
              <w:jc w:val="right"/>
              <w:ind w:right="322"/>
              <w:spacing w:after="0"/>
              <w:rPr>
                <w:sz w:val="20"/>
                <w:szCs w:val="20"/>
                <w:color w:val="auto"/>
              </w:rPr>
            </w:pPr>
            <w:r>
              <w:rPr>
                <w:rFonts w:ascii="Calibri" w:cs="Calibri" w:eastAsia="Calibri" w:hAnsi="Calibri"/>
                <w:sz w:val="18"/>
                <w:szCs w:val="18"/>
                <w:color w:val="auto"/>
              </w:rPr>
              <w:t>$3,849,610,303</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auto"/>
              </w:rPr>
              <w:t>Total</w:t>
            </w:r>
          </w:p>
        </w:tc>
        <w:tc>
          <w:tcPr>
            <w:tcW w:w="2380" w:type="dxa"/>
            <w:vAlign w:val="bottom"/>
            <w:tcBorders>
              <w:bottom w:val="single" w:sz="8" w:color="auto"/>
            </w:tcBorders>
          </w:tcPr>
          <w:p>
            <w:pPr>
              <w:jc w:val="right"/>
              <w:ind w:right="200"/>
              <w:spacing w:after="0" w:line="270" w:lineRule="exact"/>
              <w:rPr>
                <w:sz w:val="20"/>
                <w:szCs w:val="20"/>
                <w:color w:val="auto"/>
              </w:rPr>
            </w:pPr>
            <w:r>
              <w:rPr>
                <w:rFonts w:ascii="Calibri" w:cs="Calibri" w:eastAsia="Calibri" w:hAnsi="Calibri"/>
                <w:sz w:val="18"/>
                <w:szCs w:val="18"/>
                <w:color w:val="auto"/>
              </w:rPr>
              <w:t xml:space="preserve">3,125 </w:t>
            </w:r>
            <w:r>
              <w:rPr>
                <w:rFonts w:ascii="Calibri" w:cs="Calibri" w:eastAsia="Calibri" w:hAnsi="Calibri"/>
                <w:sz w:val="23"/>
                <w:szCs w:val="23"/>
                <w:color w:val="auto"/>
                <w:vertAlign w:val="superscript"/>
              </w:rPr>
              <w:t>(1)</w:t>
            </w:r>
          </w:p>
        </w:tc>
        <w:tc>
          <w:tcPr>
            <w:tcW w:w="1700" w:type="dxa"/>
            <w:vAlign w:val="bottom"/>
            <w:tcBorders>
              <w:bottom w:val="single" w:sz="8" w:color="auto"/>
            </w:tcBorders>
          </w:tcPr>
          <w:p>
            <w:pPr>
              <w:jc w:val="right"/>
              <w:ind w:right="139"/>
              <w:spacing w:after="0" w:line="270" w:lineRule="exact"/>
              <w:rPr>
                <w:sz w:val="20"/>
                <w:szCs w:val="20"/>
                <w:color w:val="auto"/>
              </w:rPr>
            </w:pPr>
            <w:r>
              <w:rPr>
                <w:rFonts w:ascii="Calibri" w:cs="Calibri" w:eastAsia="Calibri" w:hAnsi="Calibri"/>
                <w:sz w:val="18"/>
                <w:szCs w:val="18"/>
                <w:color w:val="auto"/>
              </w:rPr>
              <w:t xml:space="preserve">$167.04 </w:t>
            </w:r>
            <w:r>
              <w:rPr>
                <w:rFonts w:ascii="Calibri" w:cs="Calibri" w:eastAsia="Calibri" w:hAnsi="Calibri"/>
                <w:sz w:val="23"/>
                <w:szCs w:val="23"/>
                <w:color w:val="auto"/>
                <w:vertAlign w:val="superscript"/>
              </w:rPr>
              <w:t>(1)</w:t>
            </w:r>
          </w:p>
        </w:tc>
        <w:tc>
          <w:tcPr>
            <w:tcW w:w="12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rPr>
              <w:t>—</w:t>
            </w:r>
          </w:p>
        </w:tc>
        <w:tc>
          <w:tcPr>
            <w:tcW w:w="2040" w:type="dxa"/>
            <w:vAlign w:val="bottom"/>
            <w:tcBorders>
              <w:bottom w:val="single" w:sz="8" w:color="auto"/>
            </w:tcBorders>
          </w:tcPr>
          <w:p>
            <w:pPr>
              <w:jc w:val="right"/>
              <w:ind w:right="322"/>
              <w:spacing w:after="0"/>
              <w:rPr>
                <w:sz w:val="20"/>
                <w:szCs w:val="20"/>
                <w:color w:val="auto"/>
              </w:rPr>
            </w:pPr>
            <w:r>
              <w:rPr>
                <w:rFonts w:ascii="Calibri" w:cs="Calibri" w:eastAsia="Calibri" w:hAnsi="Calibri"/>
                <w:sz w:val="18"/>
                <w:szCs w:val="18"/>
                <w:color w:val="auto"/>
              </w:rPr>
              <w:t>$3,849,610,303</w:t>
            </w:r>
          </w:p>
        </w:tc>
        <w:tc>
          <w:tcPr>
            <w:tcW w:w="0" w:type="dxa"/>
            <w:vAlign w:val="bottom"/>
          </w:tcPr>
          <w:p>
            <w:pPr>
              <w:spacing w:after="0"/>
              <w:rPr>
                <w:sz w:val="1"/>
                <w:szCs w:val="1"/>
                <w:color w:val="auto"/>
              </w:rPr>
            </w:pP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20" w:right="340" w:hanging="412"/>
        <w:spacing w:after="0" w:line="235" w:lineRule="auto"/>
        <w:tabs>
          <w:tab w:leader="none" w:pos="405"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In additon to AbbVie shares repurchased on the open market under a publicly announced program, if any, these shares also included the shares purchased on the open market for the beneft of partcipants in the AbbVie Employee Stock Purchase Plan – 986 in April; 1,058 in May; and 1,081 in June.</w:t>
      </w:r>
    </w:p>
    <w:p>
      <w:pPr>
        <w:spacing w:after="0" w:line="137" w:lineRule="exact"/>
        <w:rPr>
          <w:rFonts w:ascii="Calibri" w:cs="Calibri" w:eastAsia="Calibri" w:hAnsi="Calibri"/>
          <w:sz w:val="18"/>
          <w:szCs w:val="18"/>
          <w:color w:val="auto"/>
        </w:rPr>
      </w:pPr>
    </w:p>
    <w:p>
      <w:pPr>
        <w:ind w:left="420" w:right="4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These shares do not include the shares surrendered to AbbVie to satsfy minimum tax withholding obligatons in connecton with the vestng or exercise of stock-based awards.</w:t>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44867"/>
        </w:rPr>
        <w:t>ITEM 5.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760" w:hanging="226"/>
        <w:spacing w:after="0"/>
        <w:tabs>
          <w:tab w:leader="none" w:pos="760" w:val="left"/>
        </w:tabs>
        <w:numPr>
          <w:ilvl w:val="0"/>
          <w:numId w:val="21"/>
        </w:numPr>
        <w:rPr>
          <w:rFonts w:ascii="Calibri" w:cs="Calibri" w:eastAsia="Calibri" w:hAnsi="Calibri"/>
          <w:sz w:val="18"/>
          <w:szCs w:val="18"/>
          <w:color w:val="auto"/>
        </w:rPr>
      </w:pPr>
      <w:r>
        <w:rPr>
          <w:rFonts w:ascii="Calibri" w:cs="Calibri" w:eastAsia="Calibri" w:hAnsi="Calibri"/>
          <w:sz w:val="18"/>
          <w:szCs w:val="18"/>
          <w:i w:val="1"/>
          <w:iCs w:val="1"/>
          <w:color w:val="auto"/>
        </w:rPr>
        <w:t>Director and Ofcer Trading Arrangements</w:t>
      </w:r>
    </w:p>
    <w:p>
      <w:pPr>
        <w:spacing w:after="0" w:line="150"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During the three months ended June 30, 2024, no director or ofcer of the company adopted, modifed or terminated a “Rule 10b5-1 trading arrangement” or “non-Rule 10b5-1 trading arrangement,” as each term is defned in Item 408(a) of Regulaton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975360</wp:posOffset>
            </wp:positionV>
            <wp:extent cx="51435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40</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42" w:name="page43"/>
    <w:bookmarkEnd w:id="42"/>
    <w:p>
      <w:pPr>
        <w:spacing w:after="0"/>
        <w:rPr>
          <w:sz w:val="20"/>
          <w:szCs w:val="20"/>
          <w:color w:val="auto"/>
        </w:rPr>
      </w:pPr>
      <w:r>
        <w:rPr>
          <w:rFonts w:ascii="Calibri" w:cs="Calibri" w:eastAsia="Calibri" w:hAnsi="Calibri"/>
          <w:sz w:val="22"/>
          <w:szCs w:val="22"/>
          <w:b w:val="1"/>
          <w:bCs w:val="1"/>
          <w:color w:val="444867"/>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color w:val="auto"/>
        </w:rPr>
        <w:t>Exhibits 32.1 and 32.2 are furnished herewith and should not be deemed to be “fled” under the Securites Exchange Act of 1934.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gridSpan w:val="2"/>
          </w:tcPr>
          <w:p>
            <w:pPr>
              <w:jc w:val="center"/>
              <w:ind w:right="140"/>
              <w:spacing w:after="0"/>
              <w:rPr>
                <w:sz w:val="20"/>
                <w:szCs w:val="20"/>
                <w:color w:val="auto"/>
              </w:rPr>
            </w:pPr>
            <w:r>
              <w:rPr>
                <w:rFonts w:ascii="Calibri" w:cs="Calibri" w:eastAsia="Calibri" w:hAnsi="Calibri"/>
                <w:sz w:val="18"/>
                <w:szCs w:val="18"/>
                <w:b w:val="1"/>
                <w:bCs w:val="1"/>
                <w:color w:val="auto"/>
                <w:w w:val="97"/>
              </w:rPr>
              <w:t>Exhibit No.</w:t>
            </w:r>
          </w:p>
        </w:tc>
        <w:tc>
          <w:tcPr>
            <w:tcW w:w="8480" w:type="dxa"/>
            <w:vAlign w:val="bottom"/>
          </w:tcPr>
          <w:p>
            <w:pPr>
              <w:ind w:left="3560"/>
              <w:spacing w:after="0"/>
              <w:rPr>
                <w:sz w:val="20"/>
                <w:szCs w:val="20"/>
                <w:color w:val="auto"/>
              </w:rPr>
            </w:pPr>
            <w:r>
              <w:rPr>
                <w:rFonts w:ascii="Calibri" w:cs="Calibri" w:eastAsia="Calibri" w:hAnsi="Calibri"/>
                <w:sz w:val="18"/>
                <w:szCs w:val="18"/>
                <w:b w:val="1"/>
                <w:bCs w:val="1"/>
                <w:color w:val="auto"/>
              </w:rPr>
              <w:t>Exhibit Descripton</w:t>
            </w:r>
          </w:p>
        </w:tc>
      </w:tr>
      <w:tr>
        <w:trPr>
          <w:trHeight w:val="23"/>
        </w:trPr>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r>
      <w:tr>
        <w:trPr>
          <w:trHeight w:val="208"/>
        </w:trPr>
        <w:tc>
          <w:tcPr>
            <w:tcW w:w="1220" w:type="dxa"/>
            <w:vAlign w:val="bottom"/>
          </w:tcPr>
          <w:p>
            <w:pPr>
              <w:jc w:val="center"/>
              <w:spacing w:after="0" w:line="208" w:lineRule="exact"/>
              <w:rPr>
                <w:sz w:val="20"/>
                <w:szCs w:val="20"/>
                <w:color w:val="auto"/>
              </w:rPr>
            </w:pPr>
            <w:r>
              <w:rPr>
                <w:rFonts w:ascii="Calibri" w:cs="Calibri" w:eastAsia="Calibri" w:hAnsi="Calibri"/>
                <w:sz w:val="18"/>
                <w:szCs w:val="18"/>
                <w:color w:val="auto"/>
              </w:rPr>
              <w:t>31.1</w:t>
            </w:r>
          </w:p>
        </w:tc>
        <w:tc>
          <w:tcPr>
            <w:tcW w:w="160" w:type="dxa"/>
            <w:vAlign w:val="bottom"/>
          </w:tcPr>
          <w:p>
            <w:pPr>
              <w:spacing w:after="0"/>
              <w:rPr>
                <w:sz w:val="18"/>
                <w:szCs w:val="18"/>
                <w:color w:val="auto"/>
              </w:rPr>
            </w:pPr>
          </w:p>
        </w:tc>
        <w:tc>
          <w:tcPr>
            <w:tcW w:w="8480" w:type="dxa"/>
            <w:vAlign w:val="bottom"/>
          </w:tcPr>
          <w:p>
            <w:pPr>
              <w:spacing w:after="0" w:line="208" w:lineRule="exact"/>
              <w:rPr>
                <w:sz w:val="20"/>
                <w:szCs w:val="20"/>
                <w:color w:val="auto"/>
              </w:rPr>
            </w:pPr>
            <w:r>
              <w:rPr>
                <w:rFonts w:ascii="Calibri" w:cs="Calibri" w:eastAsia="Calibri" w:hAnsi="Calibri"/>
                <w:sz w:val="18"/>
                <w:szCs w:val="18"/>
                <w:color w:val="auto"/>
              </w:rPr>
              <w:t>Certfcaton of Chief Executve Ofcer Required by Rule 13a-14(a) (17 CFR 240.13a-14(a)).</w:t>
            </w:r>
          </w:p>
        </w:tc>
      </w:tr>
      <w:tr>
        <w:trPr>
          <w:trHeight w:val="275"/>
        </w:trPr>
        <w:tc>
          <w:tcPr>
            <w:tcW w:w="1220" w:type="dxa"/>
            <w:vAlign w:val="bottom"/>
          </w:tcPr>
          <w:p>
            <w:pPr>
              <w:jc w:val="center"/>
              <w:spacing w:after="0"/>
              <w:rPr>
                <w:sz w:val="20"/>
                <w:szCs w:val="20"/>
                <w:color w:val="auto"/>
              </w:rPr>
            </w:pPr>
            <w:r>
              <w:rPr>
                <w:rFonts w:ascii="Calibri" w:cs="Calibri" w:eastAsia="Calibri" w:hAnsi="Calibri"/>
                <w:sz w:val="18"/>
                <w:szCs w:val="18"/>
                <w:color w:val="auto"/>
              </w:rPr>
              <w:t>31.2</w:t>
            </w:r>
          </w:p>
        </w:tc>
        <w:tc>
          <w:tcPr>
            <w:tcW w:w="160" w:type="dxa"/>
            <w:vAlign w:val="bottom"/>
          </w:tcPr>
          <w:p>
            <w:pPr>
              <w:spacing w:after="0"/>
              <w:rPr>
                <w:sz w:val="23"/>
                <w:szCs w:val="23"/>
                <w:color w:val="auto"/>
              </w:rPr>
            </w:pPr>
          </w:p>
        </w:tc>
        <w:tc>
          <w:tcPr>
            <w:tcW w:w="8480" w:type="dxa"/>
            <w:vAlign w:val="bottom"/>
          </w:tcPr>
          <w:p>
            <w:pPr>
              <w:spacing w:after="0"/>
              <w:rPr>
                <w:sz w:val="20"/>
                <w:szCs w:val="20"/>
                <w:color w:val="auto"/>
              </w:rPr>
            </w:pPr>
            <w:r>
              <w:rPr>
                <w:rFonts w:ascii="Calibri" w:cs="Calibri" w:eastAsia="Calibri" w:hAnsi="Calibri"/>
                <w:sz w:val="18"/>
                <w:szCs w:val="18"/>
                <w:color w:val="auto"/>
              </w:rPr>
              <w:t>Certfcaton of Chief Financial Ofcer Required by Rule 13a-14(a) (17 CFR 240.13a-14(a)).</w:t>
            </w:r>
          </w:p>
        </w:tc>
      </w:tr>
      <w:tr>
        <w:trPr>
          <w:trHeight w:val="244"/>
        </w:trPr>
        <w:tc>
          <w:tcPr>
            <w:tcW w:w="1220" w:type="dxa"/>
            <w:vAlign w:val="bottom"/>
          </w:tcPr>
          <w:p>
            <w:pPr>
              <w:jc w:val="center"/>
              <w:spacing w:after="0"/>
              <w:rPr>
                <w:sz w:val="20"/>
                <w:szCs w:val="20"/>
                <w:color w:val="auto"/>
              </w:rPr>
            </w:pPr>
            <w:r>
              <w:rPr>
                <w:rFonts w:ascii="Calibri" w:cs="Calibri" w:eastAsia="Calibri" w:hAnsi="Calibri"/>
                <w:sz w:val="18"/>
                <w:szCs w:val="18"/>
                <w:color w:val="auto"/>
              </w:rPr>
              <w:t>32.1</w:t>
            </w:r>
          </w:p>
        </w:tc>
        <w:tc>
          <w:tcPr>
            <w:tcW w:w="160" w:type="dxa"/>
            <w:vAlign w:val="bottom"/>
          </w:tcPr>
          <w:p>
            <w:pPr>
              <w:spacing w:after="0"/>
              <w:rPr>
                <w:sz w:val="21"/>
                <w:szCs w:val="21"/>
                <w:color w:val="auto"/>
              </w:rPr>
            </w:pPr>
          </w:p>
        </w:tc>
        <w:tc>
          <w:tcPr>
            <w:tcW w:w="8480" w:type="dxa"/>
            <w:vAlign w:val="bottom"/>
          </w:tcPr>
          <w:p>
            <w:pPr>
              <w:spacing w:after="0"/>
              <w:rPr>
                <w:sz w:val="20"/>
                <w:szCs w:val="20"/>
                <w:color w:val="auto"/>
              </w:rPr>
            </w:pPr>
            <w:r>
              <w:rPr>
                <w:rFonts w:ascii="Calibri" w:cs="Calibri" w:eastAsia="Calibri" w:hAnsi="Calibri"/>
                <w:sz w:val="18"/>
                <w:szCs w:val="18"/>
                <w:color w:val="auto"/>
              </w:rPr>
              <w:t>Certfcaton of Chief Executve Ofcer Pursuant to 18 U.S.C. Secton 1350, as adopted pursuant to Secton 906 of the</w:t>
            </w:r>
          </w:p>
        </w:tc>
      </w:tr>
      <w:tr>
        <w:trPr>
          <w:trHeight w:val="215"/>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line="215" w:lineRule="exact"/>
              <w:rPr>
                <w:sz w:val="20"/>
                <w:szCs w:val="20"/>
                <w:color w:val="auto"/>
              </w:rPr>
            </w:pPr>
            <w:r>
              <w:rPr>
                <w:rFonts w:ascii="Calibri" w:cs="Calibri" w:eastAsia="Calibri" w:hAnsi="Calibri"/>
                <w:sz w:val="18"/>
                <w:szCs w:val="18"/>
                <w:color w:val="auto"/>
              </w:rPr>
              <w:t>Sarbanes-Oxley Act of 2002.</w:t>
            </w:r>
          </w:p>
        </w:tc>
      </w:tr>
      <w:tr>
        <w:trPr>
          <w:trHeight w:val="258"/>
        </w:trPr>
        <w:tc>
          <w:tcPr>
            <w:tcW w:w="1220" w:type="dxa"/>
            <w:vAlign w:val="bottom"/>
          </w:tcPr>
          <w:p>
            <w:pPr>
              <w:jc w:val="center"/>
              <w:spacing w:after="0"/>
              <w:rPr>
                <w:sz w:val="20"/>
                <w:szCs w:val="20"/>
                <w:color w:val="auto"/>
              </w:rPr>
            </w:pPr>
            <w:r>
              <w:rPr>
                <w:rFonts w:ascii="Calibri" w:cs="Calibri" w:eastAsia="Calibri" w:hAnsi="Calibri"/>
                <w:sz w:val="18"/>
                <w:szCs w:val="18"/>
                <w:color w:val="auto"/>
              </w:rPr>
              <w:t>32.2</w:t>
            </w:r>
          </w:p>
        </w:tc>
        <w:tc>
          <w:tcPr>
            <w:tcW w:w="160" w:type="dxa"/>
            <w:vAlign w:val="bottom"/>
          </w:tcPr>
          <w:p>
            <w:pPr>
              <w:spacing w:after="0"/>
              <w:rPr>
                <w:sz w:val="22"/>
                <w:szCs w:val="22"/>
                <w:color w:val="auto"/>
              </w:rPr>
            </w:pPr>
          </w:p>
        </w:tc>
        <w:tc>
          <w:tcPr>
            <w:tcW w:w="8480" w:type="dxa"/>
            <w:vAlign w:val="bottom"/>
          </w:tcPr>
          <w:p>
            <w:pPr>
              <w:spacing w:after="0"/>
              <w:rPr>
                <w:sz w:val="20"/>
                <w:szCs w:val="20"/>
                <w:color w:val="auto"/>
              </w:rPr>
            </w:pPr>
            <w:r>
              <w:rPr>
                <w:rFonts w:ascii="Calibri" w:cs="Calibri" w:eastAsia="Calibri" w:hAnsi="Calibri"/>
                <w:sz w:val="18"/>
                <w:szCs w:val="18"/>
                <w:color w:val="auto"/>
              </w:rPr>
              <w:t>Certfcaton of Chief Financial Ofcer Pursuant to 18 U.S.C. Secton 1350, as adopted pursuant to Secton 906 of the</w:t>
            </w:r>
          </w:p>
        </w:tc>
      </w:tr>
      <w:tr>
        <w:trPr>
          <w:trHeight w:val="215"/>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line="215" w:lineRule="exact"/>
              <w:rPr>
                <w:sz w:val="20"/>
                <w:szCs w:val="20"/>
                <w:color w:val="auto"/>
              </w:rPr>
            </w:pPr>
            <w:r>
              <w:rPr>
                <w:rFonts w:ascii="Calibri" w:cs="Calibri" w:eastAsia="Calibri" w:hAnsi="Calibri"/>
                <w:sz w:val="18"/>
                <w:szCs w:val="18"/>
                <w:color w:val="auto"/>
              </w:rPr>
              <w:t>Sarbanes-Oxley Act of 2002.</w:t>
            </w:r>
          </w:p>
        </w:tc>
      </w:tr>
    </w:tbl>
    <w:p>
      <w:pPr>
        <w:spacing w:after="0" w:line="82" w:lineRule="exact"/>
        <w:rPr>
          <w:sz w:val="20"/>
          <w:szCs w:val="20"/>
          <w:color w:val="auto"/>
        </w:rPr>
      </w:pPr>
    </w:p>
    <w:p>
      <w:pPr>
        <w:jc w:val="both"/>
        <w:ind w:left="1380" w:right="1760" w:hanging="898"/>
        <w:spacing w:after="0" w:line="223" w:lineRule="auto"/>
        <w:tabs>
          <w:tab w:leader="none" w:pos="1380" w:val="left"/>
        </w:tabs>
        <w:numPr>
          <w:ilvl w:val="0"/>
          <w:numId w:val="22"/>
        </w:numPr>
        <w:rPr>
          <w:rFonts w:ascii="Calibri" w:cs="Calibri" w:eastAsia="Calibri" w:hAnsi="Calibri"/>
          <w:sz w:val="17"/>
          <w:szCs w:val="17"/>
          <w:color w:val="auto"/>
        </w:rPr>
      </w:pPr>
      <w:r>
        <w:rPr>
          <w:rFonts w:ascii="Calibri" w:cs="Calibri" w:eastAsia="Calibri" w:hAnsi="Calibri"/>
          <w:sz w:val="17"/>
          <w:szCs w:val="17"/>
          <w:color w:val="auto"/>
        </w:rPr>
        <w:t>The following fnancial statements and notes from the AbbVie Inc. Quarterly Report on Form 10-Q for the quarter ended June 30, 2024, fled on August 7, 2024, formated in iXBRL (Inline eXtensible Business Reportng Language):</w:t>
      </w:r>
    </w:p>
    <w:p>
      <w:pPr>
        <w:spacing w:after="0" w:line="1" w:lineRule="exact"/>
        <w:rPr>
          <w:rFonts w:ascii="Calibri" w:cs="Calibri" w:eastAsia="Calibri" w:hAnsi="Calibri"/>
          <w:sz w:val="17"/>
          <w:szCs w:val="17"/>
          <w:color w:val="auto"/>
        </w:rPr>
      </w:pPr>
    </w:p>
    <w:p>
      <w:pPr>
        <w:ind w:left="1380" w:right="1940" w:firstLine="9"/>
        <w:spacing w:after="0" w:line="204" w:lineRule="auto"/>
        <w:tabs>
          <w:tab w:leader="none" w:pos="1566" w:val="left"/>
        </w:tabs>
        <w:numPr>
          <w:ilvl w:val="1"/>
          <w:numId w:val="22"/>
        </w:numPr>
        <w:rPr>
          <w:rFonts w:ascii="Calibri" w:cs="Calibri" w:eastAsia="Calibri" w:hAnsi="Calibri"/>
          <w:sz w:val="17"/>
          <w:szCs w:val="17"/>
          <w:color w:val="auto"/>
        </w:rPr>
      </w:pPr>
      <w:r>
        <w:rPr>
          <w:rFonts w:ascii="Calibri" w:cs="Calibri" w:eastAsia="Calibri" w:hAnsi="Calibri"/>
          <w:sz w:val="17"/>
          <w:szCs w:val="17"/>
          <w:color w:val="auto"/>
        </w:rPr>
        <w:t>Condensed Consolidated Statements of Earnings; (ii) Condensed Consolidated Statements of Comprehensive Income; (iii) Condensed Consolidated Balance Sheets; (iv) Condensed Consolidated Statements of Equity;</w:t>
      </w:r>
    </w:p>
    <w:p>
      <w:pPr>
        <w:spacing w:after="0" w:line="1" w:lineRule="exact"/>
        <w:rPr>
          <w:rFonts w:ascii="Calibri" w:cs="Calibri" w:eastAsia="Calibri" w:hAnsi="Calibri"/>
          <w:sz w:val="17"/>
          <w:szCs w:val="17"/>
          <w:color w:val="auto"/>
        </w:rPr>
      </w:pPr>
    </w:p>
    <w:p>
      <w:pPr>
        <w:ind w:left="1380" w:right="1980" w:firstLine="9"/>
        <w:spacing w:after="0" w:line="199" w:lineRule="auto"/>
        <w:tabs>
          <w:tab w:leader="none" w:pos="1605" w:val="left"/>
        </w:tabs>
        <w:numPr>
          <w:ilvl w:val="1"/>
          <w:numId w:val="23"/>
        </w:numPr>
        <w:rPr>
          <w:rFonts w:ascii="Calibri" w:cs="Calibri" w:eastAsia="Calibri" w:hAnsi="Calibri"/>
          <w:sz w:val="18"/>
          <w:szCs w:val="18"/>
          <w:color w:val="auto"/>
        </w:rPr>
      </w:pPr>
      <w:r>
        <w:rPr>
          <w:rFonts w:ascii="Calibri" w:cs="Calibri" w:eastAsia="Calibri" w:hAnsi="Calibri"/>
          <w:sz w:val="18"/>
          <w:szCs w:val="18"/>
          <w:color w:val="auto"/>
        </w:rPr>
        <w:t>Condensed Consolidated Statements of Cash Flows; and (vi) the Notes to Condensed Consolidated Financial Statements.</w:t>
      </w:r>
    </w:p>
    <w:p>
      <w:pPr>
        <w:spacing w:after="0" w:line="82" w:lineRule="exact"/>
        <w:rPr>
          <w:sz w:val="20"/>
          <w:szCs w:val="20"/>
          <w:color w:val="auto"/>
        </w:rPr>
      </w:pPr>
    </w:p>
    <w:p>
      <w:pPr>
        <w:ind w:left="1380" w:right="1740" w:hanging="898"/>
        <w:spacing w:after="0" w:line="213" w:lineRule="auto"/>
        <w:tabs>
          <w:tab w:leader="none" w:pos="13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Cover Page Interactve Data File (the cover page from the AbbVie Inc. Quarterly Report on Form 10-Q formated as Inline XBRL and contained in Exhibit 101).</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863600</wp:posOffset>
            </wp:positionV>
            <wp:extent cx="514350"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340" w:type="dxa"/>
            <w:vAlign w:val="bottom"/>
          </w:tcPr>
          <w:p>
            <w:pPr>
              <w:ind w:left="8340"/>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900" w:type="dxa"/>
            <w:vAlign w:val="bottom"/>
          </w:tcPr>
          <w:p>
            <w:pPr>
              <w:jc w:val="right"/>
              <w:ind w:right="110"/>
              <w:spacing w:after="0"/>
              <w:rPr>
                <w:sz w:val="20"/>
                <w:szCs w:val="20"/>
                <w:color w:val="auto"/>
              </w:rPr>
            </w:pPr>
            <w:r>
              <w:rPr>
                <w:rFonts w:ascii="Calibri" w:cs="Calibri" w:eastAsia="Calibri" w:hAnsi="Calibri"/>
                <w:sz w:val="18"/>
                <w:szCs w:val="18"/>
                <w:b w:val="1"/>
                <w:bCs w:val="1"/>
                <w:i w:val="1"/>
                <w:iCs w:val="1"/>
                <w:color w:val="auto"/>
              </w:rPr>
              <w:t>41</w:t>
            </w:r>
          </w:p>
        </w:tc>
      </w:tr>
      <w:tr>
        <w:trPr>
          <w:trHeight w:val="243"/>
        </w:trPr>
        <w:tc>
          <w:tcPr>
            <w:tcW w:w="103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43" w:name="page44"/>
    <w:bookmarkEnd w:id="43"/>
    <w:p>
      <w:pPr>
        <w:jc w:val="center"/>
        <w:spacing w:after="0"/>
        <w:rPr>
          <w:sz w:val="20"/>
          <w:szCs w:val="20"/>
          <w:color w:val="auto"/>
        </w:rPr>
      </w:pPr>
      <w:r>
        <w:rPr>
          <w:rFonts w:ascii="Calibri" w:cs="Calibri" w:eastAsia="Calibri" w:hAnsi="Calibri"/>
          <w:sz w:val="22"/>
          <w:szCs w:val="22"/>
          <w:b w:val="1"/>
          <w:bCs w:val="1"/>
          <w:color w:val="444867"/>
        </w:rPr>
        <w:t>SIGNATURE</w:t>
      </w:r>
    </w:p>
    <w:p>
      <w:pPr>
        <w:spacing w:after="0" w:line="30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3" w:lineRule="exact"/>
        <w:rPr>
          <w:sz w:val="20"/>
          <w:szCs w:val="20"/>
          <w:color w:val="auto"/>
        </w:rPr>
      </w:pPr>
    </w:p>
    <w:tbl>
      <w:tblPr>
        <w:tblLayout w:type="fixed"/>
        <w:tblInd w:w="5260" w:type="dxa"/>
        <w:tblCellMar>
          <w:top w:w="0" w:type="dxa"/>
          <w:left w:w="0" w:type="dxa"/>
          <w:bottom w:w="0" w:type="dxa"/>
          <w:right w:w="0" w:type="dxa"/>
        </w:tblCellMar>
      </w:tblPr>
      <w:tr>
        <w:trPr>
          <w:trHeight w:val="220"/>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8"/>
                <w:szCs w:val="18"/>
                <w:b w:val="1"/>
                <w:bCs w:val="1"/>
                <w:color w:val="auto"/>
              </w:rPr>
              <w:t>ABBVIE INC.</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By:</w:t>
            </w:r>
          </w:p>
        </w:tc>
        <w:tc>
          <w:tcPr>
            <w:tcW w:w="5240" w:type="dxa"/>
            <w:vAlign w:val="bottom"/>
          </w:tcPr>
          <w:p>
            <w:pPr>
              <w:ind w:left="60"/>
              <w:spacing w:after="0"/>
              <w:rPr>
                <w:sz w:val="20"/>
                <w:szCs w:val="20"/>
                <w:color w:val="auto"/>
              </w:rPr>
            </w:pPr>
            <w:r>
              <w:rPr>
                <w:rFonts w:ascii="Calibri" w:cs="Calibri" w:eastAsia="Calibri" w:hAnsi="Calibri"/>
                <w:sz w:val="18"/>
                <w:szCs w:val="18"/>
                <w:color w:val="auto"/>
              </w:rPr>
              <w:t>/s/ Scot T. Reents</w:t>
            </w:r>
          </w:p>
        </w:tc>
      </w:tr>
      <w:tr>
        <w:trPr>
          <w:trHeight w:val="23"/>
        </w:trPr>
        <w:tc>
          <w:tcPr>
            <w:tcW w:w="7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08"/>
        </w:trPr>
        <w:tc>
          <w:tcPr>
            <w:tcW w:w="740" w:type="dxa"/>
            <w:vAlign w:val="bottom"/>
          </w:tcPr>
          <w:p>
            <w:pPr>
              <w:spacing w:after="0"/>
              <w:rPr>
                <w:sz w:val="18"/>
                <w:szCs w:val="18"/>
                <w:color w:val="auto"/>
              </w:rPr>
            </w:pPr>
          </w:p>
        </w:tc>
        <w:tc>
          <w:tcPr>
            <w:tcW w:w="5240" w:type="dxa"/>
            <w:vAlign w:val="bottom"/>
          </w:tcPr>
          <w:p>
            <w:pPr>
              <w:ind w:left="60"/>
              <w:spacing w:after="0" w:line="208" w:lineRule="exact"/>
              <w:rPr>
                <w:sz w:val="20"/>
                <w:szCs w:val="20"/>
                <w:color w:val="auto"/>
              </w:rPr>
            </w:pPr>
            <w:r>
              <w:rPr>
                <w:rFonts w:ascii="Calibri" w:cs="Calibri" w:eastAsia="Calibri" w:hAnsi="Calibri"/>
                <w:sz w:val="18"/>
                <w:szCs w:val="18"/>
                <w:color w:val="auto"/>
              </w:rPr>
              <w:t>Scot T. Reents</w:t>
            </w:r>
          </w:p>
        </w:tc>
      </w:tr>
      <w:tr>
        <w:trPr>
          <w:trHeight w:val="221"/>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8"/>
                <w:szCs w:val="18"/>
                <w:color w:val="auto"/>
              </w:rPr>
              <w:t>Executve Vice President,</w:t>
            </w:r>
          </w:p>
        </w:tc>
      </w:tr>
      <w:tr>
        <w:trPr>
          <w:trHeight w:val="229"/>
        </w:trPr>
        <w:tc>
          <w:tcPr>
            <w:tcW w:w="740" w:type="dxa"/>
            <w:vAlign w:val="bottom"/>
          </w:tcPr>
          <w:p>
            <w:pPr>
              <w:spacing w:after="0"/>
              <w:rPr>
                <w:sz w:val="19"/>
                <w:szCs w:val="19"/>
                <w:color w:val="auto"/>
              </w:rPr>
            </w:pPr>
          </w:p>
        </w:tc>
        <w:tc>
          <w:tcPr>
            <w:tcW w:w="5240" w:type="dxa"/>
            <w:vAlign w:val="bottom"/>
          </w:tcPr>
          <w:p>
            <w:pPr>
              <w:ind w:left="60"/>
              <w:spacing w:after="0"/>
              <w:rPr>
                <w:sz w:val="20"/>
                <w:szCs w:val="20"/>
                <w:color w:val="auto"/>
              </w:rPr>
            </w:pPr>
            <w:r>
              <w:rPr>
                <w:rFonts w:ascii="Calibri" w:cs="Calibri" w:eastAsia="Calibri" w:hAnsi="Calibri"/>
                <w:sz w:val="18"/>
                <w:szCs w:val="18"/>
                <w:color w:val="auto"/>
              </w:rPr>
              <w:t>Chief Financial Ofcer (Principal Financial Ofcer)</w:t>
            </w: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color w:val="auto"/>
        </w:rPr>
        <w:t>Date: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597535</wp:posOffset>
            </wp:positionV>
            <wp:extent cx="51435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340" w:type="dxa"/>
        <w:tblCellMar>
          <w:top w:w="0" w:type="dxa"/>
          <w:left w:w="0" w:type="dxa"/>
          <w:bottom w:w="0" w:type="dxa"/>
          <w:right w:w="0" w:type="dxa"/>
        </w:tblCellMar>
      </w:tblPr>
      <w:tr>
        <w:trPr>
          <w:trHeight w:val="251"/>
        </w:trPr>
        <w:tc>
          <w:tcPr>
            <w:tcW w:w="2000" w:type="dxa"/>
            <w:vAlign w:val="bottom"/>
          </w:tcPr>
          <w:p>
            <w:pPr>
              <w:spacing w:after="0"/>
              <w:rPr>
                <w:sz w:val="20"/>
                <w:szCs w:val="20"/>
                <w:color w:val="auto"/>
              </w:rPr>
            </w:pPr>
            <w:r>
              <w:rPr>
                <w:rFonts w:ascii="Calibri" w:cs="Calibri" w:eastAsia="Calibri" w:hAnsi="Calibri"/>
                <w:sz w:val="20"/>
                <w:szCs w:val="20"/>
                <w:i w:val="1"/>
                <w:iCs w:val="1"/>
                <w:color w:val="auto"/>
              </w:rPr>
              <w:t xml:space="preserve">2024 Form 10-Q </w:t>
            </w:r>
            <w:r>
              <w:rPr>
                <w:rFonts w:ascii="Calibri" w:cs="Calibri" w:eastAsia="Calibri" w:hAnsi="Calibri"/>
                <w:sz w:val="20"/>
                <w:szCs w:val="20"/>
                <w:b w:val="1"/>
                <w:bCs w:val="1"/>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b w:val="1"/>
                <w:bCs w:val="1"/>
                <w:i w:val="1"/>
                <w:iCs w:val="1"/>
                <w:color w:val="auto"/>
              </w:rPr>
              <w:t>42</w:t>
            </w:r>
          </w:p>
        </w:tc>
      </w:tr>
    </w:tbl>
    <w:p>
      <w:pPr>
        <w:sectPr>
          <w:pgSz w:w="11900" w:h="16838" w:orient="portrait"/>
          <w:cols w:equalWidth="0" w:num="1">
            <w:col w:w="11240"/>
          </w:cols>
          <w:pgMar w:left="320" w:top="1126"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of Chief Executve Ofcer</w:t>
      </w:r>
    </w:p>
    <w:p>
      <w:pPr>
        <w:jc w:val="center"/>
        <w:spacing w:after="0" w:line="235" w:lineRule="auto"/>
        <w:rPr>
          <w:sz w:val="20"/>
          <w:szCs w:val="20"/>
          <w:color w:val="auto"/>
        </w:rPr>
      </w:pPr>
      <w:r>
        <w:rPr>
          <w:rFonts w:ascii="Calibri" w:cs="Calibri" w:eastAsia="Calibri" w:hAnsi="Calibri"/>
          <w:sz w:val="18"/>
          <w:szCs w:val="18"/>
          <w:b w:val="1"/>
          <w:bCs w:val="1"/>
          <w:color w:val="auto"/>
        </w:rPr>
        <w:t>Required by Rule 13a-14(a) (17 CFR 240.13a-14(a))</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I, Robert A. Michael, certfy that:</w:t>
      </w:r>
    </w:p>
    <w:p>
      <w:pPr>
        <w:spacing w:after="0" w:line="239" w:lineRule="exact"/>
        <w:rPr>
          <w:sz w:val="20"/>
          <w:szCs w:val="20"/>
          <w:color w:val="auto"/>
        </w:rPr>
      </w:pPr>
    </w:p>
    <w:p>
      <w:pPr>
        <w:ind w:left="300" w:hanging="292"/>
        <w:spacing w:after="0"/>
        <w:tabs>
          <w:tab w:leader="none" w:pos="30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AbbVie Inc.;</w:t>
      </w:r>
    </w:p>
    <w:p>
      <w:pPr>
        <w:spacing w:after="0" w:line="244" w:lineRule="exact"/>
        <w:rPr>
          <w:rFonts w:ascii="Calibri" w:cs="Calibri" w:eastAsia="Calibri" w:hAnsi="Calibri"/>
          <w:sz w:val="18"/>
          <w:szCs w:val="18"/>
          <w:color w:val="auto"/>
        </w:rPr>
      </w:pPr>
    </w:p>
    <w:p>
      <w:pPr>
        <w:ind w:left="660" w:right="140" w:hanging="652"/>
        <w:spacing w:after="0" w:line="235" w:lineRule="auto"/>
        <w:tabs>
          <w:tab w:leader="none" w:pos="304"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5" w:lineRule="exact"/>
        <w:rPr>
          <w:rFonts w:ascii="Calibri" w:cs="Calibri" w:eastAsia="Calibri" w:hAnsi="Calibri"/>
          <w:sz w:val="18"/>
          <w:szCs w:val="18"/>
          <w:color w:val="auto"/>
        </w:rPr>
      </w:pPr>
    </w:p>
    <w:p>
      <w:pPr>
        <w:ind w:left="660" w:right="560" w:hanging="652"/>
        <w:spacing w:after="0" w:line="235" w:lineRule="auto"/>
        <w:tabs>
          <w:tab w:leader="none" w:pos="304"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244" w:lineRule="exact"/>
        <w:rPr>
          <w:rFonts w:ascii="Calibri" w:cs="Calibri" w:eastAsia="Calibri" w:hAnsi="Calibri"/>
          <w:sz w:val="18"/>
          <w:szCs w:val="18"/>
          <w:color w:val="auto"/>
        </w:rPr>
      </w:pPr>
    </w:p>
    <w:p>
      <w:pPr>
        <w:ind w:left="660" w:right="260" w:hanging="652"/>
        <w:spacing w:after="0" w:line="235" w:lineRule="auto"/>
        <w:tabs>
          <w:tab w:leader="none" w:pos="304"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245" w:lineRule="exact"/>
        <w:rPr>
          <w:rFonts w:ascii="Calibri" w:cs="Calibri" w:eastAsia="Calibri" w:hAnsi="Calibri"/>
          <w:sz w:val="18"/>
          <w:szCs w:val="18"/>
          <w:color w:val="auto"/>
        </w:rPr>
      </w:pPr>
    </w:p>
    <w:p>
      <w:pPr>
        <w:ind w:left="980" w:right="40" w:hanging="324"/>
        <w:spacing w:after="0" w:line="235" w:lineRule="auto"/>
        <w:tabs>
          <w:tab w:leader="none" w:pos="952" w:val="left"/>
        </w:tabs>
        <w:numPr>
          <w:ilvl w:val="1"/>
          <w:numId w:val="25"/>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245" w:lineRule="exact"/>
        <w:rPr>
          <w:rFonts w:ascii="Calibri" w:cs="Calibri" w:eastAsia="Calibri" w:hAnsi="Calibri"/>
          <w:sz w:val="18"/>
          <w:szCs w:val="18"/>
          <w:color w:val="auto"/>
        </w:rPr>
      </w:pPr>
    </w:p>
    <w:p>
      <w:pPr>
        <w:ind w:left="980" w:right="460" w:hanging="324"/>
        <w:spacing w:after="0" w:line="235" w:lineRule="auto"/>
        <w:tabs>
          <w:tab w:leader="none" w:pos="960" w:val="left"/>
        </w:tabs>
        <w:numPr>
          <w:ilvl w:val="1"/>
          <w:numId w:val="25"/>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45" w:lineRule="exact"/>
        <w:rPr>
          <w:rFonts w:ascii="Calibri" w:cs="Calibri" w:eastAsia="Calibri" w:hAnsi="Calibri"/>
          <w:sz w:val="18"/>
          <w:szCs w:val="18"/>
          <w:color w:val="auto"/>
        </w:rPr>
      </w:pPr>
    </w:p>
    <w:p>
      <w:pPr>
        <w:ind w:left="980" w:right="120" w:hanging="324"/>
        <w:spacing w:after="0" w:line="235" w:lineRule="auto"/>
        <w:tabs>
          <w:tab w:leader="none" w:pos="942" w:val="left"/>
        </w:tabs>
        <w:numPr>
          <w:ilvl w:val="1"/>
          <w:numId w:val="25"/>
        </w:numPr>
        <w:rPr>
          <w:rFonts w:ascii="Calibri" w:cs="Calibri" w:eastAsia="Calibri" w:hAnsi="Calibri"/>
          <w:sz w:val="18"/>
          <w:szCs w:val="18"/>
          <w:color w:val="auto"/>
        </w:rPr>
      </w:pPr>
      <w:r>
        <w:rPr>
          <w:rFonts w:ascii="Calibri" w:cs="Calibri" w:eastAsia="Calibri" w:hAnsi="Calibri"/>
          <w:sz w:val="18"/>
          <w:szCs w:val="18"/>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244" w:lineRule="exact"/>
        <w:rPr>
          <w:rFonts w:ascii="Calibri" w:cs="Calibri" w:eastAsia="Calibri" w:hAnsi="Calibri"/>
          <w:sz w:val="18"/>
          <w:szCs w:val="18"/>
          <w:color w:val="auto"/>
        </w:rPr>
      </w:pPr>
    </w:p>
    <w:p>
      <w:pPr>
        <w:ind w:left="980" w:right="100" w:hanging="324"/>
        <w:spacing w:after="0" w:line="235" w:lineRule="auto"/>
        <w:tabs>
          <w:tab w:leader="none" w:pos="960" w:val="left"/>
        </w:tabs>
        <w:numPr>
          <w:ilvl w:val="1"/>
          <w:numId w:val="25"/>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244" w:lineRule="exact"/>
        <w:rPr>
          <w:rFonts w:ascii="Calibri" w:cs="Calibri" w:eastAsia="Calibri" w:hAnsi="Calibri"/>
          <w:sz w:val="18"/>
          <w:szCs w:val="18"/>
          <w:color w:val="auto"/>
        </w:rPr>
      </w:pPr>
    </w:p>
    <w:p>
      <w:pPr>
        <w:ind w:left="660" w:right="600" w:hanging="652"/>
        <w:spacing w:after="0" w:line="235" w:lineRule="auto"/>
        <w:tabs>
          <w:tab w:leader="none" w:pos="304"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have disclosed, based on our most recent evaluaton of internal control over fnancial reportng, to AbbVie’s auditors and the audit commitee of AbbVie’s board of directors:</w:t>
      </w:r>
    </w:p>
    <w:p>
      <w:pPr>
        <w:spacing w:after="0" w:line="244" w:lineRule="exact"/>
        <w:rPr>
          <w:rFonts w:ascii="Calibri" w:cs="Calibri" w:eastAsia="Calibri" w:hAnsi="Calibri"/>
          <w:sz w:val="18"/>
          <w:szCs w:val="18"/>
          <w:color w:val="auto"/>
        </w:rPr>
      </w:pPr>
    </w:p>
    <w:p>
      <w:pPr>
        <w:ind w:left="980" w:right="180" w:hanging="324"/>
        <w:spacing w:after="0" w:line="235" w:lineRule="auto"/>
        <w:tabs>
          <w:tab w:leader="none" w:pos="952" w:val="left"/>
        </w:tabs>
        <w:numPr>
          <w:ilvl w:val="1"/>
          <w:numId w:val="25"/>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244" w:lineRule="exact"/>
        <w:rPr>
          <w:rFonts w:ascii="Calibri" w:cs="Calibri" w:eastAsia="Calibri" w:hAnsi="Calibri"/>
          <w:sz w:val="18"/>
          <w:szCs w:val="18"/>
          <w:color w:val="auto"/>
        </w:rPr>
      </w:pPr>
    </w:p>
    <w:p>
      <w:pPr>
        <w:ind w:left="980" w:right="120" w:hanging="324"/>
        <w:spacing w:after="0" w:line="235" w:lineRule="auto"/>
        <w:tabs>
          <w:tab w:leader="none" w:pos="960" w:val="left"/>
        </w:tabs>
        <w:numPr>
          <w:ilvl w:val="1"/>
          <w:numId w:val="25"/>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AbbVie’s internal control over fnancial reportng.</w:t>
      </w:r>
    </w:p>
    <w:p>
      <w:pPr>
        <w:spacing w:after="0" w:line="375" w:lineRule="exact"/>
        <w:rPr>
          <w:sz w:val="20"/>
          <w:szCs w:val="20"/>
          <w:color w:val="auto"/>
        </w:rPr>
      </w:pPr>
    </w:p>
    <w:p>
      <w:pPr>
        <w:ind w:left="20"/>
        <w:spacing w:after="0"/>
        <w:tabs>
          <w:tab w:leader="none" w:pos="620" w:val="left"/>
          <w:tab w:leader="none" w:pos="5340" w:val="left"/>
        </w:tabs>
        <w:rPr>
          <w:sz w:val="20"/>
          <w:szCs w:val="20"/>
          <w:color w:val="auto"/>
        </w:rPr>
      </w:pPr>
      <w:r>
        <w:rPr>
          <w:rFonts w:ascii="Calibri" w:cs="Calibri" w:eastAsia="Calibri" w:hAnsi="Calibri"/>
          <w:sz w:val="18"/>
          <w:szCs w:val="18"/>
          <w:color w:val="auto"/>
        </w:rPr>
        <w:t>Date:</w:t>
        <w:tab/>
        <w:t>August 7, 2024</w:t>
      </w:r>
      <w:r>
        <w:rPr>
          <w:sz w:val="20"/>
          <w:szCs w:val="20"/>
          <w:color w:val="auto"/>
        </w:rPr>
        <w:tab/>
      </w:r>
      <w:r>
        <w:rPr>
          <w:rFonts w:ascii="Calibri" w:cs="Calibri" w:eastAsia="Calibri" w:hAnsi="Calibri"/>
          <w:sz w:val="17"/>
          <w:szCs w:val="17"/>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14605</wp:posOffset>
            </wp:positionV>
            <wp:extent cx="3000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Calibri" w:cs="Calibri" w:eastAsia="Calibri" w:hAnsi="Calibri"/>
          <w:sz w:val="18"/>
          <w:szCs w:val="18"/>
          <w:color w:val="auto"/>
        </w:rPr>
        <w:t>Robert A. Michael, Chief Executve Ofcer</w:t>
      </w:r>
    </w:p>
    <w:p>
      <w:pPr>
        <w:sectPr>
          <w:pgSz w:w="11900" w:h="16838" w:orient="portrait"/>
          <w:cols w:equalWidth="0" w:num="1">
            <w:col w:w="11240"/>
          </w:cols>
          <w:pgMar w:left="320" w:top="882"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of Chief Financial Ofcer</w:t>
      </w:r>
    </w:p>
    <w:p>
      <w:pPr>
        <w:jc w:val="center"/>
        <w:spacing w:after="0" w:line="235" w:lineRule="auto"/>
        <w:rPr>
          <w:sz w:val="20"/>
          <w:szCs w:val="20"/>
          <w:color w:val="auto"/>
        </w:rPr>
      </w:pPr>
      <w:r>
        <w:rPr>
          <w:rFonts w:ascii="Calibri" w:cs="Calibri" w:eastAsia="Calibri" w:hAnsi="Calibri"/>
          <w:sz w:val="18"/>
          <w:szCs w:val="18"/>
          <w:b w:val="1"/>
          <w:bCs w:val="1"/>
          <w:color w:val="auto"/>
        </w:rPr>
        <w:t>Required by Rule 13a-14(a) (17 CFR 240.13a-14(a))</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I, Scot T. Reents, certfy that:</w:t>
      </w:r>
    </w:p>
    <w:p>
      <w:pPr>
        <w:spacing w:after="0" w:line="239" w:lineRule="exact"/>
        <w:rPr>
          <w:sz w:val="20"/>
          <w:szCs w:val="20"/>
          <w:color w:val="auto"/>
        </w:rPr>
      </w:pPr>
    </w:p>
    <w:p>
      <w:pPr>
        <w:ind w:left="300" w:hanging="292"/>
        <w:spacing w:after="0"/>
        <w:tabs>
          <w:tab w:leader="none" w:pos="30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AbbVie Inc.;</w:t>
      </w:r>
    </w:p>
    <w:p>
      <w:pPr>
        <w:spacing w:after="0" w:line="244" w:lineRule="exact"/>
        <w:rPr>
          <w:rFonts w:ascii="Calibri" w:cs="Calibri" w:eastAsia="Calibri" w:hAnsi="Calibri"/>
          <w:sz w:val="18"/>
          <w:szCs w:val="18"/>
          <w:color w:val="auto"/>
        </w:rPr>
      </w:pPr>
    </w:p>
    <w:p>
      <w:pPr>
        <w:ind w:left="660" w:right="140" w:hanging="652"/>
        <w:spacing w:after="0" w:line="235" w:lineRule="auto"/>
        <w:tabs>
          <w:tab w:leader="none" w:pos="304"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5" w:lineRule="exact"/>
        <w:rPr>
          <w:rFonts w:ascii="Calibri" w:cs="Calibri" w:eastAsia="Calibri" w:hAnsi="Calibri"/>
          <w:sz w:val="18"/>
          <w:szCs w:val="18"/>
          <w:color w:val="auto"/>
        </w:rPr>
      </w:pPr>
    </w:p>
    <w:p>
      <w:pPr>
        <w:ind w:left="660" w:right="560" w:hanging="652"/>
        <w:spacing w:after="0" w:line="235" w:lineRule="auto"/>
        <w:tabs>
          <w:tab w:leader="none" w:pos="304"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244" w:lineRule="exact"/>
        <w:rPr>
          <w:rFonts w:ascii="Calibri" w:cs="Calibri" w:eastAsia="Calibri" w:hAnsi="Calibri"/>
          <w:sz w:val="18"/>
          <w:szCs w:val="18"/>
          <w:color w:val="auto"/>
        </w:rPr>
      </w:pPr>
    </w:p>
    <w:p>
      <w:pPr>
        <w:ind w:left="660" w:right="260" w:hanging="652"/>
        <w:spacing w:after="0" w:line="235" w:lineRule="auto"/>
        <w:tabs>
          <w:tab w:leader="none" w:pos="304"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245" w:lineRule="exact"/>
        <w:rPr>
          <w:rFonts w:ascii="Calibri" w:cs="Calibri" w:eastAsia="Calibri" w:hAnsi="Calibri"/>
          <w:sz w:val="18"/>
          <w:szCs w:val="18"/>
          <w:color w:val="auto"/>
        </w:rPr>
      </w:pPr>
    </w:p>
    <w:p>
      <w:pPr>
        <w:ind w:left="980" w:right="40" w:hanging="324"/>
        <w:spacing w:after="0" w:line="235" w:lineRule="auto"/>
        <w:tabs>
          <w:tab w:leader="none" w:pos="952"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245" w:lineRule="exact"/>
        <w:rPr>
          <w:rFonts w:ascii="Calibri" w:cs="Calibri" w:eastAsia="Calibri" w:hAnsi="Calibri"/>
          <w:sz w:val="18"/>
          <w:szCs w:val="18"/>
          <w:color w:val="auto"/>
        </w:rPr>
      </w:pPr>
    </w:p>
    <w:p>
      <w:pPr>
        <w:ind w:left="980" w:right="460" w:hanging="324"/>
        <w:spacing w:after="0" w:line="235" w:lineRule="auto"/>
        <w:tabs>
          <w:tab w:leader="none" w:pos="960"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45" w:lineRule="exact"/>
        <w:rPr>
          <w:rFonts w:ascii="Calibri" w:cs="Calibri" w:eastAsia="Calibri" w:hAnsi="Calibri"/>
          <w:sz w:val="18"/>
          <w:szCs w:val="18"/>
          <w:color w:val="auto"/>
        </w:rPr>
      </w:pPr>
    </w:p>
    <w:p>
      <w:pPr>
        <w:ind w:left="980" w:right="120" w:hanging="324"/>
        <w:spacing w:after="0" w:line="235" w:lineRule="auto"/>
        <w:tabs>
          <w:tab w:leader="none" w:pos="942"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244" w:lineRule="exact"/>
        <w:rPr>
          <w:rFonts w:ascii="Calibri" w:cs="Calibri" w:eastAsia="Calibri" w:hAnsi="Calibri"/>
          <w:sz w:val="18"/>
          <w:szCs w:val="18"/>
          <w:color w:val="auto"/>
        </w:rPr>
      </w:pPr>
    </w:p>
    <w:p>
      <w:pPr>
        <w:ind w:left="980" w:right="100" w:hanging="324"/>
        <w:spacing w:after="0" w:line="235" w:lineRule="auto"/>
        <w:tabs>
          <w:tab w:leader="none" w:pos="960"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244" w:lineRule="exact"/>
        <w:rPr>
          <w:rFonts w:ascii="Calibri" w:cs="Calibri" w:eastAsia="Calibri" w:hAnsi="Calibri"/>
          <w:sz w:val="18"/>
          <w:szCs w:val="18"/>
          <w:color w:val="auto"/>
        </w:rPr>
      </w:pPr>
    </w:p>
    <w:p>
      <w:pPr>
        <w:ind w:left="660" w:right="600" w:hanging="652"/>
        <w:spacing w:after="0" w:line="235" w:lineRule="auto"/>
        <w:tabs>
          <w:tab w:leader="none" w:pos="304"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AbbVie’s other certfying ofcer and I have disclosed, based on our most recent evaluaton of internal control over fnancial reportng, to AbbVie’s auditors and the audit commitee of AbbVie’s board of directors:</w:t>
      </w:r>
    </w:p>
    <w:p>
      <w:pPr>
        <w:spacing w:after="0" w:line="244" w:lineRule="exact"/>
        <w:rPr>
          <w:rFonts w:ascii="Calibri" w:cs="Calibri" w:eastAsia="Calibri" w:hAnsi="Calibri"/>
          <w:sz w:val="18"/>
          <w:szCs w:val="18"/>
          <w:color w:val="auto"/>
        </w:rPr>
      </w:pPr>
    </w:p>
    <w:p>
      <w:pPr>
        <w:ind w:left="980" w:right="180" w:hanging="324"/>
        <w:spacing w:after="0" w:line="235" w:lineRule="auto"/>
        <w:tabs>
          <w:tab w:leader="none" w:pos="952"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244" w:lineRule="exact"/>
        <w:rPr>
          <w:rFonts w:ascii="Calibri" w:cs="Calibri" w:eastAsia="Calibri" w:hAnsi="Calibri"/>
          <w:sz w:val="18"/>
          <w:szCs w:val="18"/>
          <w:color w:val="auto"/>
        </w:rPr>
      </w:pPr>
    </w:p>
    <w:p>
      <w:pPr>
        <w:ind w:left="980" w:right="120" w:hanging="324"/>
        <w:spacing w:after="0" w:line="235" w:lineRule="auto"/>
        <w:tabs>
          <w:tab w:leader="none" w:pos="960"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AbbVie’s internal control over fnancial reportng.</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320" w:type="dxa"/>
            <w:vAlign w:val="bottom"/>
          </w:tcPr>
          <w:p>
            <w:pPr>
              <w:spacing w:after="0"/>
              <w:rPr>
                <w:sz w:val="20"/>
                <w:szCs w:val="20"/>
                <w:color w:val="auto"/>
              </w:rPr>
            </w:pPr>
            <w:r>
              <w:rPr>
                <w:rFonts w:ascii="Calibri" w:cs="Calibri" w:eastAsia="Calibri" w:hAnsi="Calibri"/>
                <w:sz w:val="18"/>
                <w:szCs w:val="18"/>
                <w:color w:val="auto"/>
              </w:rPr>
              <w:t>Date:   August 7, 2024</w:t>
            </w:r>
          </w:p>
        </w:tc>
        <w:tc>
          <w:tcPr>
            <w:tcW w:w="4720" w:type="dxa"/>
            <w:vAlign w:val="bottom"/>
          </w:tcPr>
          <w:p>
            <w:pPr>
              <w:ind w:left="20"/>
              <w:spacing w:after="0"/>
              <w:rPr>
                <w:sz w:val="20"/>
                <w:szCs w:val="20"/>
                <w:color w:val="auto"/>
              </w:rPr>
            </w:pPr>
            <w:r>
              <w:rPr>
                <w:rFonts w:ascii="Calibri" w:cs="Calibri" w:eastAsia="Calibri" w:hAnsi="Calibri"/>
                <w:sz w:val="18"/>
                <w:szCs w:val="18"/>
                <w:color w:val="auto"/>
              </w:rPr>
              <w:t>/s/ Scot T. Reents</w:t>
            </w:r>
          </w:p>
        </w:tc>
      </w:tr>
      <w:tr>
        <w:trPr>
          <w:trHeight w:val="23"/>
        </w:trPr>
        <w:tc>
          <w:tcPr>
            <w:tcW w:w="53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08"/>
        </w:trPr>
        <w:tc>
          <w:tcPr>
            <w:tcW w:w="5320" w:type="dxa"/>
            <w:vAlign w:val="bottom"/>
          </w:tcPr>
          <w:p>
            <w:pPr>
              <w:spacing w:after="0"/>
              <w:rPr>
                <w:sz w:val="18"/>
                <w:szCs w:val="18"/>
                <w:color w:val="auto"/>
              </w:rPr>
            </w:pPr>
          </w:p>
        </w:tc>
        <w:tc>
          <w:tcPr>
            <w:tcW w:w="4720" w:type="dxa"/>
            <w:vAlign w:val="bottom"/>
          </w:tcPr>
          <w:p>
            <w:pPr>
              <w:ind w:left="20"/>
              <w:spacing w:after="0" w:line="208" w:lineRule="exact"/>
              <w:rPr>
                <w:sz w:val="20"/>
                <w:szCs w:val="20"/>
                <w:color w:val="auto"/>
              </w:rPr>
            </w:pPr>
            <w:r>
              <w:rPr>
                <w:rFonts w:ascii="Calibri" w:cs="Calibri" w:eastAsia="Calibri" w:hAnsi="Calibri"/>
                <w:sz w:val="18"/>
                <w:szCs w:val="18"/>
                <w:color w:val="auto"/>
              </w:rPr>
              <w:t>Scot T. Reents, Executve Vice President,</w:t>
            </w:r>
          </w:p>
        </w:tc>
      </w:tr>
      <w:tr>
        <w:trPr>
          <w:trHeight w:val="221"/>
        </w:trPr>
        <w:tc>
          <w:tcPr>
            <w:tcW w:w="53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Calibri" w:cs="Calibri" w:eastAsia="Calibri" w:hAnsi="Calibri"/>
                <w:sz w:val="18"/>
                <w:szCs w:val="18"/>
                <w:color w:val="auto"/>
              </w:rPr>
              <w:t>Chief Financial Ofcer</w:t>
            </w:r>
          </w:p>
        </w:tc>
      </w:tr>
    </w:tbl>
    <w:p>
      <w:pPr>
        <w:sectPr>
          <w:pgSz w:w="11900" w:h="16838" w:orient="portrait"/>
          <w:cols w:equalWidth="0" w:num="1">
            <w:col w:w="11240"/>
          </w:cols>
          <w:pgMar w:left="320" w:top="882" w:right="339" w:bottom="1440" w:gutter="0" w:footer="0" w:header="0"/>
        </w:sectPr>
      </w:pPr>
    </w:p>
    <w:bookmarkStart w:id="46" w:name="page47"/>
    <w:bookmarkEnd w:id="46"/>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Secton 906 of the Sarbanes-Oxley Act of 2002</w:t>
      </w:r>
    </w:p>
    <w:p>
      <w:pPr>
        <w:spacing w:after="0" w:line="245"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connecton with the Quarterly Report of AbbVie Inc. (the “Company”) on Form 10-Q for the period ended June 30, 2024 as fled with the Securites and Exchange Commission (the “Report”), I, Robert A. Michael, Chief Executve Ofcer of the Company, certfy, pursuant to 18 U.S.C. § 1350, as adopted pursuant to § 906 of the Sarbanes-Oxley Act of 2002, that:</w:t>
      </w:r>
    </w:p>
    <w:p>
      <w:pPr>
        <w:spacing w:after="0" w:line="241" w:lineRule="exact"/>
        <w:rPr>
          <w:sz w:val="20"/>
          <w:szCs w:val="20"/>
          <w:color w:val="auto"/>
        </w:rPr>
      </w:pPr>
    </w:p>
    <w:p>
      <w:pPr>
        <w:ind w:left="680" w:hanging="348"/>
        <w:spacing w:after="0"/>
        <w:tabs>
          <w:tab w:leader="none" w:pos="68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9" w:lineRule="exact"/>
        <w:rPr>
          <w:rFonts w:ascii="Calibri" w:cs="Calibri" w:eastAsia="Calibri" w:hAnsi="Calibri"/>
          <w:sz w:val="18"/>
          <w:szCs w:val="18"/>
          <w:color w:val="auto"/>
        </w:rPr>
      </w:pPr>
    </w:p>
    <w:p>
      <w:pPr>
        <w:ind w:left="680" w:hanging="348"/>
        <w:spacing w:after="0"/>
        <w:tabs>
          <w:tab w:leader="none" w:pos="68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37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458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Robert A. Michael</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Chief Executve Ofcer</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August 7, 2024</w:t>
      </w:r>
    </w:p>
    <w:p>
      <w:pPr>
        <w:spacing w:after="0" w:line="200" w:lineRule="exact"/>
        <w:rPr>
          <w:sz w:val="20"/>
          <w:szCs w:val="20"/>
          <w:color w:val="auto"/>
        </w:rPr>
      </w:pPr>
    </w:p>
    <w:p>
      <w:pPr>
        <w:spacing w:after="0" w:line="36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AbbVie Inc. and will be retained by AbbVie Inc. and furnished to the Securites and Exchange Commission or its staf upon request.</w:t>
      </w:r>
    </w:p>
    <w:p>
      <w:pPr>
        <w:sectPr>
          <w:pgSz w:w="11900" w:h="16838" w:orient="portrait"/>
          <w:cols w:equalWidth="0" w:num="1">
            <w:col w:w="11240"/>
          </w:cols>
          <w:pgMar w:left="320" w:top="882"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Certfcaton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Secton 906 of the Sarbanes-Oxley Act of 2002</w:t>
      </w:r>
    </w:p>
    <w:p>
      <w:pPr>
        <w:spacing w:after="0" w:line="24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In connecton with the Quarterly Report of AbbVie Inc. (the “Company”) on Form 10-Q for the period ended June 30, 2024 as fled with the Securites and Exchange Commission (the “Report”), I, Scot T. Reents, Executve Vice President, Chief Financial Ofcer of the Company, certfy, pursuant to 18 U.S.C. § 1350, as adopted pursuant to § 906 of the Sarbanes-Oxley Act of 2002, that:</w:t>
      </w:r>
    </w:p>
    <w:p>
      <w:pPr>
        <w:spacing w:after="0" w:line="241" w:lineRule="exact"/>
        <w:rPr>
          <w:sz w:val="20"/>
          <w:szCs w:val="20"/>
          <w:color w:val="auto"/>
        </w:rPr>
      </w:pPr>
    </w:p>
    <w:p>
      <w:pPr>
        <w:ind w:left="680" w:hanging="348"/>
        <w:spacing w:after="0"/>
        <w:tabs>
          <w:tab w:leader="none" w:pos="6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39" w:lineRule="exact"/>
        <w:rPr>
          <w:rFonts w:ascii="Calibri" w:cs="Calibri" w:eastAsia="Calibri" w:hAnsi="Calibri"/>
          <w:sz w:val="18"/>
          <w:szCs w:val="18"/>
          <w:color w:val="auto"/>
        </w:rPr>
      </w:pPr>
    </w:p>
    <w:p>
      <w:pPr>
        <w:ind w:left="680" w:hanging="348"/>
        <w:spacing w:after="0"/>
        <w:tabs>
          <w:tab w:leader="none" w:pos="6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37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 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458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Scot T. Reents</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Executve Vice President, Chief Financial Ofcer</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August 7, 2024</w:t>
      </w:r>
    </w:p>
    <w:p>
      <w:pPr>
        <w:spacing w:after="0" w:line="200" w:lineRule="exact"/>
        <w:rPr>
          <w:sz w:val="20"/>
          <w:szCs w:val="20"/>
          <w:color w:val="auto"/>
        </w:rPr>
      </w:pPr>
    </w:p>
    <w:p>
      <w:pPr>
        <w:spacing w:after="0" w:line="36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A signed original of this writen statement required by Secton 906 has been provided to AbbVie Inc. and will be retained by AbbVie Inc. and furnished to the Securites and Exchange Commission or its staf upon request.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Roman"/>
      <w:start w:val="3"/>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3"/>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3"/>
    </w:lvl>
  </w:abstractNum>
  <w:abstractNum w:abstractNumId="21">
    <w:nsid w:val="79838CB2"/>
    <w:multiLevelType w:val="hybridMultilevel"/>
    <w:lvl w:ilvl="0">
      <w:lvlJc w:val="left"/>
      <w:lvlText w:val="%1"/>
      <w:numFmt w:val="decimal"/>
      <w:start w:val="101"/>
    </w:lvl>
    <w:lvl w:ilvl="1">
      <w:lvlJc w:val="left"/>
      <w:lvlText w:val="(%2)"/>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Roman"/>
      <w:start w:val="5"/>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2024-08-07T14:07:23Z</dcterms:created>
  <dcterms:modified xsi:type="dcterms:W3CDTF">2024-08-07T14:07:23Z</dcterms:modified>
</cp:coreProperties>
</file>