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8, 2025</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ABBVIE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1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060" w:type="dxa"/>
            <w:vAlign w:val="bottom"/>
            <w:gridSpan w:val="2"/>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9"/>
              </w:rPr>
              <w:t>001-35565</w:t>
            </w:r>
          </w:p>
        </w:tc>
        <w:tc>
          <w:tcPr>
            <w:tcW w:w="1120" w:type="dxa"/>
            <w:vAlign w:val="bottom"/>
          </w:tcPr>
          <w:p>
            <w:pPr>
              <w:spacing w:after="0"/>
              <w:rPr>
                <w:sz w:val="19"/>
                <w:szCs w:val="19"/>
                <w:color w:val="auto"/>
              </w:rPr>
            </w:pPr>
          </w:p>
        </w:tc>
        <w:tc>
          <w:tcPr>
            <w:tcW w:w="254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32-0375147</w:t>
            </w:r>
          </w:p>
        </w:tc>
      </w:tr>
      <w:tr>
        <w:trPr>
          <w:trHeight w:val="216"/>
        </w:trPr>
        <w:tc>
          <w:tcPr>
            <w:tcW w:w="21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1260" w:type="dxa"/>
            <w:vAlign w:val="bottom"/>
          </w:tcPr>
          <w:p>
            <w:pPr>
              <w:spacing w:after="0"/>
              <w:rPr>
                <w:sz w:val="18"/>
                <w:szCs w:val="18"/>
                <w:color w:val="auto"/>
              </w:rPr>
            </w:pPr>
          </w:p>
        </w:tc>
        <w:tc>
          <w:tcPr>
            <w:tcW w:w="3920" w:type="dxa"/>
            <w:vAlign w:val="bottom"/>
            <w:gridSpan w:val="2"/>
          </w:tcPr>
          <w:p>
            <w:pPr>
              <w:jc w:val="center"/>
              <w:ind w:right="1080"/>
              <w:spacing w:after="0"/>
              <w:rPr>
                <w:sz w:val="20"/>
                <w:szCs w:val="20"/>
                <w:color w:val="auto"/>
              </w:rPr>
            </w:pPr>
            <w:r>
              <w:rPr>
                <w:rFonts w:ascii="Times New Roman" w:cs="Times New Roman" w:eastAsia="Times New Roman" w:hAnsi="Times New Roman"/>
                <w:sz w:val="18"/>
                <w:szCs w:val="18"/>
                <w:color w:val="auto"/>
              </w:rPr>
              <w:t>(Commission File Number)</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21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2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540" w:type="dxa"/>
            <w:vAlign w:val="bottom"/>
          </w:tcPr>
          <w:p>
            <w:pPr>
              <w:spacing w:after="0"/>
              <w:rPr>
                <w:sz w:val="20"/>
                <w:szCs w:val="20"/>
                <w:color w:val="auto"/>
              </w:rPr>
            </w:pPr>
          </w:p>
        </w:tc>
      </w:tr>
      <w:tr>
        <w:trPr>
          <w:trHeight w:val="216"/>
        </w:trPr>
        <w:tc>
          <w:tcPr>
            <w:tcW w:w="2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444"/>
        </w:trPr>
        <w:tc>
          <w:tcPr>
            <w:tcW w:w="2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920" w:type="dxa"/>
            <w:vAlign w:val="bottom"/>
            <w:gridSpan w:val="2"/>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w w:val="99"/>
              </w:rPr>
              <w:t>1 North Waukegan Road</w:t>
            </w:r>
          </w:p>
        </w:tc>
        <w:tc>
          <w:tcPr>
            <w:tcW w:w="2540" w:type="dxa"/>
            <w:vAlign w:val="bottom"/>
          </w:tcPr>
          <w:p>
            <w:pPr>
              <w:spacing w:after="0"/>
              <w:rPr>
                <w:sz w:val="24"/>
                <w:szCs w:val="24"/>
                <w:color w:val="auto"/>
              </w:rPr>
            </w:pPr>
          </w:p>
        </w:tc>
      </w:tr>
      <w:tr>
        <w:trPr>
          <w:trHeight w:val="220"/>
        </w:trPr>
        <w:tc>
          <w:tcPr>
            <w:tcW w:w="2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920" w:type="dxa"/>
            <w:vAlign w:val="bottom"/>
            <w:gridSpan w:val="2"/>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North Chicago, Illinois 60064-6400</w:t>
            </w:r>
          </w:p>
        </w:tc>
        <w:tc>
          <w:tcPr>
            <w:tcW w:w="2540" w:type="dxa"/>
            <w:vAlign w:val="bottom"/>
          </w:tcPr>
          <w:p>
            <w:pPr>
              <w:spacing w:after="0"/>
              <w:rPr>
                <w:sz w:val="19"/>
                <w:szCs w:val="19"/>
                <w:color w:val="auto"/>
              </w:rPr>
            </w:pPr>
          </w:p>
        </w:tc>
      </w:tr>
      <w:tr>
        <w:trPr>
          <w:trHeight w:val="234"/>
        </w:trPr>
        <w:tc>
          <w:tcPr>
            <w:tcW w:w="2100" w:type="dxa"/>
            <w:vAlign w:val="bottom"/>
          </w:tcPr>
          <w:p>
            <w:pPr>
              <w:spacing w:after="0"/>
              <w:rPr>
                <w:sz w:val="20"/>
                <w:szCs w:val="20"/>
                <w:color w:val="auto"/>
              </w:rPr>
            </w:pPr>
          </w:p>
        </w:tc>
        <w:tc>
          <w:tcPr>
            <w:tcW w:w="518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(Address of principal executive offices)(Zip Code)</w:t>
            </w:r>
          </w:p>
        </w:tc>
        <w:tc>
          <w:tcPr>
            <w:tcW w:w="2540" w:type="dxa"/>
            <w:vAlign w:val="bottom"/>
          </w:tcPr>
          <w:p>
            <w:pPr>
              <w:spacing w:after="0"/>
              <w:rPr>
                <w:sz w:val="20"/>
                <w:szCs w:val="20"/>
                <w:color w:val="auto"/>
              </w:rPr>
            </w:pPr>
          </w:p>
        </w:tc>
      </w:tr>
      <w:tr>
        <w:trPr>
          <w:trHeight w:val="432"/>
        </w:trPr>
        <w:tc>
          <w:tcPr>
            <w:tcW w:w="2100" w:type="dxa"/>
            <w:vAlign w:val="bottom"/>
          </w:tcPr>
          <w:p>
            <w:pPr>
              <w:spacing w:after="0"/>
              <w:rPr>
                <w:sz w:val="24"/>
                <w:szCs w:val="24"/>
                <w:color w:val="auto"/>
              </w:rPr>
            </w:pPr>
          </w:p>
        </w:tc>
        <w:tc>
          <w:tcPr>
            <w:tcW w:w="518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(847) 932-7900</w:t>
            </w:r>
          </w:p>
        </w:tc>
        <w:tc>
          <w:tcPr>
            <w:tcW w:w="2540" w:type="dxa"/>
            <w:vAlign w:val="bottom"/>
          </w:tcPr>
          <w:p>
            <w:pPr>
              <w:spacing w:after="0"/>
              <w:rPr>
                <w:sz w:val="24"/>
                <w:szCs w:val="24"/>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3840" w:type="dxa"/>
            <w:vAlign w:val="bottom"/>
            <w:gridSpan w:val="2"/>
          </w:tcPr>
          <w:p>
            <w:pPr>
              <w:ind w:left="126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184"/>
        </w:trPr>
        <w:tc>
          <w:tcPr>
            <w:tcW w:w="3620" w:type="dxa"/>
            <w:vAlign w:val="bottom"/>
            <w:tcBorders>
              <w:top w:val="single" w:sz="8" w:color="auto"/>
            </w:tcBorders>
          </w:tcPr>
          <w:p>
            <w:pPr>
              <w:ind w:left="80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220" w:type="dxa"/>
            <w:vAlign w:val="bottom"/>
          </w:tcPr>
          <w:p>
            <w:pPr>
              <w:spacing w:after="0"/>
              <w:rPr>
                <w:sz w:val="15"/>
                <w:szCs w:val="15"/>
                <w:color w:val="auto"/>
              </w:rPr>
            </w:pPr>
          </w:p>
        </w:tc>
        <w:tc>
          <w:tcPr>
            <w:tcW w:w="3600" w:type="dxa"/>
            <w:vAlign w:val="bottom"/>
            <w:tcBorders>
              <w:top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color w:val="auto"/>
              </w:rPr>
              <w:t>ABBV</w:t>
            </w:r>
          </w:p>
        </w:tc>
        <w:tc>
          <w:tcPr>
            <w:tcW w:w="200" w:type="dxa"/>
            <w:vAlign w:val="bottom"/>
          </w:tcPr>
          <w:p>
            <w:pPr>
              <w:spacing w:after="0"/>
              <w:rPr>
                <w:sz w:val="15"/>
                <w:szCs w:val="15"/>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r>
        <w:trPr>
          <w:trHeight w:val="220"/>
        </w:trPr>
        <w:tc>
          <w:tcPr>
            <w:tcW w:w="3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NYSE Texas</w:t>
            </w:r>
          </w:p>
        </w:tc>
      </w:tr>
      <w:tr>
        <w:trPr>
          <w:trHeight w:val="203"/>
        </w:trPr>
        <w:tc>
          <w:tcPr>
            <w:tcW w:w="384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0.750% Senior Notes due 2027</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ABBV27</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03"/>
        </w:trPr>
        <w:tc>
          <w:tcPr>
            <w:tcW w:w="384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2.125% Senior Notes due 2028</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ABBV28</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03"/>
        </w:trPr>
        <w:tc>
          <w:tcPr>
            <w:tcW w:w="384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2.625% Senior Notes due 2028</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ABBV28B</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03"/>
        </w:trPr>
        <w:tc>
          <w:tcPr>
            <w:tcW w:w="384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2.125% Senior Notes due 2029</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ABBV29</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10"/>
        </w:trPr>
        <w:tc>
          <w:tcPr>
            <w:tcW w:w="384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1.250% Senior Notes due 2031</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ABBV31</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204"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1" w:name="page2"/>
    <w:bookmarkEnd w:id="1"/>
    <w:p>
      <w:pPr>
        <w:ind w:left="1300" w:right="112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May 9, 2025, AbbVie Inc. (“AbbVie”) expanded the size of its Board of Directors (the “Board”) from fourteen directors to fifteen directors and appointed Thomas J. Falk as a Class III director. Mr. Falk was previously the Chairman and Chief Executive Officer of Kimberly-Clark Corporation. Mr. Falk has been appointed to the Audit Committee. The Board affirmatively determined that Mr. Falk is an “independent director” under each of the standards set forth in section 303A.02 of the New York Stock Exchange Listed Company Manual and AbbVie’s governance guidelines and director independence guidelines. Mr. Falk will be entitled to compensation as an independent director as disclosed in Exhibit 10.5 to AbbVie’s Quarterly Report on Form 10-Q for the quarterly period ended March 31, 2025. The Board also determined that the size of the Board will decrease from fifteen directors to thirteen directors upon the retirement of Richard A. Gonzalez and Glenn F. Tilton from the Board, effective July 1, 2025.</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On February 14, 2025, AbbVie filed a Form 8-K to announce that the Board elected Robert A. Michael to succeed Mr. Gonzalez as the Company’s Chairman, effective July 1, 2025. On May 8, 2025, the Compensation Committee approved a change to Mr. Michael’s compensation in recognition of his new responsibilities as Chairman. Mr. Michael’s annual bonus target for 2025 will be 165% of his base salary.</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AbbVie held its 2025 Annual Meeting of Stockholders on May 9, 2025. The following is a summary of the matters voted on at that meeting.</w:t>
      </w:r>
    </w:p>
    <w:p>
      <w:pPr>
        <w:spacing w:after="0" w:line="225"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elected AbbVie’s Class I directors with terms expiring in 2028, as follows:</w:t>
      </w:r>
    </w:p>
    <w:p>
      <w:pPr>
        <w:spacing w:after="0" w:line="239"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For</w:t>
            </w: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Against</w:t>
            </w:r>
          </w:p>
        </w:tc>
        <w:tc>
          <w:tcPr>
            <w:tcW w:w="126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Abstain</w:t>
            </w:r>
          </w:p>
        </w:tc>
        <w:tc>
          <w:tcPr>
            <w:tcW w:w="2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09"/>
        </w:trPr>
        <w:tc>
          <w:tcPr>
            <w:tcW w:w="4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H.L. Burnside</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1,219,911,544</w:t>
            </w:r>
          </w:p>
        </w:tc>
        <w:tc>
          <w:tcPr>
            <w:tcW w:w="2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63,608,245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2,130,012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242,314,197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Thomas C. Freyman</w:t>
            </w:r>
          </w:p>
        </w:tc>
        <w:tc>
          <w:tcPr>
            <w:tcW w:w="13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1,208,501,938</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75,272,385</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1,875,478</w:t>
            </w:r>
          </w:p>
        </w:tc>
        <w:tc>
          <w:tcPr>
            <w:tcW w:w="2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242,314,197</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Brett J. Hart</w:t>
            </w:r>
          </w:p>
        </w:tc>
        <w:tc>
          <w:tcPr>
            <w:tcW w:w="13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1,246,674,074</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35,896,110</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3,079,617</w:t>
            </w:r>
          </w:p>
        </w:tc>
        <w:tc>
          <w:tcPr>
            <w:tcW w:w="2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242,314,197</w:t>
            </w:r>
          </w:p>
        </w:tc>
      </w:tr>
      <w:tr>
        <w:trPr>
          <w:trHeight w:val="234"/>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Edward J. Rapp</w:t>
            </w:r>
          </w:p>
        </w:tc>
        <w:tc>
          <w:tcPr>
            <w:tcW w:w="13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1,214,370,997</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69,034,921</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2,243,883</w:t>
            </w:r>
          </w:p>
        </w:tc>
        <w:tc>
          <w:tcPr>
            <w:tcW w:w="2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242,314,197</w:t>
            </w:r>
          </w:p>
        </w:tc>
      </w:tr>
    </w:tbl>
    <w:p>
      <w:pPr>
        <w:spacing w:after="0" w:line="179"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ratified the appointment of Ernst &amp; Young LLP as AbbVie’s independent registered public accounting firm for 2025, as follows: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For</w:t>
            </w:r>
          </w:p>
        </w:tc>
        <w:tc>
          <w:tcPr>
            <w:tcW w:w="3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Against</w:t>
            </w:r>
          </w:p>
        </w:tc>
        <w:tc>
          <w:tcPr>
            <w:tcW w:w="3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Abstain</w:t>
            </w:r>
          </w:p>
        </w:tc>
      </w:tr>
      <w:tr>
        <w:trPr>
          <w:trHeight w:val="216"/>
        </w:trPr>
        <w:tc>
          <w:tcPr>
            <w:tcW w:w="2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1,498,390,498</w:t>
            </w:r>
          </w:p>
        </w:tc>
        <w:tc>
          <w:tcPr>
            <w:tcW w:w="180" w:type="dxa"/>
            <w:vAlign w:val="bottom"/>
            <w:tcBorders>
              <w:top w:val="single" w:sz="8" w:color="CCEEFF"/>
            </w:tcBorders>
            <w:shd w:val="clear" w:color="auto" w:fill="CCEEFF"/>
          </w:tcPr>
          <w:p>
            <w:pPr>
              <w:spacing w:after="0"/>
              <w:rPr>
                <w:sz w:val="18"/>
                <w:szCs w:val="18"/>
                <w:color w:val="auto"/>
              </w:rPr>
            </w:pPr>
          </w:p>
        </w:tc>
        <w:tc>
          <w:tcPr>
            <w:tcW w:w="2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27,184,089</w:t>
            </w:r>
          </w:p>
        </w:tc>
        <w:tc>
          <w:tcPr>
            <w:tcW w:w="18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2,389,411</w:t>
            </w:r>
          </w:p>
        </w:tc>
      </w:tr>
    </w:tbl>
    <w:p>
      <w:pPr>
        <w:spacing w:after="0" w:line="198"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approved, on an advisory basis, the compensation of AbbVie’s named executive officers, as follows: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w:t>
            </w: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Against</w:t>
            </w:r>
          </w:p>
        </w:tc>
        <w:tc>
          <w:tcPr>
            <w:tcW w:w="28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Abstain</w:t>
            </w: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16"/>
        </w:trPr>
        <w:tc>
          <w:tcPr>
            <w:tcW w:w="2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1,196,778,926</w:t>
            </w:r>
          </w:p>
        </w:tc>
        <w:tc>
          <w:tcPr>
            <w:tcW w:w="20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78,389,723</w:t>
            </w:r>
          </w:p>
        </w:tc>
        <w:tc>
          <w:tcPr>
            <w:tcW w:w="20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10,481,152</w:t>
            </w:r>
          </w:p>
        </w:tc>
        <w:tc>
          <w:tcPr>
            <w:tcW w:w="20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242,314,197</w:t>
            </w:r>
          </w:p>
        </w:tc>
      </w:tr>
    </w:tbl>
    <w:p>
      <w:pPr>
        <w:spacing w:after="0" w:line="198" w:lineRule="exact"/>
        <w:rPr>
          <w:sz w:val="20"/>
          <w:szCs w:val="20"/>
          <w:color w:val="auto"/>
        </w:rPr>
      </w:pPr>
    </w:p>
    <w:p>
      <w:pPr>
        <w:ind w:left="660" w:right="280" w:hanging="652"/>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did not approve the management proposal regarding amendment of the certificate of incorporation to eliminate supermajority voting, as follows:</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w:t>
            </w: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Against</w:t>
            </w:r>
          </w:p>
        </w:tc>
        <w:tc>
          <w:tcPr>
            <w:tcW w:w="28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Abstain</w:t>
            </w: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16"/>
        </w:trPr>
        <w:tc>
          <w:tcPr>
            <w:tcW w:w="2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1,268,655,240</w:t>
            </w:r>
          </w:p>
        </w:tc>
        <w:tc>
          <w:tcPr>
            <w:tcW w:w="20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13,317,523</w:t>
            </w:r>
          </w:p>
        </w:tc>
        <w:tc>
          <w:tcPr>
            <w:tcW w:w="20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3,677,038</w:t>
            </w:r>
          </w:p>
        </w:tc>
        <w:tc>
          <w:tcPr>
            <w:tcW w:w="20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242,314,197</w:t>
            </w:r>
          </w:p>
        </w:tc>
      </w:tr>
    </w:tbl>
    <w:p>
      <w:pPr>
        <w:spacing w:after="0" w:line="198"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did not approve a stockholder proposal to implement simple majority voting,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0" w:type="dxa"/>
            <w:vAlign w:val="bottom"/>
          </w:tcPr>
          <w:p>
            <w:pPr>
              <w:spacing w:after="0"/>
              <w:rPr>
                <w:sz w:val="20"/>
                <w:szCs w:val="20"/>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w:t>
            </w: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Against</w:t>
            </w:r>
          </w:p>
        </w:tc>
        <w:tc>
          <w:tcPr>
            <w:tcW w:w="28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Abstain</w:t>
            </w: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Broker Non-Votes</w:t>
            </w:r>
          </w:p>
        </w:tc>
        <w:tc>
          <w:tcPr>
            <w:tcW w:w="480" w:type="dxa"/>
            <w:vAlign w:val="bottom"/>
          </w:tcPr>
          <w:p>
            <w:pPr>
              <w:spacing w:after="0"/>
              <w:rPr>
                <w:sz w:val="20"/>
                <w:szCs w:val="20"/>
                <w:color w:val="auto"/>
              </w:rPr>
            </w:pPr>
          </w:p>
        </w:tc>
      </w:tr>
      <w:tr>
        <w:trPr>
          <w:trHeight w:val="216"/>
        </w:trPr>
        <w:tc>
          <w:tcPr>
            <w:tcW w:w="660" w:type="dxa"/>
            <w:vAlign w:val="bottom"/>
          </w:tcPr>
          <w:p>
            <w:pPr>
              <w:spacing w:after="0"/>
              <w:rPr>
                <w:sz w:val="18"/>
                <w:szCs w:val="18"/>
                <w:color w:val="auto"/>
              </w:rPr>
            </w:pPr>
          </w:p>
        </w:tc>
        <w:tc>
          <w:tcPr>
            <w:tcW w:w="2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629,404,864</w:t>
            </w:r>
          </w:p>
        </w:tc>
        <w:tc>
          <w:tcPr>
            <w:tcW w:w="20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646,785,440</w:t>
            </w:r>
          </w:p>
        </w:tc>
        <w:tc>
          <w:tcPr>
            <w:tcW w:w="20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9,459,497</w:t>
            </w:r>
          </w:p>
        </w:tc>
        <w:tc>
          <w:tcPr>
            <w:tcW w:w="20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242,314,197</w:t>
            </w:r>
          </w:p>
        </w:tc>
        <w:tc>
          <w:tcPr>
            <w:tcW w:w="480" w:type="dxa"/>
            <w:vAlign w:val="bottom"/>
          </w:tcPr>
          <w:p>
            <w:pPr>
              <w:spacing w:after="0"/>
              <w:rPr>
                <w:sz w:val="18"/>
                <w:szCs w:val="18"/>
                <w:color w:val="auto"/>
              </w:rPr>
            </w:pPr>
          </w:p>
        </w:tc>
      </w:tr>
      <w:tr>
        <w:trPr>
          <w:trHeight w:val="675"/>
        </w:trPr>
        <w:tc>
          <w:tcPr>
            <w:tcW w:w="6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ABBVIE INC.</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2025</w:t>
            </w:r>
          </w:p>
        </w:tc>
        <w:tc>
          <w:tcPr>
            <w:tcW w:w="764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By: /s/ Perry C. Siatis</w:t>
            </w:r>
          </w:p>
        </w:tc>
      </w:tr>
      <w:tr>
        <w:trPr>
          <w:trHeight w:val="191"/>
        </w:trPr>
        <w:tc>
          <w:tcPr>
            <w:tcW w:w="36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Perry C. Siatis</w:t>
            </w:r>
          </w:p>
        </w:tc>
      </w:tr>
      <w:tr>
        <w:trPr>
          <w:trHeight w:val="234"/>
        </w:trPr>
        <w:tc>
          <w:tcPr>
            <w:tcW w:w="36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r>
        <w:trPr>
          <w:trHeight w:val="675"/>
        </w:trPr>
        <w:tc>
          <w:tcPr>
            <w:tcW w:w="36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2"/>
    </w:lvl>
  </w:abstractNum>
  <w:abstractNum w:abstractNumId="3">
    <w:nsid w:val="46E87CCD"/>
    <w:multiLevelType w:val="hybridMultilevel"/>
    <w:lvl w:ilvl="0">
      <w:lvlJc w:val="left"/>
      <w:lvlText w:val="(%1)"/>
      <w:numFmt w:val="decimal"/>
      <w:start w:val="3"/>
    </w:lvl>
  </w:abstractNum>
  <w:abstractNum w:abstractNumId="4">
    <w:nsid w:val="3D1B58BA"/>
    <w:multiLevelType w:val="hybridMultilevel"/>
    <w:lvl w:ilvl="0">
      <w:lvlJc w:val="left"/>
      <w:lvlText w:val="(%1)"/>
      <w:numFmt w:val="decimal"/>
      <w:start w:val="4"/>
    </w:lvl>
  </w:abstractNum>
  <w:abstractNum w:abstractNumId="5">
    <w:nsid w:val="507ED7AB"/>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2025-05-13T05:11:45Z</dcterms:created>
  <dcterms:modified xsi:type="dcterms:W3CDTF">2025-05-13T05:11:45Z</dcterms:modified>
</cp:coreProperties>
</file>