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_____________________________________________________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31, 2025</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89" w:right="339" w:bottom="1440" w:gutter="0" w:footer="0" w:header="0"/>
        </w:sectPr>
      </w:pP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680"/>
        <w:spacing w:after="0"/>
        <w:rPr>
          <w:sz w:val="20"/>
          <w:szCs w:val="20"/>
          <w:color w:val="auto"/>
        </w:rPr>
      </w:pPr>
      <w:r>
        <w:rPr>
          <w:rFonts w:ascii="Arial" w:cs="Arial" w:eastAsia="Arial" w:hAnsi="Arial"/>
          <w:sz w:val="17"/>
          <w:szCs w:val="17"/>
          <w:color w:val="auto"/>
        </w:rPr>
        <w:t>(State or other Jurisdiction</w:t>
      </w:r>
    </w:p>
    <w:p>
      <w:pPr>
        <w:spacing w:after="0" w:line="26"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001-35565</w:t>
      </w:r>
    </w:p>
    <w:p>
      <w:pPr>
        <w:spacing w:after="0" w:line="40"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32-0375147</w:t>
      </w:r>
    </w:p>
    <w:p>
      <w:pPr>
        <w:spacing w:after="0" w:line="40"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(IRS Employer</w:t>
      </w:r>
    </w:p>
    <w:p>
      <w:pPr>
        <w:spacing w:after="0" w:line="15"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92" w:lineRule="exact"/>
        <w:rPr>
          <w:sz w:val="24"/>
          <w:szCs w:val="24"/>
          <w:color w:val="auto"/>
        </w:rPr>
      </w:pPr>
    </w:p>
    <w:p>
      <w:pPr>
        <w:sectPr>
          <w:pgSz w:w="11900" w:h="16838" w:orient="portrait"/>
          <w:cols w:equalWidth="0" w:num="3">
            <w:col w:w="3800" w:space="720"/>
            <w:col w:w="3540" w:space="720"/>
            <w:col w:w="2460"/>
          </w:cols>
          <w:pgMar w:left="320" w:top="1189" w:right="339" w:bottom="1440" w:gutter="0" w:footer="0" w:header="0"/>
          <w:type w:val="continuous"/>
        </w:sectPr>
      </w:pPr>
    </w:p>
    <w:p>
      <w:pPr>
        <w:jc w:val="center"/>
        <w:ind w:right="-59"/>
        <w:spacing w:after="0"/>
        <w:rPr>
          <w:sz w:val="20"/>
          <w:szCs w:val="20"/>
          <w:color w:val="auto"/>
        </w:rPr>
      </w:pPr>
      <w:r>
        <w:rPr>
          <w:rFonts w:ascii="Arial" w:cs="Arial" w:eastAsia="Arial" w:hAnsi="Arial"/>
          <w:sz w:val="17"/>
          <w:szCs w:val="17"/>
          <w:color w:val="auto"/>
        </w:rPr>
        <w:t>_____________________________________________________</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 North Waukegan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offices)(Zip Code)</w:t>
      </w:r>
    </w:p>
    <w:p>
      <w:pPr>
        <w:sectPr>
          <w:pgSz w:w="11900" w:h="16838" w:orient="portrait"/>
          <w:cols w:equalWidth="0" w:num="1">
            <w:col w:w="11240"/>
          </w:cols>
          <w:pgMar w:left="320" w:top="1189" w:right="339" w:bottom="1440" w:gutter="0" w:footer="0" w:header="0"/>
          <w:type w:val="continuous"/>
        </w:sectPr>
      </w:pPr>
    </w:p>
    <w:p>
      <w:pPr>
        <w:spacing w:after="0" w:line="126" w:lineRule="exact"/>
        <w:rPr>
          <w:sz w:val="24"/>
          <w:szCs w:val="24"/>
          <w:color w:val="auto"/>
        </w:rPr>
      </w:pPr>
    </w:p>
    <w:p>
      <w:pPr>
        <w:ind w:left="2880"/>
        <w:spacing w:after="0"/>
        <w:rPr>
          <w:sz w:val="20"/>
          <w:szCs w:val="20"/>
          <w:color w:val="auto"/>
        </w:rPr>
      </w:pPr>
      <w:r>
        <w:rPr>
          <w:rFonts w:ascii="Arial" w:cs="Arial" w:eastAsia="Arial" w:hAnsi="Arial"/>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(847) 932-7900</w:t>
      </w:r>
    </w:p>
    <w:p>
      <w:pPr>
        <w:spacing w:after="0" w:line="142" w:lineRule="exact"/>
        <w:rPr>
          <w:sz w:val="24"/>
          <w:szCs w:val="24"/>
          <w:color w:val="auto"/>
        </w:rPr>
      </w:pPr>
    </w:p>
    <w:p>
      <w:pPr>
        <w:sectPr>
          <w:pgSz w:w="11900" w:h="16838" w:orient="portrait"/>
          <w:cols w:equalWidth="0" w:num="2">
            <w:col w:w="7040" w:space="100"/>
            <w:col w:w="4100"/>
          </w:cols>
          <w:pgMar w:left="320" w:top="1189" w:right="339" w:bottom="1440" w:gutter="0" w:footer="0" w:header="0"/>
          <w:type w:val="continuous"/>
        </w:sect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2"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340" w:right="1820" w:hanging="3332"/>
        <w:spacing w:after="0" w:line="394" w:lineRule="auto"/>
        <w:tabs>
          <w:tab w:leader="none" w:pos="5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60" w:type="dxa"/>
        <w:tblCellMar>
          <w:top w:w="0" w:type="dxa"/>
          <w:left w:w="0" w:type="dxa"/>
          <w:bottom w:w="0" w:type="dxa"/>
          <w:right w:w="0" w:type="dxa"/>
        </w:tblCellMar>
      </w:tblPr>
      <w:tr>
        <w:trPr>
          <w:trHeight w:val="217"/>
        </w:trPr>
        <w:tc>
          <w:tcPr>
            <w:tcW w:w="36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Title of each class</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Trading Symbol(s)</w:t>
            </w:r>
          </w:p>
        </w:tc>
        <w:tc>
          <w:tcPr>
            <w:tcW w:w="376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8"/>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$0.01 Par Value</w:t>
            </w:r>
          </w:p>
        </w:tc>
        <w:tc>
          <w:tcPr>
            <w:tcW w:w="240" w:type="dxa"/>
            <w:vAlign w:val="bottom"/>
          </w:tcPr>
          <w:p>
            <w:pPr>
              <w:spacing w:after="0"/>
              <w:rPr>
                <w:sz w:val="18"/>
                <w:szCs w:val="18"/>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ABBV</w:t>
            </w:r>
          </w:p>
        </w:tc>
        <w:tc>
          <w:tcPr>
            <w:tcW w:w="260" w:type="dxa"/>
            <w:vAlign w:val="bottom"/>
          </w:tcPr>
          <w:p>
            <w:pPr>
              <w:spacing w:after="0"/>
              <w:rPr>
                <w:sz w:val="18"/>
                <w:szCs w:val="18"/>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r>
        <w:trPr>
          <w:trHeight w:val="215"/>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w w:val="98"/>
              </w:rPr>
              <w:t>NYSE Texas</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0.750% Senior Notes due 2027</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ABBV27</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2.125% Senior Notes due 2028</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ABBV28</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2.625% Senior Notes due 2028</w:t>
            </w:r>
          </w:p>
        </w:tc>
        <w:tc>
          <w:tcPr>
            <w:tcW w:w="3700" w:type="dxa"/>
            <w:vAlign w:val="bottom"/>
            <w:gridSpan w:val="2"/>
          </w:tcPr>
          <w:p>
            <w:pPr>
              <w:jc w:val="center"/>
              <w:ind w:right="260"/>
              <w:spacing w:after="0"/>
              <w:rPr>
                <w:sz w:val="20"/>
                <w:szCs w:val="20"/>
                <w:color w:val="auto"/>
              </w:rPr>
            </w:pPr>
            <w:r>
              <w:rPr>
                <w:rFonts w:ascii="Arial" w:cs="Arial" w:eastAsia="Arial" w:hAnsi="Arial"/>
                <w:sz w:val="16"/>
                <w:szCs w:val="16"/>
                <w:color w:val="auto"/>
              </w:rPr>
              <w:t>ABBV28B</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2.125% Senior Notes due 2029</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ABBV29</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Arial" w:cs="Arial" w:eastAsia="Arial" w:hAnsi="Arial"/>
                <w:sz w:val="16"/>
                <w:szCs w:val="16"/>
                <w:color w:val="auto"/>
              </w:rPr>
              <w:t>1.250% Senior Notes due 2031</w:t>
            </w:r>
          </w:p>
        </w:tc>
        <w:tc>
          <w:tcPr>
            <w:tcW w:w="3700" w:type="dxa"/>
            <w:vAlign w:val="bottom"/>
            <w:gridSpan w:val="2"/>
          </w:tcPr>
          <w:p>
            <w:pPr>
              <w:jc w:val="center"/>
              <w:ind w:right="280"/>
              <w:spacing w:after="0"/>
              <w:rPr>
                <w:sz w:val="20"/>
                <w:szCs w:val="20"/>
                <w:color w:val="auto"/>
              </w:rPr>
            </w:pPr>
            <w:r>
              <w:rPr>
                <w:rFonts w:ascii="Arial" w:cs="Arial" w:eastAsia="Arial" w:hAnsi="Arial"/>
                <w:sz w:val="16"/>
                <w:szCs w:val="16"/>
                <w:color w:val="auto"/>
              </w:rPr>
              <w:t>ABBV31</w:t>
            </w:r>
          </w:p>
        </w:tc>
        <w:tc>
          <w:tcPr>
            <w:tcW w:w="376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59"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On July 31, 2025, AbbVie Inc. issued a press release announcing financial results for the second quarter ended June 30, 2025.</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 copy of the press release is furnished as Exhibit 99.1 to this report and incorporated herein by reference.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920" w:type="dxa"/>
            <w:vAlign w:val="bottom"/>
            <w:gridSpan w:val="2"/>
          </w:tcPr>
          <w:p>
            <w:pPr>
              <w:spacing w:after="0"/>
              <w:rPr>
                <w:sz w:val="20"/>
                <w:szCs w:val="20"/>
                <w:color w:val="auto"/>
              </w:rPr>
            </w:pPr>
            <w:r>
              <w:rPr>
                <w:rFonts w:ascii="Arial" w:cs="Arial" w:eastAsia="Arial" w:hAnsi="Arial"/>
                <w:sz w:val="20"/>
                <w:szCs w:val="20"/>
                <w:color w:val="auto"/>
              </w:rPr>
              <w:t>(d) Exhibits</w:t>
            </w:r>
          </w:p>
        </w:tc>
        <w:tc>
          <w:tcPr>
            <w:tcW w:w="92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368"/>
        </w:trPr>
        <w:tc>
          <w:tcPr>
            <w:tcW w:w="1920" w:type="dxa"/>
            <w:vAlign w:val="bottom"/>
            <w:gridSpan w:val="2"/>
          </w:tcPr>
          <w:p>
            <w:pPr>
              <w:ind w:left="20"/>
              <w:spacing w:after="0"/>
              <w:rPr>
                <w:sz w:val="20"/>
                <w:szCs w:val="20"/>
                <w:color w:val="auto"/>
              </w:rPr>
            </w:pPr>
            <w:r>
              <w:rPr>
                <w:rFonts w:ascii="Arial" w:cs="Arial" w:eastAsia="Arial" w:hAnsi="Arial"/>
                <w:sz w:val="20"/>
                <w:szCs w:val="20"/>
                <w:b w:val="1"/>
                <w:bCs w:val="1"/>
                <w:color w:val="auto"/>
              </w:rPr>
              <w:t>Exhibit No.</w:t>
            </w:r>
          </w:p>
        </w:tc>
        <w:tc>
          <w:tcPr>
            <w:tcW w:w="9320" w:type="dxa"/>
            <w:vAlign w:val="bottom"/>
            <w:gridSpan w:val="2"/>
          </w:tcPr>
          <w:p>
            <w:pPr>
              <w:ind w:left="20"/>
              <w:spacing w:after="0"/>
              <w:rPr>
                <w:sz w:val="20"/>
                <w:szCs w:val="20"/>
                <w:color w:val="auto"/>
              </w:rPr>
            </w:pPr>
            <w:r>
              <w:rPr>
                <w:rFonts w:ascii="Arial" w:cs="Arial" w:eastAsia="Arial" w:hAnsi="Arial"/>
                <w:sz w:val="20"/>
                <w:szCs w:val="20"/>
                <w:b w:val="1"/>
                <w:bCs w:val="1"/>
                <w:color w:val="auto"/>
              </w:rPr>
              <w:t>Exhibit</w:t>
            </w:r>
          </w:p>
        </w:tc>
      </w:tr>
      <w:tr>
        <w:trPr>
          <w:trHeight w:val="242"/>
        </w:trPr>
        <w:tc>
          <w:tcPr>
            <w:tcW w:w="140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99.1</w:t>
            </w:r>
          </w:p>
        </w:tc>
        <w:tc>
          <w:tcPr>
            <w:tcW w:w="520" w:type="dxa"/>
            <w:vAlign w:val="bottom"/>
          </w:tcPr>
          <w:p>
            <w:pPr>
              <w:spacing w:after="0"/>
              <w:rPr>
                <w:sz w:val="21"/>
                <w:szCs w:val="21"/>
                <w:color w:val="auto"/>
              </w:rPr>
            </w:pPr>
          </w:p>
        </w:tc>
        <w:tc>
          <w:tcPr>
            <w:tcW w:w="92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Press Release dated July 31, 2025 (furnished pursuant to Item 2.02).</w:t>
            </w:r>
          </w:p>
        </w:tc>
        <w:tc>
          <w:tcPr>
            <w:tcW w:w="40" w:type="dxa"/>
            <w:vAlign w:val="bottom"/>
          </w:tcPr>
          <w:p>
            <w:pPr>
              <w:spacing w:after="0"/>
              <w:rPr>
                <w:sz w:val="21"/>
                <w:szCs w:val="21"/>
                <w:color w:val="auto"/>
              </w:rPr>
            </w:pPr>
          </w:p>
        </w:tc>
      </w:tr>
      <w:tr>
        <w:trPr>
          <w:trHeight w:val="261"/>
        </w:trPr>
        <w:tc>
          <w:tcPr>
            <w:tcW w:w="1400" w:type="dxa"/>
            <w:vAlign w:val="bottom"/>
          </w:tcPr>
          <w:p>
            <w:pPr>
              <w:ind w:left="20"/>
              <w:spacing w:after="0"/>
              <w:rPr>
                <w:sz w:val="20"/>
                <w:szCs w:val="20"/>
                <w:color w:val="auto"/>
              </w:rPr>
            </w:pPr>
            <w:r>
              <w:rPr>
                <w:rFonts w:ascii="Arial" w:cs="Arial" w:eastAsia="Arial" w:hAnsi="Arial"/>
                <w:sz w:val="20"/>
                <w:szCs w:val="20"/>
                <w:color w:val="auto"/>
              </w:rPr>
              <w:t>104</w:t>
            </w:r>
          </w:p>
        </w:tc>
        <w:tc>
          <w:tcPr>
            <w:tcW w:w="520" w:type="dxa"/>
            <w:vAlign w:val="bottom"/>
          </w:tcPr>
          <w:p>
            <w:pPr>
              <w:spacing w:after="0"/>
              <w:rPr>
                <w:sz w:val="22"/>
                <w:szCs w:val="22"/>
                <w:color w:val="auto"/>
              </w:rPr>
            </w:pPr>
          </w:p>
        </w:tc>
        <w:tc>
          <w:tcPr>
            <w:tcW w:w="9320" w:type="dxa"/>
            <w:vAlign w:val="bottom"/>
            <w:gridSpan w:val="2"/>
          </w:tcPr>
          <w:p>
            <w:pPr>
              <w:ind w:left="20"/>
              <w:spacing w:after="0"/>
              <w:rPr>
                <w:sz w:val="20"/>
                <w:szCs w:val="20"/>
                <w:color w:val="auto"/>
              </w:rPr>
            </w:pPr>
            <w:r>
              <w:rPr>
                <w:rFonts w:ascii="Arial" w:cs="Arial" w:eastAsia="Arial" w:hAnsi="Arial"/>
                <w:sz w:val="20"/>
                <w:szCs w:val="20"/>
                <w:color w:val="auto"/>
                <w:w w:val="99"/>
              </w:rPr>
              <w:t>The cover page from this Current Report on Form 8-K formatted in Inline XBRL (included as Exhibit 101).</w:t>
            </w:r>
          </w:p>
        </w:tc>
      </w:tr>
      <w:tr>
        <w:trPr>
          <w:trHeight w:val="1225"/>
        </w:trPr>
        <w:tc>
          <w:tcPr>
            <w:tcW w:w="1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245" w:lineRule="exact"/>
        <w:rPr>
          <w:sz w:val="20"/>
          <w:szCs w:val="20"/>
          <w:color w:val="auto"/>
        </w:rPr>
      </w:pPr>
    </w:p>
    <w:p>
      <w:pPr>
        <w:ind w:right="120"/>
        <w:spacing w:after="0" w:line="286"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73"/>
        </w:trPr>
        <w:tc>
          <w:tcPr>
            <w:tcW w:w="34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5680" w:type="dxa"/>
            <w:vAlign w:val="bottom"/>
          </w:tcPr>
          <w:p>
            <w:pPr>
              <w:ind w:left="20"/>
              <w:spacing w:after="0"/>
              <w:rPr>
                <w:sz w:val="20"/>
                <w:szCs w:val="20"/>
                <w:color w:val="auto"/>
              </w:rPr>
            </w:pPr>
            <w:r>
              <w:rPr>
                <w:rFonts w:ascii="Arial" w:cs="Arial" w:eastAsia="Arial" w:hAnsi="Arial"/>
                <w:sz w:val="20"/>
                <w:szCs w:val="20"/>
                <w:b w:val="1"/>
                <w:bCs w:val="1"/>
                <w:color w:val="auto"/>
              </w:rPr>
              <w:t>ABBVIE INC.</w:t>
            </w:r>
          </w:p>
        </w:tc>
      </w:tr>
      <w:tr>
        <w:trPr>
          <w:trHeight w:val="505"/>
        </w:trPr>
        <w:tc>
          <w:tcPr>
            <w:tcW w:w="3400" w:type="dxa"/>
            <w:vAlign w:val="bottom"/>
          </w:tcPr>
          <w:p>
            <w:pPr>
              <w:spacing w:after="0"/>
              <w:rPr>
                <w:sz w:val="20"/>
                <w:szCs w:val="20"/>
                <w:color w:val="auto"/>
              </w:rPr>
            </w:pPr>
            <w:r>
              <w:rPr>
                <w:rFonts w:ascii="Arial" w:cs="Arial" w:eastAsia="Arial" w:hAnsi="Arial"/>
                <w:sz w:val="20"/>
                <w:szCs w:val="20"/>
                <w:color w:val="auto"/>
              </w:rPr>
              <w:t>Date:  July 31, 2025</w:t>
            </w:r>
          </w:p>
        </w:tc>
        <w:tc>
          <w:tcPr>
            <w:tcW w:w="7820" w:type="dxa"/>
            <w:vAlign w:val="bottom"/>
            <w:gridSpan w:val="2"/>
          </w:tcPr>
          <w:p>
            <w:pPr>
              <w:ind w:left="1580"/>
              <w:spacing w:after="0"/>
              <w:rPr>
                <w:sz w:val="20"/>
                <w:szCs w:val="20"/>
                <w:color w:val="auto"/>
              </w:rPr>
            </w:pPr>
            <w:r>
              <w:rPr>
                <w:rFonts w:ascii="Arial" w:cs="Arial" w:eastAsia="Arial" w:hAnsi="Arial"/>
                <w:sz w:val="20"/>
                <w:szCs w:val="20"/>
                <w:color w:val="auto"/>
              </w:rPr>
              <w:t>By:   /s/ Scott T. Reents</w:t>
            </w:r>
          </w:p>
        </w:tc>
      </w:tr>
      <w:tr>
        <w:trPr>
          <w:trHeight w:val="244"/>
        </w:trPr>
        <w:tc>
          <w:tcPr>
            <w:tcW w:w="34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568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Scott T. Reents</w:t>
            </w:r>
          </w:p>
        </w:tc>
      </w:tr>
      <w:tr>
        <w:trPr>
          <w:trHeight w:val="257"/>
        </w:trPr>
        <w:tc>
          <w:tcPr>
            <w:tcW w:w="34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auto"/>
              </w:rPr>
              <w:t>Executive Vice President,</w:t>
            </w:r>
          </w:p>
        </w:tc>
      </w:tr>
      <w:tr>
        <w:trPr>
          <w:trHeight w:val="261"/>
        </w:trPr>
        <w:tc>
          <w:tcPr>
            <w:tcW w:w="34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240"/>
          </w:cols>
          <w:pgMar w:left="320" w:top="885"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285875"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8587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9"/>
          <w:szCs w:val="29"/>
          <w:b w:val="1"/>
          <w:bCs w:val="1"/>
          <w:color w:val="071D49"/>
        </w:rPr>
        <w:t>PRESS RELEASE</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AbbVie Reports Second-Quarter 2025 Financial Results</w:t>
      </w:r>
    </w:p>
    <w:p>
      <w:pPr>
        <w:spacing w:after="0" w:line="269" w:lineRule="exact"/>
        <w:rPr>
          <w:sz w:val="20"/>
          <w:szCs w:val="20"/>
          <w:color w:val="auto"/>
        </w:rPr>
      </w:pPr>
    </w:p>
    <w:p>
      <w:pPr>
        <w:ind w:left="660" w:right="260" w:hanging="328"/>
        <w:spacing w:after="0" w:line="262"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Reports Second-Quarter Diluted EPS of $0.52 on a GAAP Basis, a Decrease of 32.5 Percent; Adjusted Diluted EPS of $2.97, an Increase of 12.1 Percent; These Results Include an Unfavorable Impact of $0.42 Per Share Related to Acquired IPR&amp;D and Milestones Expense</w:t>
      </w:r>
    </w:p>
    <w:p>
      <w:pPr>
        <w:spacing w:after="0" w:line="191" w:lineRule="exact"/>
        <w:rPr>
          <w:rFonts w:ascii="Arial" w:cs="Arial" w:eastAsia="Arial" w:hAnsi="Arial"/>
          <w:sz w:val="20"/>
          <w:szCs w:val="20"/>
          <w:i w:val="1"/>
          <w:iCs w:val="1"/>
          <w:color w:val="auto"/>
        </w:rPr>
      </w:pPr>
    </w:p>
    <w:p>
      <w:pPr>
        <w:ind w:left="660" w:right="720" w:hanging="328"/>
        <w:spacing w:after="0" w:line="286"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Delivers Second-Quarter Net Revenues of $15.423 Billion, an Increase of 6.6 Percent on a Reported Basis or 6.5 Percent on an Operational Basis</w:t>
      </w:r>
    </w:p>
    <w:p>
      <w:pPr>
        <w:spacing w:after="0" w:line="180" w:lineRule="exact"/>
        <w:rPr>
          <w:rFonts w:ascii="Arial" w:cs="Arial" w:eastAsia="Arial" w:hAnsi="Arial"/>
          <w:sz w:val="20"/>
          <w:szCs w:val="20"/>
          <w:i w:val="1"/>
          <w:iCs w:val="1"/>
          <w:color w:val="auto"/>
        </w:rPr>
      </w:pPr>
    </w:p>
    <w:p>
      <w:pPr>
        <w:ind w:left="660" w:right="120" w:hanging="328"/>
        <w:spacing w:after="0" w:line="262"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Second-Quarter Global Net Revenues from the Immunology Portfolio Were $7.631 Billion, an Increase of 9.5 Percent on a Reported Basis, or 9.2 Percent on an Operational Basis; Global Skyrizi Net Revenues Were $4.423 Billion; Global Rinvoq Net Revenues Were $2.028 Billion; Global Humira Net Revenues Were $1.180 Billion</w:t>
      </w:r>
    </w:p>
    <w:p>
      <w:pPr>
        <w:spacing w:after="0" w:line="191" w:lineRule="exact"/>
        <w:rPr>
          <w:rFonts w:ascii="Arial" w:cs="Arial" w:eastAsia="Arial" w:hAnsi="Arial"/>
          <w:sz w:val="20"/>
          <w:szCs w:val="20"/>
          <w:i w:val="1"/>
          <w:iCs w:val="1"/>
          <w:color w:val="auto"/>
        </w:rPr>
      </w:pPr>
    </w:p>
    <w:p>
      <w:pPr>
        <w:ind w:left="660" w:right="140" w:hanging="328"/>
        <w:spacing w:after="0" w:line="259"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Second-Quarter Global Net Revenues from the Neuroscience Portfolio Were $2.683 Billion, an Increase of 24.2 Percent on a Reported Basis, or 24.0 Percent on an Operational Basis; Global Vraylar Net Revenues Were $900 Million; Global Botox Therapeutic Net Revenues Were $928 Million; Combined Global Ubrelvy and Qulipta Net Revenues Were $605 Million</w:t>
      </w:r>
    </w:p>
    <w:p>
      <w:pPr>
        <w:spacing w:after="0" w:line="208" w:lineRule="exact"/>
        <w:rPr>
          <w:rFonts w:ascii="Arial" w:cs="Arial" w:eastAsia="Arial" w:hAnsi="Arial"/>
          <w:sz w:val="20"/>
          <w:szCs w:val="20"/>
          <w:i w:val="1"/>
          <w:iCs w:val="1"/>
          <w:color w:val="auto"/>
        </w:rPr>
      </w:pPr>
    </w:p>
    <w:p>
      <w:pPr>
        <w:ind w:left="660" w:right="180" w:hanging="328"/>
        <w:spacing w:after="0" w:line="262"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Second-Quarter Global Net Revenues from the Oncology Portfolio Were $1.676 Billion, an Increase of 2.6 Percent on a Reported Basis, or 2.4 Percent on an Operational Basis; Global Imbruvica Net Revenues Were $754 Million; Global Venclexta Net Revenues Were $691 Million; Global Elahere Net Revenues Were $159 Million</w:t>
      </w:r>
    </w:p>
    <w:p>
      <w:pPr>
        <w:spacing w:after="0" w:line="205" w:lineRule="exact"/>
        <w:rPr>
          <w:rFonts w:ascii="Arial" w:cs="Arial" w:eastAsia="Arial" w:hAnsi="Arial"/>
          <w:sz w:val="20"/>
          <w:szCs w:val="20"/>
          <w:i w:val="1"/>
          <w:iCs w:val="1"/>
          <w:color w:val="auto"/>
        </w:rPr>
      </w:pPr>
    </w:p>
    <w:p>
      <w:pPr>
        <w:ind w:left="660" w:right="140" w:hanging="328"/>
        <w:spacing w:after="0" w:line="262"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Second-Quarter Global Net Revenues from the Aesthetics Portfolio Were $1.279 Billion, a Decrease of 8.1 Percent on a Reported Basis, or 8.0 Percent on an Operational Basis; Global Botox Cosmetic Net Revenues Were $692 Million; Global Juvederm Net Revenues Were $260 Million</w:t>
      </w:r>
    </w:p>
    <w:p>
      <w:pPr>
        <w:spacing w:after="0" w:line="191" w:lineRule="exact"/>
        <w:rPr>
          <w:rFonts w:ascii="Arial" w:cs="Arial" w:eastAsia="Arial" w:hAnsi="Arial"/>
          <w:sz w:val="20"/>
          <w:szCs w:val="20"/>
          <w:i w:val="1"/>
          <w:iCs w:val="1"/>
          <w:color w:val="auto"/>
        </w:rPr>
      </w:pPr>
    </w:p>
    <w:p>
      <w:pPr>
        <w:ind w:left="660" w:right="480" w:hanging="328"/>
        <w:spacing w:after="0" w:line="269" w:lineRule="auto"/>
        <w:tabs>
          <w:tab w:leader="none" w:pos="621"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Raises 2025 Adjusted Diluted EPS Guidance Range from $11.67 - $11.87 to $11.88 - $12.08, which Includes an Unfavorable Impact of $0.55 Per Share Related to Acquired IPR&amp;D and Milestones Expense Incurred Year-To-Date Through the Second Quarter 2025</w:t>
      </w:r>
    </w:p>
    <w:p>
      <w:pPr>
        <w:spacing w:after="0" w:line="183" w:lineRule="exact"/>
        <w:rPr>
          <w:sz w:val="20"/>
          <w:szCs w:val="20"/>
          <w:color w:val="auto"/>
        </w:rPr>
      </w:pPr>
    </w:p>
    <w:p>
      <w:pPr>
        <w:ind w:right="220"/>
        <w:spacing w:after="0" w:line="274" w:lineRule="auto"/>
        <w:rPr>
          <w:sz w:val="20"/>
          <w:szCs w:val="20"/>
          <w:color w:val="auto"/>
        </w:rPr>
      </w:pPr>
      <w:r>
        <w:rPr>
          <w:rFonts w:ascii="Arial" w:cs="Arial" w:eastAsia="Arial" w:hAnsi="Arial"/>
          <w:sz w:val="20"/>
          <w:szCs w:val="20"/>
          <w:b w:val="1"/>
          <w:bCs w:val="1"/>
          <w:color w:val="auto"/>
        </w:rPr>
        <w:t xml:space="preserve">NORTH CHICAGO, Ill., </w:t>
      </w:r>
      <w:r>
        <w:rPr>
          <w:rFonts w:ascii="Arial" w:cs="Arial" w:eastAsia="Arial" w:hAnsi="Arial"/>
          <w:sz w:val="20"/>
          <w:szCs w:val="20"/>
          <w:color w:val="auto"/>
        </w:rPr>
        <w:t>July 31, 2025 – AbbVie (NYSE:ABBV) announced financial results for the second quarter ended June</w:t>
      </w:r>
      <w:r>
        <w:rPr>
          <w:rFonts w:ascii="Arial" w:cs="Arial" w:eastAsia="Arial" w:hAnsi="Arial"/>
          <w:sz w:val="20"/>
          <w:szCs w:val="20"/>
          <w:b w:val="1"/>
          <w:bCs w:val="1"/>
          <w:color w:val="auto"/>
        </w:rPr>
        <w:t xml:space="preserve"> </w:t>
      </w:r>
      <w:r>
        <w:rPr>
          <w:rFonts w:ascii="Arial" w:cs="Arial" w:eastAsia="Arial" w:hAnsi="Arial"/>
          <w:sz w:val="20"/>
          <w:szCs w:val="20"/>
          <w:color w:val="auto"/>
        </w:rPr>
        <w:t>30, 2025.</w:t>
      </w:r>
    </w:p>
    <w:p>
      <w:pPr>
        <w:spacing w:after="0" w:line="179"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"AbbVie delivered another outstanding quarter with strong performance from our diversified growth platform. We also made meaningful pipeline progress with several regulatory approvals, encouraging clinical data and strategic investments in promising external innovation," said Robert A. Michael, chairman and chief executive officer, AbbVie. "We're entering the second half of the year with substantial momentum and are once again raising our full-year outlook."</w:t>
      </w: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0900" w:type="dxa"/>
            <w:vAlign w:val="bottom"/>
          </w:tcPr>
          <w:p>
            <w:pPr>
              <w:spacing w:after="0"/>
              <w:rPr>
                <w:sz w:val="20"/>
                <w:szCs w:val="20"/>
                <w:color w:val="auto"/>
              </w:rPr>
            </w:pPr>
            <w:r>
              <w:rPr>
                <w:rFonts w:ascii="Arial" w:cs="Arial" w:eastAsia="Arial" w:hAnsi="Arial"/>
                <w:sz w:val="14"/>
                <w:szCs w:val="14"/>
                <w:color w:val="auto"/>
              </w:rPr>
              <w:t>Note: "Operational" comparisons are presented at constant currency rates that reflect comparative local currency net revenues at the prior year's foreign exchange rates.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Second-Quarter Results</w:t>
      </w:r>
    </w:p>
    <w:p>
      <w:pPr>
        <w:spacing w:after="0" w:line="245" w:lineRule="exact"/>
        <w:rPr>
          <w:sz w:val="20"/>
          <w:szCs w:val="20"/>
          <w:color w:val="auto"/>
        </w:rPr>
      </w:pPr>
    </w:p>
    <w:p>
      <w:pPr>
        <w:ind w:left="660" w:right="620" w:hanging="328"/>
        <w:spacing w:after="0" w:line="286" w:lineRule="auto"/>
        <w:tabs>
          <w:tab w:leader="none" w:pos="621"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Worldwide net revenues were $15.423 billion, an increase of 6.6 percent on a reported basis, or 6.5 percent on an operational basis.</w:t>
      </w:r>
    </w:p>
    <w:p>
      <w:pPr>
        <w:spacing w:after="0" w:line="221" w:lineRule="exact"/>
        <w:rPr>
          <w:rFonts w:ascii="Arial" w:cs="Arial" w:eastAsia="Arial" w:hAnsi="Arial"/>
          <w:sz w:val="20"/>
          <w:szCs w:val="20"/>
          <w:i w:val="1"/>
          <w:iCs w:val="1"/>
          <w:color w:val="auto"/>
        </w:rPr>
      </w:pPr>
    </w:p>
    <w:p>
      <w:pPr>
        <w:ind w:left="660" w:right="20" w:hanging="328"/>
        <w:spacing w:after="0" w:line="248"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immunology portfolio were $7.631 billion, an increase of 9.5 percent on a reported basis, or 9.2 percent on an operational basis.</w:t>
      </w:r>
    </w:p>
    <w:p>
      <w:pPr>
        <w:spacing w:after="0" w:line="1" w:lineRule="exact"/>
        <w:rPr>
          <w:rFonts w:ascii="Arial" w:cs="Arial" w:eastAsia="Arial" w:hAnsi="Arial"/>
          <w:sz w:val="20"/>
          <w:szCs w:val="20"/>
          <w:color w:val="auto"/>
        </w:rPr>
      </w:pPr>
    </w:p>
    <w:p>
      <w:pPr>
        <w:ind w:left="1300" w:right="80" w:hanging="320"/>
        <w:spacing w:after="0" w:line="246"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Skyrizi net revenues were $4.423 billion, an increase of 62.2 percent on a reported basis, or 61.8 percent on an operational basis.</w:t>
      </w:r>
    </w:p>
    <w:p>
      <w:pPr>
        <w:spacing w:after="0" w:line="1" w:lineRule="exact"/>
        <w:rPr>
          <w:rFonts w:ascii="Arial" w:cs="Arial" w:eastAsia="Arial" w:hAnsi="Arial"/>
          <w:sz w:val="20"/>
          <w:szCs w:val="20"/>
          <w:color w:val="auto"/>
        </w:rPr>
      </w:pPr>
    </w:p>
    <w:p>
      <w:pPr>
        <w:ind w:left="1300" w:right="40" w:hanging="320"/>
        <w:spacing w:after="0" w:line="246"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Rinvoq net revenues were $2.028 billion, an increase of 41.8 percent on a reported basis, or 41.2 percent on an operational basis.</w:t>
      </w:r>
    </w:p>
    <w:p>
      <w:pPr>
        <w:spacing w:after="0" w:line="1" w:lineRule="exact"/>
        <w:rPr>
          <w:rFonts w:ascii="Arial" w:cs="Arial" w:eastAsia="Arial" w:hAnsi="Arial"/>
          <w:sz w:val="20"/>
          <w:szCs w:val="20"/>
          <w:color w:val="auto"/>
        </w:rPr>
      </w:pPr>
    </w:p>
    <w:p>
      <w:pPr>
        <w:ind w:left="1300" w:right="80" w:hanging="320"/>
        <w:spacing w:after="0" w:line="253"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Humira net revenues were $1.180 billion, a decrease of 58.1 percent on a reported basis, or 58.2 percent on an operational basis.</w:t>
      </w:r>
    </w:p>
    <w:p>
      <w:pPr>
        <w:spacing w:after="0" w:line="253" w:lineRule="exact"/>
        <w:rPr>
          <w:rFonts w:ascii="Arial" w:cs="Arial" w:eastAsia="Arial" w:hAnsi="Arial"/>
          <w:sz w:val="20"/>
          <w:szCs w:val="20"/>
          <w:color w:val="auto"/>
        </w:rPr>
      </w:pPr>
    </w:p>
    <w:p>
      <w:pPr>
        <w:ind w:left="660" w:right="20" w:hanging="328"/>
        <w:spacing w:after="0" w:line="255" w:lineRule="auto"/>
        <w:tabs>
          <w:tab w:leader="none" w:pos="621"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neuroscience portfolio were $2.683 billion, an increase of 24.2 percent on a reported basis, or 24.0 percent on an operational basis.</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Vraylar net revenues were $900 million, an increase of 16.3 percent.</w:t>
      </w:r>
    </w:p>
    <w:p>
      <w:pPr>
        <w:ind w:left="1300" w:right="320" w:hanging="320"/>
        <w:spacing w:after="0" w:line="246"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Botox Therapeutic net revenues were $928 million, an increase of 14.1 percent on a reported basis, or 14.2 percent on an operational basis.</w:t>
      </w:r>
    </w:p>
    <w:p>
      <w:pPr>
        <w:spacing w:after="0" w:line="1" w:lineRule="exact"/>
        <w:rPr>
          <w:rFonts w:ascii="Arial" w:cs="Arial" w:eastAsia="Arial" w:hAnsi="Arial"/>
          <w:sz w:val="20"/>
          <w:szCs w:val="20"/>
          <w:color w:val="auto"/>
        </w:rPr>
      </w:pPr>
    </w:p>
    <w:p>
      <w:pPr>
        <w:ind w:left="1300" w:right="100" w:hanging="320"/>
        <w:spacing w:after="0" w:line="239"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Ubrelvy net revenues were $338 million, an increase of 47.1 percent on a reported basis, or 47.2 percent on an operational basis.</w:t>
      </w:r>
    </w:p>
    <w:p>
      <w:pPr>
        <w:ind w:left="1300" w:right="140" w:hanging="320"/>
        <w:spacing w:after="0" w:line="267" w:lineRule="auto"/>
        <w:tabs>
          <w:tab w:leader="none" w:pos="1303" w:val="left"/>
        </w:tabs>
        <w:numPr>
          <w:ilvl w:val="1"/>
          <w:numId w:val="3"/>
        </w:numPr>
        <w:rPr>
          <w:rFonts w:ascii="Arial" w:cs="Arial" w:eastAsia="Arial" w:hAnsi="Arial"/>
          <w:sz w:val="20"/>
          <w:szCs w:val="20"/>
          <w:color w:val="auto"/>
        </w:rPr>
      </w:pPr>
      <w:r>
        <w:rPr>
          <w:rFonts w:ascii="Arial" w:cs="Arial" w:eastAsia="Arial" w:hAnsi="Arial"/>
          <w:sz w:val="20"/>
          <w:szCs w:val="20"/>
          <w:color w:val="auto"/>
        </w:rPr>
        <w:t>Global Qulipta net revenues were $267 million, an increase of 77.5 percent on a reported basis, or 76.9 percent on an operational basis.</w:t>
      </w:r>
    </w:p>
    <w:p>
      <w:pPr>
        <w:spacing w:after="0" w:line="239" w:lineRule="exact"/>
        <w:rPr>
          <w:rFonts w:ascii="Arial" w:cs="Arial" w:eastAsia="Arial" w:hAnsi="Arial"/>
          <w:sz w:val="20"/>
          <w:szCs w:val="20"/>
          <w:color w:val="auto"/>
        </w:rPr>
      </w:pPr>
    </w:p>
    <w:p>
      <w:pPr>
        <w:ind w:left="620" w:hanging="288"/>
        <w:spacing w:after="0"/>
        <w:tabs>
          <w:tab w:leader="none" w:pos="620" w:val="left"/>
        </w:tabs>
        <w:numPr>
          <w:ilvl w:val="0"/>
          <w:numId w:val="3"/>
        </w:numPr>
        <w:rPr>
          <w:rFonts w:ascii="Arial" w:cs="Arial" w:eastAsia="Arial" w:hAnsi="Arial"/>
          <w:sz w:val="20"/>
          <w:szCs w:val="20"/>
          <w:color w:val="auto"/>
        </w:rPr>
      </w:pPr>
      <w:r>
        <w:rPr>
          <w:rFonts w:ascii="Arial" w:cs="Arial" w:eastAsia="Arial" w:hAnsi="Arial"/>
          <w:sz w:val="20"/>
          <w:szCs w:val="20"/>
          <w:color w:val="auto"/>
        </w:rPr>
        <w:t>Global net revenues from the oncology portfolio were $1.676 billion, an increase of 2.6 percent on a reported basis, or</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2.4 percent on an operational basis.</w:t>
      </w:r>
    </w:p>
    <w:p>
      <w:pPr>
        <w:spacing w:after="0" w:line="13" w:lineRule="exact"/>
        <w:rPr>
          <w:sz w:val="20"/>
          <w:szCs w:val="20"/>
          <w:color w:val="auto"/>
        </w:rPr>
      </w:pP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Global Imbruvica net revenues were $754 million, a decrease of 9.5 percent.</w:t>
      </w:r>
    </w:p>
    <w:p>
      <w:pPr>
        <w:ind w:left="1300" w:right="140" w:hanging="320"/>
        <w:spacing w:after="0" w:line="239" w:lineRule="auto"/>
        <w:tabs>
          <w:tab w:leader="none" w:pos="1303" w:val="left"/>
        </w:tabs>
        <w:numPr>
          <w:ilvl w:val="1"/>
          <w:numId w:val="4"/>
        </w:numPr>
        <w:rPr>
          <w:rFonts w:ascii="Arial" w:cs="Arial" w:eastAsia="Arial" w:hAnsi="Arial"/>
          <w:sz w:val="20"/>
          <w:szCs w:val="20"/>
          <w:color w:val="auto"/>
        </w:rPr>
      </w:pPr>
      <w:r>
        <w:rPr>
          <w:rFonts w:ascii="Arial" w:cs="Arial" w:eastAsia="Arial" w:hAnsi="Arial"/>
          <w:sz w:val="20"/>
          <w:szCs w:val="20"/>
          <w:color w:val="auto"/>
        </w:rPr>
        <w:t>Global Venclexta net revenues were $691 million, an increase of 8.5 percent on a reported basis, or 8.3 percent on an operational basis.</w:t>
      </w:r>
    </w:p>
    <w:p>
      <w:pPr>
        <w:ind w:left="1300" w:right="100" w:hanging="320"/>
        <w:spacing w:after="0" w:line="267" w:lineRule="auto"/>
        <w:tabs>
          <w:tab w:leader="none" w:pos="1303" w:val="left"/>
        </w:tabs>
        <w:numPr>
          <w:ilvl w:val="1"/>
          <w:numId w:val="4"/>
        </w:numPr>
        <w:rPr>
          <w:rFonts w:ascii="Arial" w:cs="Arial" w:eastAsia="Arial" w:hAnsi="Arial"/>
          <w:sz w:val="20"/>
          <w:szCs w:val="20"/>
          <w:color w:val="auto"/>
        </w:rPr>
      </w:pPr>
      <w:r>
        <w:rPr>
          <w:rFonts w:ascii="Arial" w:cs="Arial" w:eastAsia="Arial" w:hAnsi="Arial"/>
          <w:sz w:val="20"/>
          <w:szCs w:val="20"/>
          <w:color w:val="auto"/>
        </w:rPr>
        <w:t>Global Elahere net revenues were $159 million, an increase of 24.2 percent on a reported basis, or 23.7 percent on an operational basis.</w:t>
      </w:r>
    </w:p>
    <w:p>
      <w:pPr>
        <w:spacing w:after="0" w:line="239" w:lineRule="exact"/>
        <w:rPr>
          <w:rFonts w:ascii="Arial" w:cs="Arial" w:eastAsia="Arial" w:hAnsi="Arial"/>
          <w:sz w:val="20"/>
          <w:szCs w:val="20"/>
          <w:color w:val="auto"/>
        </w:rPr>
      </w:pPr>
    </w:p>
    <w:p>
      <w:pPr>
        <w:ind w:left="660" w:right="240" w:hanging="328"/>
        <w:spacing w:after="0" w:line="255"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Global net revenues from the aesthetics portfolio were $1.279 billion, a decrease of 8.1 percent on a reported basis, or 8.0 percent on an operational basis.</w:t>
      </w:r>
    </w:p>
    <w:p>
      <w:pPr>
        <w:spacing w:after="0" w:line="1" w:lineRule="exact"/>
        <w:rPr>
          <w:rFonts w:ascii="Arial" w:cs="Arial" w:eastAsia="Arial" w:hAnsi="Arial"/>
          <w:sz w:val="20"/>
          <w:szCs w:val="20"/>
          <w:color w:val="auto"/>
        </w:rPr>
      </w:pPr>
    </w:p>
    <w:p>
      <w:pPr>
        <w:ind w:left="1300" w:right="360" w:hanging="320"/>
        <w:spacing w:after="0" w:line="239" w:lineRule="auto"/>
        <w:tabs>
          <w:tab w:leader="none" w:pos="1303" w:val="left"/>
        </w:tabs>
        <w:numPr>
          <w:ilvl w:val="1"/>
          <w:numId w:val="4"/>
        </w:numPr>
        <w:rPr>
          <w:rFonts w:ascii="Arial" w:cs="Arial" w:eastAsia="Arial" w:hAnsi="Arial"/>
          <w:sz w:val="20"/>
          <w:szCs w:val="20"/>
          <w:color w:val="auto"/>
        </w:rPr>
      </w:pPr>
      <w:r>
        <w:rPr>
          <w:rFonts w:ascii="Arial" w:cs="Arial" w:eastAsia="Arial" w:hAnsi="Arial"/>
          <w:sz w:val="20"/>
          <w:szCs w:val="20"/>
          <w:color w:val="auto"/>
        </w:rPr>
        <w:t>Global Botox Cosmetic net revenues were $692 million, a decrease of 5.0 percent on a reported basis, or 4.9 percent on an operational basis.</w:t>
      </w:r>
    </w:p>
    <w:p>
      <w:pPr>
        <w:ind w:left="1300" w:hanging="320"/>
        <w:spacing w:after="0"/>
        <w:tabs>
          <w:tab w:leader="none" w:pos="1300" w:val="left"/>
        </w:tabs>
        <w:numPr>
          <w:ilvl w:val="1"/>
          <w:numId w:val="4"/>
        </w:numPr>
        <w:rPr>
          <w:rFonts w:ascii="Arial" w:cs="Arial" w:eastAsia="Arial" w:hAnsi="Arial"/>
          <w:sz w:val="20"/>
          <w:szCs w:val="20"/>
          <w:color w:val="auto"/>
        </w:rPr>
      </w:pPr>
      <w:r>
        <w:rPr>
          <w:rFonts w:ascii="Arial" w:cs="Arial" w:eastAsia="Arial" w:hAnsi="Arial"/>
          <w:sz w:val="20"/>
          <w:szCs w:val="20"/>
          <w:color w:val="auto"/>
        </w:rPr>
        <w:t>Global Juvederm net revenues were $260 million, a decrease of 24.0 percent.</w:t>
      </w:r>
    </w:p>
    <w:p>
      <w:pPr>
        <w:spacing w:after="0" w:line="292"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 GAAP basis, gross margin in the second quarter was 71.8 percent. The adjusted gross margin was 84.4 percent.</w:t>
      </w:r>
    </w:p>
    <w:p>
      <w:pPr>
        <w:spacing w:after="0" w:line="296" w:lineRule="exact"/>
        <w:rPr>
          <w:rFonts w:ascii="Arial" w:cs="Arial" w:eastAsia="Arial" w:hAnsi="Arial"/>
          <w:sz w:val="20"/>
          <w:szCs w:val="20"/>
          <w:color w:val="auto"/>
        </w:rPr>
      </w:pPr>
    </w:p>
    <w:p>
      <w:pPr>
        <w:ind w:left="660" w:right="160" w:hanging="328"/>
        <w:spacing w:after="0" w:line="271"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 GAAP basis, selling, general and administrative (SG&amp;A) expense was 21.1 percent of net revenues. The adjusted SG&amp;A expense was 21.0 percent of net revenues.</w:t>
      </w:r>
    </w:p>
    <w:p>
      <w:pPr>
        <w:spacing w:after="0" w:line="236" w:lineRule="exact"/>
        <w:rPr>
          <w:rFonts w:ascii="Arial" w:cs="Arial" w:eastAsia="Arial" w:hAnsi="Arial"/>
          <w:sz w:val="20"/>
          <w:szCs w:val="20"/>
          <w:color w:val="auto"/>
        </w:rPr>
      </w:pPr>
    </w:p>
    <w:p>
      <w:pPr>
        <w:ind w:left="660" w:right="460" w:hanging="328"/>
        <w:spacing w:after="0" w:line="286"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 GAAP basis, research and development (R&amp;D) expense was 13.8 percent of net revenues. The adjusted R&amp;D expense was 13.7 percent of net revenues.</w:t>
      </w:r>
    </w:p>
    <w:p>
      <w:pPr>
        <w:spacing w:after="0" w:line="221"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Acquired IPR&amp;D and milestones expense was 5.3 percent of net revenues.</w:t>
      </w:r>
    </w:p>
    <w:p>
      <w:pPr>
        <w:spacing w:after="0" w:line="296" w:lineRule="exact"/>
        <w:rPr>
          <w:rFonts w:ascii="Arial" w:cs="Arial" w:eastAsia="Arial" w:hAnsi="Arial"/>
          <w:sz w:val="20"/>
          <w:szCs w:val="20"/>
          <w:color w:val="auto"/>
        </w:rPr>
      </w:pPr>
    </w:p>
    <w:p>
      <w:pPr>
        <w:ind w:left="660" w:right="320" w:hanging="328"/>
        <w:spacing w:after="0" w:line="286" w:lineRule="auto"/>
        <w:tabs>
          <w:tab w:leader="none" w:pos="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 GAAP basis, operating margin in the second quarter was 31.7 percent. The adjusted operating margin was 44.3 percent.</w:t>
      </w:r>
    </w:p>
    <w:p>
      <w:pPr>
        <w:spacing w:after="0" w:line="221"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interest expense was $678 million.</w:t>
      </w:r>
    </w:p>
    <w:p>
      <w:pPr>
        <w:spacing w:after="0" w:line="296"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On a GAAP basis, the tax rate in the quarter was 39.4 percent. The adjusted tax rate was 16.2 percent.</w:t>
      </w:r>
    </w:p>
    <w:p>
      <w:pPr>
        <w:spacing w:after="0" w:line="296" w:lineRule="exact"/>
        <w:rPr>
          <w:rFonts w:ascii="Arial" w:cs="Arial" w:eastAsia="Arial" w:hAnsi="Arial"/>
          <w:sz w:val="20"/>
          <w:szCs w:val="20"/>
          <w:color w:val="auto"/>
        </w:rPr>
      </w:pPr>
    </w:p>
    <w:p>
      <w:pPr>
        <w:ind w:left="620" w:hanging="288"/>
        <w:spacing w:after="0"/>
        <w:tabs>
          <w:tab w:leader="none" w:pos="620" w:val="left"/>
        </w:tabs>
        <w:numPr>
          <w:ilvl w:val="0"/>
          <w:numId w:val="4"/>
        </w:numPr>
        <w:rPr>
          <w:rFonts w:ascii="Arial" w:cs="Arial" w:eastAsia="Arial" w:hAnsi="Arial"/>
          <w:sz w:val="20"/>
          <w:szCs w:val="20"/>
          <w:color w:val="auto"/>
        </w:rPr>
      </w:pPr>
      <w:r>
        <w:rPr>
          <w:rFonts w:ascii="Arial" w:cs="Arial" w:eastAsia="Arial" w:hAnsi="Arial"/>
          <w:sz w:val="20"/>
          <w:szCs w:val="20"/>
          <w:color w:val="auto"/>
        </w:rPr>
        <w:t>Diluted EPS in the second quarter was $0.52 on a GAAP basis. Adjusted diluted EPS, excluding specified items, was</w:t>
      </w:r>
    </w:p>
    <w:p>
      <w:pPr>
        <w:spacing w:after="0" w:line="31" w:lineRule="exact"/>
        <w:rPr>
          <w:sz w:val="20"/>
          <w:szCs w:val="20"/>
          <w:color w:val="auto"/>
        </w:rPr>
      </w:pPr>
    </w:p>
    <w:p>
      <w:pPr>
        <w:ind w:left="660" w:right="660"/>
        <w:spacing w:after="0" w:line="253" w:lineRule="auto"/>
        <w:rPr>
          <w:sz w:val="20"/>
          <w:szCs w:val="20"/>
          <w:color w:val="auto"/>
        </w:rPr>
      </w:pPr>
      <w:r>
        <w:rPr>
          <w:rFonts w:ascii="Arial" w:cs="Arial" w:eastAsia="Arial" w:hAnsi="Arial"/>
          <w:sz w:val="20"/>
          <w:szCs w:val="20"/>
          <w:color w:val="auto"/>
        </w:rPr>
        <w:t>$2.97. These results include an unfavorable impact of $0.42 per share related to acquired IPR&amp;D and milestones expense.</w:t>
      </w:r>
    </w:p>
    <w:p>
      <w:pPr>
        <w:sectPr>
          <w:pgSz w:w="11900" w:h="16838" w:orient="portrait"/>
          <w:cols w:equalWidth="0" w:num="1">
            <w:col w:w="11200"/>
          </w:cols>
          <w:pgMar w:left="320" w:top="926" w:right="379" w:bottom="324" w:gutter="0" w:footer="0" w:header="0"/>
        </w:sectPr>
      </w:pP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11080" w:val="left"/>
        </w:tabs>
        <w:rPr>
          <w:sz w:val="20"/>
          <w:szCs w:val="20"/>
          <w:color w:val="auto"/>
        </w:rPr>
      </w:pPr>
      <w:r>
        <w:rPr>
          <w:rFonts w:ascii="Arial" w:cs="Arial" w:eastAsia="Arial" w:hAnsi="Arial"/>
          <w:sz w:val="14"/>
          <w:szCs w:val="14"/>
          <w:color w:val="auto"/>
        </w:rPr>
        <w:t>Note: "Operational" comparisons are presented at constant currency rates that reflect comparative local currency net revenues at the prior year's foreign exchange rates.</w:t>
      </w:r>
      <w:r>
        <w:rPr>
          <w:sz w:val="20"/>
          <w:szCs w:val="20"/>
          <w:color w:val="auto"/>
        </w:rPr>
        <w:tab/>
      </w:r>
      <w:r>
        <w:rPr>
          <w:rFonts w:ascii="Arial" w:cs="Arial" w:eastAsia="Arial" w:hAnsi="Arial"/>
          <w:sz w:val="17"/>
          <w:szCs w:val="17"/>
          <w:color w:val="auto"/>
        </w:rPr>
        <w:t>2</w:t>
      </w:r>
    </w:p>
    <w:p>
      <w:pPr>
        <w:sectPr>
          <w:pgSz w:w="11900" w:h="16838" w:orient="portrait"/>
          <w:cols w:equalWidth="0" w:num="1">
            <w:col w:w="11200"/>
          </w:cols>
          <w:pgMar w:left="320" w:top="926" w:right="379" w:bottom="324"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b w:val="1"/>
          <w:bCs w:val="1"/>
          <w:color w:val="auto"/>
        </w:rPr>
        <w:t>Recent Events</w:t>
      </w:r>
    </w:p>
    <w:p>
      <w:pPr>
        <w:spacing w:after="0" w:line="245" w:lineRule="exact"/>
        <w:rPr>
          <w:sz w:val="20"/>
          <w:szCs w:val="20"/>
          <w:color w:val="auto"/>
        </w:rPr>
      </w:pPr>
    </w:p>
    <w:p>
      <w:pPr>
        <w:ind w:left="660" w:right="80" w:hanging="328"/>
        <w:spacing w:after="0" w:line="229"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the U.S. Food and Drug Administration (FDA) approved Rinvoq (upadacitinib) as the first oral Janus Kinase (JAK) inhibitor approved for the treatment of adults with giant cell arteritis (GCA). The approval was supported by data from the pivotal Phase 3 SELECT-GCA trial, which met the primary endpoint of sustained remission and key secondary endpoints. This marks the ninth approved indication for Rinvoq in the U.S., across rheumatology, gastroenterology and dermatology.</w:t>
      </w:r>
    </w:p>
    <w:p>
      <w:pPr>
        <w:spacing w:after="0" w:line="198" w:lineRule="exact"/>
        <w:rPr>
          <w:rFonts w:ascii="Arial" w:cs="Arial" w:eastAsia="Arial" w:hAnsi="Arial"/>
          <w:sz w:val="20"/>
          <w:szCs w:val="20"/>
          <w:color w:val="auto"/>
        </w:rPr>
      </w:pPr>
    </w:p>
    <w:p>
      <w:pPr>
        <w:ind w:left="660" w:right="160" w:hanging="328"/>
        <w:spacing w:after="0" w:line="227"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positive topline results from the first of two pivotal studies in the Phase 3 UP-AA clinical program evaluating the safety and efficacy of Rinvoq in adult and adolescent patients with severe alopecia areata (AA). In the study, Rinvoq achieved the primary endpoint, demonstrating that 44.6% and 54.3% of patients with severe AA treated with Rinvoq 15mg and 30mg, respectively, reached 80% or more scalp hair coverage at week 24 as defined by the severity of alopecia tool (SALT) score ≤20. Key secondary endpoints, including improvements in eyebrows and eyelashes, as well as the percentage of subjects with 90% or more scalp coverage (SALT ≤10) and complete scalp hair coverage (SALT=0) at Week 24, were also met. Rinvoq's safety profile in AA was generally consistent with that in approved indications, and no new safety signals were identified in this study.</w:t>
      </w:r>
    </w:p>
    <w:p>
      <w:pPr>
        <w:spacing w:after="0" w:line="203" w:lineRule="exact"/>
        <w:rPr>
          <w:rFonts w:ascii="Arial" w:cs="Arial" w:eastAsia="Arial" w:hAnsi="Arial"/>
          <w:sz w:val="20"/>
          <w:szCs w:val="20"/>
          <w:color w:val="auto"/>
        </w:rPr>
      </w:pPr>
    </w:p>
    <w:p>
      <w:pPr>
        <w:ind w:left="660" w:right="40" w:hanging="328"/>
        <w:spacing w:after="0" w:line="228"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and Capstan Therapeutics, a clinical-stage biotechnology company dedicated to advancing in vivo engineering of cells through RNA delivery using targeted lipid nanoparticles (tLNPs), announced a definitive agreement under which AbbVie will acquire Capstan. The transaction includes CPTX2309, a potential first-in-class in vivo tLNP anti-CD19 CAR-T therapy candidate, currently in Phase 1 development for the treatment of B cell-mediated autoimmune diseases. Additionally, AbbVie will acquire Capstan's proprietary tLNP platform technology designed to deliver RNA payloads, such as mRNA, capable of engineering specific cell types in vivo.</w:t>
      </w:r>
    </w:p>
    <w:p>
      <w:pPr>
        <w:spacing w:after="0" w:line="201" w:lineRule="exact"/>
        <w:rPr>
          <w:rFonts w:ascii="Arial" w:cs="Arial" w:eastAsia="Arial" w:hAnsi="Arial"/>
          <w:sz w:val="20"/>
          <w:szCs w:val="20"/>
          <w:color w:val="auto"/>
        </w:rPr>
      </w:pPr>
    </w:p>
    <w:p>
      <w:pPr>
        <w:ind w:left="660" w:right="40" w:hanging="328"/>
        <w:spacing w:after="0" w:line="228"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new data from its Phase 3 TEMPLE head-to-head study evaluating the tolerability, safety and efficacy of Qulipta (atogepant) compared to topiramate for the preventive treatment of migraine in adult patients with a history of four or more migraine days per month. In the study, Qulipta met the primary endpoint of fewer treatment discontinuations attributed to adverse events versus topiramate, and all six secondary endpoints achieved statistical significance for superiority versus topiramate, demonstrating clinical efficacy. Full results from the TEMPLE study will be presented at an upcoming medical meeting.</w:t>
      </w:r>
    </w:p>
    <w:p>
      <w:pPr>
        <w:spacing w:after="0" w:line="201" w:lineRule="exact"/>
        <w:rPr>
          <w:rFonts w:ascii="Arial" w:cs="Arial" w:eastAsia="Arial" w:hAnsi="Arial"/>
          <w:sz w:val="20"/>
          <w:szCs w:val="20"/>
          <w:color w:val="auto"/>
        </w:rPr>
      </w:pPr>
    </w:p>
    <w:p>
      <w:pPr>
        <w:ind w:left="660" w:right="40" w:hanging="328"/>
        <w:spacing w:after="0" w:line="232"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that Emrelis (telisotuzumab vedotin-tllv) was granted accelerated approval by the FDA for the treatment of adult patients with locally advanced or metastatic, non-squamous non-small cell lung cancer (NSCLC) with high c-Met protein overexpression who have received a prior systemic therapy. Emrelis is the first treatment approved for previously treated advanced NSCLC patients with high c-Met protein overexpression, a population that often faces poor prognosis and has limited treatment options.</w:t>
      </w:r>
    </w:p>
    <w:p>
      <w:pPr>
        <w:spacing w:after="0" w:line="197" w:lineRule="exact"/>
        <w:rPr>
          <w:rFonts w:ascii="Arial" w:cs="Arial" w:eastAsia="Arial" w:hAnsi="Arial"/>
          <w:sz w:val="20"/>
          <w:szCs w:val="20"/>
          <w:color w:val="auto"/>
        </w:rPr>
      </w:pPr>
    </w:p>
    <w:p>
      <w:pPr>
        <w:ind w:left="660" w:right="380" w:hanging="328"/>
        <w:spacing w:after="0" w:line="237" w:lineRule="auto"/>
        <w:tabs>
          <w:tab w:leader="none" w:pos="621" w:val="left"/>
        </w:tabs>
        <w:numPr>
          <w:ilvl w:val="0"/>
          <w:numId w:val="5"/>
        </w:numPr>
        <w:rPr>
          <w:rFonts w:ascii="Arial" w:cs="Arial" w:eastAsia="Arial" w:hAnsi="Arial"/>
          <w:sz w:val="20"/>
          <w:szCs w:val="20"/>
          <w:color w:val="auto"/>
        </w:rPr>
      </w:pPr>
      <w:r>
        <w:rPr>
          <w:rFonts w:ascii="Arial" w:cs="Arial" w:eastAsia="Arial" w:hAnsi="Arial"/>
          <w:sz w:val="20"/>
          <w:szCs w:val="20"/>
          <w:color w:val="auto"/>
        </w:rPr>
        <w:t>AbbVie announced the submission of a supplemental New Drug Application (sNDA) to the FDA for Venclexta (venetoclax) and acalabrutinib combination therapy for the treatment of chronic lymphocytic leukemia (CLL). This combination therapy has potential to be the first all oral, fixed-duration regimen for previously untreated patients with CLL. The submission is supported by data from the Phase 3 AMPLIFY trial which demonstrated that the combination regimen of Venclexta and acalabrutinib improved progression-free survival (PFS) compared to standard chemoimmunotherapy in previously untreated patients with CLL.</w:t>
      </w:r>
    </w:p>
    <w:p>
      <w:pPr>
        <w:spacing w:after="0" w:line="203" w:lineRule="exact"/>
        <w:rPr>
          <w:rFonts w:ascii="Arial" w:cs="Arial" w:eastAsia="Arial" w:hAnsi="Arial"/>
          <w:sz w:val="20"/>
          <w:szCs w:val="20"/>
          <w:color w:val="auto"/>
        </w:rPr>
      </w:pPr>
    </w:p>
    <w:p>
      <w:pPr>
        <w:ind w:left="660" w:right="620" w:hanging="328"/>
        <w:spacing w:after="0" w:line="245" w:lineRule="auto"/>
        <w:tabs>
          <w:tab w:leader="none" w:pos="621" w:val="left"/>
        </w:tabs>
        <w:numPr>
          <w:ilvl w:val="0"/>
          <w:numId w:val="5"/>
        </w:numPr>
        <w:rPr>
          <w:rFonts w:ascii="Arial" w:cs="Arial" w:eastAsia="Arial" w:hAnsi="Arial"/>
          <w:sz w:val="19"/>
          <w:szCs w:val="19"/>
          <w:color w:val="auto"/>
        </w:rPr>
      </w:pPr>
      <w:r>
        <w:rPr>
          <w:rFonts w:ascii="Arial" w:cs="Arial" w:eastAsia="Arial" w:hAnsi="Arial"/>
          <w:sz w:val="19"/>
          <w:szCs w:val="19"/>
          <w:color w:val="auto"/>
        </w:rPr>
        <w:t>At the American Society of Clinical Oncology (ASCO) Annual Meeting, AbbVie presented key data that showcased significant progress across AbbVie's robust oncology pipeline, in a range of difficult-to-treat solid tumors and blood cancers. Highlights included new data from AbbVie's novel investigational antibody-drug conjugates (ADCs) telisotuzumab adizutecan (ABBV-400, Temab-A) in advanced NSCLC, ABBV-706 in high-grade neuroendocrine neoplasms (NENs) and pivekimab sunirine (PVEK) in blastic plasmacytoid dendritic cell neoplasm (BPDCN).</w:t>
      </w:r>
    </w:p>
    <w:p>
      <w:pPr>
        <w:sectPr>
          <w:pgSz w:w="11900" w:h="16838" w:orient="portrait"/>
          <w:cols w:equalWidth="0" w:num="1">
            <w:col w:w="11240"/>
          </w:cols>
          <w:pgMar w:left="320" w:top="9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26"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0"/>
          <w:szCs w:val="20"/>
          <w:b w:val="1"/>
          <w:bCs w:val="1"/>
          <w:color w:val="auto"/>
        </w:rPr>
        <w:t>Recent Events (Continued)</w:t>
      </w:r>
    </w:p>
    <w:p>
      <w:pPr>
        <w:spacing w:after="0" w:line="231" w:lineRule="exact"/>
        <w:rPr>
          <w:sz w:val="20"/>
          <w:szCs w:val="20"/>
          <w:color w:val="auto"/>
        </w:rPr>
      </w:pPr>
    </w:p>
    <w:p>
      <w:pPr>
        <w:ind w:left="660" w:right="60" w:hanging="328"/>
        <w:spacing w:after="0" w:line="233"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announced the global Phase 3 VERONA trial evaluating Venclexta (venetoclax) in combination with azacitidine in the treatment of newly diagnosed higher-risk myelodysplastic syndrome (MDS) did not meet the primary endpoint of overall survival. No new safety signals were observed and results from the trial will be available in a future medical congress and/or publication.</w:t>
      </w:r>
    </w:p>
    <w:p>
      <w:pPr>
        <w:spacing w:after="0" w:line="186" w:lineRule="exact"/>
        <w:rPr>
          <w:rFonts w:ascii="Arial" w:cs="Arial" w:eastAsia="Arial" w:hAnsi="Arial"/>
          <w:sz w:val="20"/>
          <w:szCs w:val="20"/>
          <w:color w:val="auto"/>
        </w:rPr>
      </w:pPr>
    </w:p>
    <w:p>
      <w:pPr>
        <w:ind w:left="660" w:right="60" w:hanging="328"/>
        <w:spacing w:after="0" w:line="260" w:lineRule="auto"/>
        <w:tabs>
          <w:tab w:leader="none" w:pos="621" w:val="left"/>
        </w:tabs>
        <w:numPr>
          <w:ilvl w:val="0"/>
          <w:numId w:val="6"/>
        </w:numPr>
        <w:rPr>
          <w:rFonts w:ascii="Arial" w:cs="Arial" w:eastAsia="Arial" w:hAnsi="Arial"/>
          <w:sz w:val="19"/>
          <w:szCs w:val="19"/>
          <w:color w:val="auto"/>
        </w:rPr>
      </w:pPr>
      <w:r>
        <w:rPr>
          <w:rFonts w:ascii="Arial" w:cs="Arial" w:eastAsia="Arial" w:hAnsi="Arial"/>
          <w:sz w:val="19"/>
          <w:szCs w:val="19"/>
          <w:color w:val="auto"/>
        </w:rPr>
        <w:t>AbbVie and Ichnos Glenmark Innovation (IGI) announced an exclusive licensing agreement for IGI's lead investigational asset, ISB 2001, which is being investigated for the treatment of oncology and autoimmune diseases. ISB 2001 is a first-in-class trispecific T-cell engager currently in Phase 1 development for relapsed/refractory (r/r) multiple myeloma (MM).</w:t>
      </w:r>
    </w:p>
    <w:p>
      <w:pPr>
        <w:spacing w:after="0" w:line="180" w:lineRule="exact"/>
        <w:rPr>
          <w:rFonts w:ascii="Arial" w:cs="Arial" w:eastAsia="Arial" w:hAnsi="Arial"/>
          <w:sz w:val="19"/>
          <w:szCs w:val="19"/>
          <w:color w:val="auto"/>
        </w:rPr>
      </w:pPr>
    </w:p>
    <w:p>
      <w:pPr>
        <w:ind w:left="660" w:right="480" w:hanging="328"/>
        <w:spacing w:after="0" w:line="233"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announced the FDA approved a label expansion for Mavyret (glecaprevir/pibrentasvir), an oral pangenotypic direct acting antiviral (DAA) therapy. Mavyret is the first oral eight-week pangenotypic treatment option approved for people with acute or chronic hepatitis C virus (HCV). With this approval, providers can now treat HCV patients immediately at the time of diagnosis.</w:t>
      </w:r>
    </w:p>
    <w:p>
      <w:pPr>
        <w:spacing w:after="0" w:line="186" w:lineRule="exact"/>
        <w:rPr>
          <w:rFonts w:ascii="Arial" w:cs="Arial" w:eastAsia="Arial" w:hAnsi="Arial"/>
          <w:sz w:val="20"/>
          <w:szCs w:val="20"/>
          <w:color w:val="auto"/>
        </w:rPr>
      </w:pPr>
    </w:p>
    <w:p>
      <w:pPr>
        <w:ind w:left="660" w:right="440" w:hanging="328"/>
        <w:spacing w:after="0" w:line="232" w:lineRule="auto"/>
        <w:tabs>
          <w:tab w:leader="none" w:pos="6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AbbVie and ADARx Pharmaceuticals, a late clinical-stage biotechnology company developing next-generation RNA therapeutics, announced a collaboration and license option agreement to develop small interfering RNA (siRNA) therapeutics across multiple disease areas. The collaboration will leverage AbbVie's expertise in biotherapeutic drug development and commercialization with ADARx's proprietary RNA technology to advance next-generation siRNA therapies across neuroscience, immunology and oncology.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912"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Full-Year 2025 Outlook</w:t>
      </w:r>
    </w:p>
    <w:p>
      <w:pPr>
        <w:spacing w:after="0" w:line="231" w:lineRule="exact"/>
        <w:rPr>
          <w:sz w:val="20"/>
          <w:szCs w:val="20"/>
          <w:color w:val="auto"/>
        </w:rPr>
      </w:pPr>
    </w:p>
    <w:p>
      <w:pPr>
        <w:ind w:right="400"/>
        <w:spacing w:after="0" w:line="262" w:lineRule="auto"/>
        <w:rPr>
          <w:sz w:val="20"/>
          <w:szCs w:val="20"/>
          <w:color w:val="auto"/>
        </w:rPr>
      </w:pPr>
      <w:r>
        <w:rPr>
          <w:rFonts w:ascii="Arial" w:cs="Arial" w:eastAsia="Arial" w:hAnsi="Arial"/>
          <w:sz w:val="19"/>
          <w:szCs w:val="19"/>
          <w:color w:val="auto"/>
        </w:rPr>
        <w:t>AbbVie is raising its adjusted diluted EPS guidance for the full year 2025 from $11.67 - $11.87 to $11.88 - $12.08, which includes an unfavorable impact of $0.55 per share related to acquired IPR&amp;D and milestones expense incurred year-to-date through the second quarter 2025. The company's 2025 adjusted diluted EPS guidance excludes any impact from acquired IPR&amp;D and milestones that may be incurred beyond the second quarter of 2025, as both cannot be reliably forecasted.</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AbbVie</w:t>
      </w:r>
    </w:p>
    <w:p>
      <w:pPr>
        <w:spacing w:after="0" w:line="245" w:lineRule="exact"/>
        <w:rPr>
          <w:sz w:val="20"/>
          <w:szCs w:val="20"/>
          <w:color w:val="auto"/>
        </w:rPr>
      </w:pPr>
    </w:p>
    <w:p>
      <w:pPr>
        <w:ind w:right="60"/>
        <w:spacing w:after="0"/>
        <w:rPr>
          <w:sz w:val="20"/>
          <w:szCs w:val="20"/>
          <w:color w:val="auto"/>
        </w:rPr>
      </w:pPr>
      <w:r>
        <w:rPr>
          <w:rFonts w:ascii="Arial" w:cs="Arial" w:eastAsia="Arial" w:hAnsi="Arial"/>
          <w:sz w:val="20"/>
          <w:szCs w:val="20"/>
          <w:color w:val="auto"/>
        </w:rPr>
        <w:t xml:space="preserve">AbbVie's mission is to discover and deliver innovative medicines that solve serious health issues today and address the medical challenges of tomorrow. We strive to have a remarkable impact on people's lives across several key therapeutic areas: immunology, neuroscience, oncology, and eye care - and products and services across our Allergan Aesthetics portfolio. For more information about AbbVie, please visit us at </w:t>
      </w:r>
      <w:r>
        <w:rPr>
          <w:rFonts w:ascii="Arial" w:cs="Arial" w:eastAsia="Arial" w:hAnsi="Arial"/>
          <w:sz w:val="20"/>
          <w:szCs w:val="20"/>
          <w:u w:val="single" w:color="auto"/>
          <w:color w:val="0000FF"/>
        </w:rPr>
        <w:t>www.abbvie.com</w:t>
      </w:r>
      <w:r>
        <w:rPr>
          <w:rFonts w:ascii="Arial" w:cs="Arial" w:eastAsia="Arial" w:hAnsi="Arial"/>
          <w:sz w:val="20"/>
          <w:szCs w:val="20"/>
          <w:color w:val="auto"/>
        </w:rPr>
        <w:t xml:space="preserve">. Follow </w:t>
      </w:r>
      <w:r>
        <w:rPr>
          <w:rFonts w:ascii="Arial" w:cs="Arial" w:eastAsia="Arial" w:hAnsi="Arial"/>
          <w:sz w:val="20"/>
          <w:szCs w:val="20"/>
          <w:u w:val="single" w:color="auto"/>
          <w:color w:val="0000FF"/>
        </w:rPr>
        <w:t>@abbvie</w:t>
      </w:r>
      <w:r>
        <w:rPr>
          <w:rFonts w:ascii="Arial" w:cs="Arial" w:eastAsia="Arial" w:hAnsi="Arial"/>
          <w:sz w:val="20"/>
          <w:szCs w:val="20"/>
          <w:color w:val="auto"/>
        </w:rPr>
        <w:t xml:space="preserve"> on X (formerly Twitter), </w:t>
      </w:r>
      <w:r>
        <w:rPr>
          <w:rFonts w:ascii="Arial" w:cs="Arial" w:eastAsia="Arial" w:hAnsi="Arial"/>
          <w:sz w:val="20"/>
          <w:szCs w:val="20"/>
          <w:u w:val="single" w:color="auto"/>
          <w:color w:val="0000FF"/>
        </w:rPr>
        <w:t>Facebook,</w:t>
      </w:r>
      <w:r>
        <w:rPr>
          <w:rFonts w:ascii="Arial" w:cs="Arial" w:eastAsia="Arial" w:hAnsi="Arial"/>
          <w:sz w:val="20"/>
          <w:szCs w:val="20"/>
          <w:color w:val="auto"/>
        </w:rPr>
        <w:t xml:space="preserve"> </w:t>
      </w:r>
      <w:r>
        <w:rPr>
          <w:rFonts w:ascii="Arial" w:cs="Arial" w:eastAsia="Arial" w:hAnsi="Arial"/>
          <w:sz w:val="20"/>
          <w:szCs w:val="20"/>
          <w:u w:val="single" w:color="auto"/>
          <w:color w:val="0000FF"/>
        </w:rPr>
        <w:t>Instagram</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YouTube</w:t>
      </w:r>
      <w:r>
        <w:rPr>
          <w:rFonts w:ascii="Arial" w:cs="Arial" w:eastAsia="Arial" w:hAnsi="Arial"/>
          <w:sz w:val="20"/>
          <w:szCs w:val="20"/>
          <w:color w:val="0000FF"/>
        </w:rPr>
        <w:t xml:space="preserve"> </w:t>
      </w:r>
      <w:r>
        <w:rPr>
          <w:rFonts w:ascii="Arial" w:cs="Arial" w:eastAsia="Arial" w:hAnsi="Arial"/>
          <w:sz w:val="20"/>
          <w:szCs w:val="20"/>
          <w:color w:val="000000"/>
        </w:rPr>
        <w:t>or</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LinkedIn</w:t>
      </w:r>
      <w:r>
        <w:rPr>
          <w:rFonts w:ascii="Arial" w:cs="Arial" w:eastAsia="Arial" w:hAnsi="Arial"/>
          <w:sz w:val="20"/>
          <w:szCs w:val="20"/>
          <w:color w:val="000000"/>
        </w:rPr>
        <w: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58"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color w:val="auto"/>
        </w:rPr>
        <w:t xml:space="preserve">AbbVie will host an investor conference call today at 8:00 a.m. Central Time to discuss our second-quarter performance. The call will be webcast through AbbVie’s Investor Relations website at </w:t>
      </w:r>
      <w:r>
        <w:rPr>
          <w:rFonts w:ascii="Arial" w:cs="Arial" w:eastAsia="Arial" w:hAnsi="Arial"/>
          <w:sz w:val="20"/>
          <w:szCs w:val="20"/>
          <w:u w:val="single" w:color="auto"/>
          <w:color w:val="0000FF"/>
        </w:rPr>
        <w:t>investors.abbvie.com</w:t>
      </w:r>
      <w:r>
        <w:rPr>
          <w:rFonts w:ascii="Arial" w:cs="Arial" w:eastAsia="Arial" w:hAnsi="Arial"/>
          <w:sz w:val="20"/>
          <w:szCs w:val="20"/>
          <w:color w:val="auto"/>
        </w:rPr>
        <w:t>. An archived edition of the call will be available after 11:00 a.m. Central Time.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Results</w:t>
      </w:r>
    </w:p>
    <w:p>
      <w:pPr>
        <w:spacing w:after="0" w:line="245"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auto"/>
        </w:rPr>
        <w:t>Financial results for 2025 and 2024 are presented on both a reported and a non-GAAP basis. Reported results were prepared in accordance with GAAP and include all revenue and expenses recognized during the period. Non-GAAP results adjust for certain non-cash items and for factors that are unusual or unpredictable, and exclude those costs, expenses, and other specified items presented in the reconciliation tables later in this release. AbbVie’s management believes non-GAAP financial measures provide useful information to investors regarding AbbVie’s results of operations and assist management, analysts and investors in evaluating the performance of the business. Non-GAAP financial measures should be considered in addition to, and not as a substitute for, measures of financial performance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926"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Forward-Looking Statements</w:t>
      </w:r>
    </w:p>
    <w:p>
      <w:pPr>
        <w:spacing w:after="0" w:line="191"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Some statements in this news release are, or may be considered, forward-looking statements for purposes of the Private Securities Litigation Reform Act of 1995. The words “believe,” “expect,” “anticipate,” “project” and similar expressions and uses of future or conditional verbs, generally identify forward-looking statements. AbbVie cautions that these forward-looking statements are subject to risks and uncertainties that may cause actual results to differ materially from those expressed or implied in the forward-looking statements. Such risks and uncertainties include, but are not limited to, challenges to intellectual property, competition from other products, difficulties inherent in the research and development process, adverse litigation or government action, changes to laws and regulations applicable to our industry, the impact of global macroeconomic factors, such as economic downturns or uncertainty, international conflict, trade disputes and tariffs, and other uncertainties and risks associated with global business operations. Additional information about the economic, competitive, governmental, technological and other factors that may affect AbbVie’s operations is set forth in Item 1A, “Risk Factors,” of AbbVie’s 2024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and specifically declines, to release publicly any revisions to forward-looking statements as a result of subsequent events or developments, except as required by law.</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2740" w:type="dxa"/>
            <w:vAlign w:val="bottom"/>
          </w:tcPr>
          <w:p>
            <w:pPr>
              <w:spacing w:after="0"/>
              <w:rPr>
                <w:sz w:val="20"/>
                <w:szCs w:val="20"/>
                <w:color w:val="auto"/>
              </w:rPr>
            </w:pPr>
            <w:r>
              <w:rPr>
                <w:rFonts w:ascii="Arial" w:cs="Arial" w:eastAsia="Arial" w:hAnsi="Arial"/>
                <w:sz w:val="20"/>
                <w:szCs w:val="20"/>
                <w:b w:val="1"/>
                <w:bCs w:val="1"/>
                <w:color w:val="auto"/>
              </w:rPr>
              <w:t>Media:</w:t>
            </w:r>
          </w:p>
        </w:tc>
        <w:tc>
          <w:tcPr>
            <w:tcW w:w="2780" w:type="dxa"/>
            <w:vAlign w:val="bottom"/>
            <w:gridSpan w:val="2"/>
          </w:tcPr>
          <w:p>
            <w:pPr>
              <w:ind w:left="1420"/>
              <w:spacing w:after="0"/>
              <w:rPr>
                <w:sz w:val="20"/>
                <w:szCs w:val="20"/>
                <w:color w:val="auto"/>
              </w:rPr>
            </w:pPr>
            <w:r>
              <w:rPr>
                <w:rFonts w:ascii="Arial" w:cs="Arial" w:eastAsia="Arial" w:hAnsi="Arial"/>
                <w:sz w:val="20"/>
                <w:szCs w:val="20"/>
                <w:b w:val="1"/>
                <w:bCs w:val="1"/>
                <w:color w:val="auto"/>
              </w:rPr>
              <w:t>Investors:</w:t>
            </w:r>
          </w:p>
        </w:tc>
      </w:tr>
      <w:tr>
        <w:trPr>
          <w:trHeight w:val="257"/>
        </w:trPr>
        <w:tc>
          <w:tcPr>
            <w:tcW w:w="2740" w:type="dxa"/>
            <w:vAlign w:val="bottom"/>
          </w:tcPr>
          <w:p>
            <w:pPr>
              <w:spacing w:after="0"/>
              <w:rPr>
                <w:sz w:val="20"/>
                <w:szCs w:val="20"/>
                <w:color w:val="auto"/>
              </w:rPr>
            </w:pPr>
            <w:r>
              <w:rPr>
                <w:rFonts w:ascii="Arial" w:cs="Arial" w:eastAsia="Arial" w:hAnsi="Arial"/>
                <w:sz w:val="20"/>
                <w:szCs w:val="20"/>
                <w:color w:val="auto"/>
              </w:rPr>
              <w:t>Gabby Tarbert</w:t>
            </w:r>
          </w:p>
        </w:tc>
        <w:tc>
          <w:tcPr>
            <w:tcW w:w="2780" w:type="dxa"/>
            <w:vAlign w:val="bottom"/>
            <w:gridSpan w:val="2"/>
          </w:tcPr>
          <w:p>
            <w:pPr>
              <w:ind w:left="1420"/>
              <w:spacing w:after="0"/>
              <w:rPr>
                <w:sz w:val="20"/>
                <w:szCs w:val="20"/>
                <w:color w:val="auto"/>
              </w:rPr>
            </w:pPr>
            <w:r>
              <w:rPr>
                <w:rFonts w:ascii="Arial" w:cs="Arial" w:eastAsia="Arial" w:hAnsi="Arial"/>
                <w:sz w:val="20"/>
                <w:szCs w:val="20"/>
                <w:color w:val="auto"/>
              </w:rPr>
              <w:t>Liz Shea</w:t>
            </w:r>
          </w:p>
        </w:tc>
      </w:tr>
      <w:tr>
        <w:trPr>
          <w:trHeight w:val="261"/>
        </w:trPr>
        <w:tc>
          <w:tcPr>
            <w:tcW w:w="2740" w:type="dxa"/>
            <w:vAlign w:val="bottom"/>
          </w:tcPr>
          <w:p>
            <w:pPr>
              <w:spacing w:after="0"/>
              <w:rPr>
                <w:sz w:val="20"/>
                <w:szCs w:val="20"/>
                <w:color w:val="auto"/>
              </w:rPr>
            </w:pPr>
            <w:r>
              <w:rPr>
                <w:rFonts w:ascii="Arial" w:cs="Arial" w:eastAsia="Arial" w:hAnsi="Arial"/>
                <w:sz w:val="20"/>
                <w:szCs w:val="20"/>
                <w:color w:val="auto"/>
              </w:rPr>
              <w:t>(224) 244-0111</w:t>
            </w:r>
          </w:p>
        </w:tc>
        <w:tc>
          <w:tcPr>
            <w:tcW w:w="1920" w:type="dxa"/>
            <w:vAlign w:val="bottom"/>
          </w:tcPr>
          <w:p>
            <w:pPr>
              <w:ind w:left="1420"/>
              <w:spacing w:after="0"/>
              <w:rPr>
                <w:sz w:val="20"/>
                <w:szCs w:val="20"/>
                <w:color w:val="auto"/>
              </w:rPr>
            </w:pPr>
            <w:r>
              <w:rPr>
                <w:rFonts w:ascii="Arial" w:cs="Arial" w:eastAsia="Arial" w:hAnsi="Arial"/>
                <w:sz w:val="20"/>
                <w:szCs w:val="20"/>
                <w:color w:val="auto"/>
              </w:rPr>
              <w:t>(847)</w:t>
            </w:r>
          </w:p>
        </w:tc>
        <w:tc>
          <w:tcPr>
            <w:tcW w:w="860" w:type="dxa"/>
            <w:vAlign w:val="bottom"/>
          </w:tcPr>
          <w:p>
            <w:pPr>
              <w:ind w:left="20"/>
              <w:spacing w:after="0"/>
              <w:rPr>
                <w:sz w:val="20"/>
                <w:szCs w:val="20"/>
                <w:color w:val="auto"/>
              </w:rPr>
            </w:pPr>
            <w:r>
              <w:rPr>
                <w:rFonts w:ascii="Arial" w:cs="Arial" w:eastAsia="Arial" w:hAnsi="Arial"/>
                <w:sz w:val="20"/>
                <w:szCs w:val="20"/>
                <w:color w:val="auto"/>
                <w:w w:val="96"/>
              </w:rPr>
              <w:t>935-2211</w:t>
            </w:r>
          </w:p>
        </w:tc>
      </w:tr>
      <w:tr>
        <w:trPr>
          <w:trHeight w:val="508"/>
        </w:trPr>
        <w:tc>
          <w:tcPr>
            <w:tcW w:w="2740" w:type="dxa"/>
            <w:vAlign w:val="bottom"/>
          </w:tcPr>
          <w:p>
            <w:pPr>
              <w:spacing w:after="0"/>
              <w:rPr>
                <w:sz w:val="24"/>
                <w:szCs w:val="24"/>
                <w:color w:val="auto"/>
              </w:rPr>
            </w:pPr>
          </w:p>
        </w:tc>
        <w:tc>
          <w:tcPr>
            <w:tcW w:w="2780" w:type="dxa"/>
            <w:vAlign w:val="bottom"/>
            <w:gridSpan w:val="2"/>
          </w:tcPr>
          <w:p>
            <w:pPr>
              <w:ind w:left="1420"/>
              <w:spacing w:after="0"/>
              <w:rPr>
                <w:sz w:val="20"/>
                <w:szCs w:val="20"/>
                <w:color w:val="auto"/>
              </w:rPr>
            </w:pPr>
            <w:r>
              <w:rPr>
                <w:rFonts w:ascii="Arial" w:cs="Arial" w:eastAsia="Arial" w:hAnsi="Arial"/>
                <w:sz w:val="20"/>
                <w:szCs w:val="20"/>
                <w:color w:val="auto"/>
              </w:rPr>
              <w:t>Todd Bosse</w:t>
            </w:r>
          </w:p>
        </w:tc>
      </w:tr>
      <w:tr>
        <w:trPr>
          <w:trHeight w:val="261"/>
        </w:trPr>
        <w:tc>
          <w:tcPr>
            <w:tcW w:w="2740" w:type="dxa"/>
            <w:vAlign w:val="bottom"/>
          </w:tcPr>
          <w:p>
            <w:pPr>
              <w:spacing w:after="0"/>
              <w:rPr>
                <w:sz w:val="22"/>
                <w:szCs w:val="22"/>
                <w:color w:val="auto"/>
              </w:rPr>
            </w:pPr>
          </w:p>
        </w:tc>
        <w:tc>
          <w:tcPr>
            <w:tcW w:w="1920" w:type="dxa"/>
            <w:vAlign w:val="bottom"/>
          </w:tcPr>
          <w:p>
            <w:pPr>
              <w:ind w:left="1420"/>
              <w:spacing w:after="0"/>
              <w:rPr>
                <w:sz w:val="20"/>
                <w:szCs w:val="20"/>
                <w:color w:val="auto"/>
              </w:rPr>
            </w:pPr>
            <w:r>
              <w:rPr>
                <w:rFonts w:ascii="Arial" w:cs="Arial" w:eastAsia="Arial" w:hAnsi="Arial"/>
                <w:sz w:val="20"/>
                <w:szCs w:val="20"/>
                <w:color w:val="auto"/>
              </w:rPr>
              <w:t>(847)</w:t>
            </w:r>
          </w:p>
        </w:tc>
        <w:tc>
          <w:tcPr>
            <w:tcW w:w="860" w:type="dxa"/>
            <w:vAlign w:val="bottom"/>
          </w:tcPr>
          <w:p>
            <w:pPr>
              <w:ind w:left="20"/>
              <w:spacing w:after="0"/>
              <w:rPr>
                <w:sz w:val="20"/>
                <w:szCs w:val="20"/>
                <w:color w:val="auto"/>
              </w:rPr>
            </w:pPr>
            <w:r>
              <w:rPr>
                <w:rFonts w:ascii="Arial" w:cs="Arial" w:eastAsia="Arial" w:hAnsi="Arial"/>
                <w:sz w:val="20"/>
                <w:szCs w:val="20"/>
                <w:color w:val="auto"/>
                <w:w w:val="96"/>
              </w:rPr>
              <w:t>936-1182</w:t>
            </w:r>
          </w:p>
        </w:tc>
      </w:tr>
      <w:tr>
        <w:trPr>
          <w:trHeight w:val="508"/>
        </w:trPr>
        <w:tc>
          <w:tcPr>
            <w:tcW w:w="2740" w:type="dxa"/>
            <w:vAlign w:val="bottom"/>
          </w:tcPr>
          <w:p>
            <w:pPr>
              <w:spacing w:after="0"/>
              <w:rPr>
                <w:sz w:val="24"/>
                <w:szCs w:val="24"/>
                <w:color w:val="auto"/>
              </w:rPr>
            </w:pPr>
          </w:p>
        </w:tc>
        <w:tc>
          <w:tcPr>
            <w:tcW w:w="2780" w:type="dxa"/>
            <w:vAlign w:val="bottom"/>
            <w:gridSpan w:val="2"/>
          </w:tcPr>
          <w:p>
            <w:pPr>
              <w:ind w:left="1420"/>
              <w:spacing w:after="0"/>
              <w:rPr>
                <w:sz w:val="20"/>
                <w:szCs w:val="20"/>
                <w:color w:val="auto"/>
              </w:rPr>
            </w:pPr>
            <w:r>
              <w:rPr>
                <w:rFonts w:ascii="Arial" w:cs="Arial" w:eastAsia="Arial" w:hAnsi="Arial"/>
                <w:sz w:val="20"/>
                <w:szCs w:val="20"/>
                <w:color w:val="auto"/>
              </w:rPr>
              <w:t>Jeffrey Byrne</w:t>
            </w:r>
          </w:p>
        </w:tc>
      </w:tr>
      <w:tr>
        <w:trPr>
          <w:trHeight w:val="261"/>
        </w:trPr>
        <w:tc>
          <w:tcPr>
            <w:tcW w:w="2740" w:type="dxa"/>
            <w:vAlign w:val="bottom"/>
          </w:tcPr>
          <w:p>
            <w:pPr>
              <w:spacing w:after="0"/>
              <w:rPr>
                <w:sz w:val="22"/>
                <w:szCs w:val="22"/>
                <w:color w:val="auto"/>
              </w:rPr>
            </w:pPr>
          </w:p>
        </w:tc>
        <w:tc>
          <w:tcPr>
            <w:tcW w:w="1920" w:type="dxa"/>
            <w:vAlign w:val="bottom"/>
          </w:tcPr>
          <w:p>
            <w:pPr>
              <w:ind w:left="1420"/>
              <w:spacing w:after="0"/>
              <w:rPr>
                <w:sz w:val="20"/>
                <w:szCs w:val="20"/>
                <w:color w:val="auto"/>
              </w:rPr>
            </w:pPr>
            <w:r>
              <w:rPr>
                <w:rFonts w:ascii="Arial" w:cs="Arial" w:eastAsia="Arial" w:hAnsi="Arial"/>
                <w:sz w:val="20"/>
                <w:szCs w:val="20"/>
                <w:color w:val="auto"/>
              </w:rPr>
              <w:t>(847)</w:t>
            </w:r>
          </w:p>
        </w:tc>
        <w:tc>
          <w:tcPr>
            <w:tcW w:w="860" w:type="dxa"/>
            <w:vAlign w:val="bottom"/>
          </w:tcPr>
          <w:p>
            <w:pPr>
              <w:ind w:left="20"/>
              <w:spacing w:after="0"/>
              <w:rPr>
                <w:sz w:val="20"/>
                <w:szCs w:val="20"/>
                <w:color w:val="auto"/>
              </w:rPr>
            </w:pPr>
            <w:r>
              <w:rPr>
                <w:rFonts w:ascii="Arial" w:cs="Arial" w:eastAsia="Arial" w:hAnsi="Arial"/>
                <w:sz w:val="20"/>
                <w:szCs w:val="20"/>
                <w:color w:val="auto"/>
                <w:w w:val="96"/>
              </w:rPr>
              <w:t>938-2923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92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Key Product Revenues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June 30, 2025</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w:t>
      </w:r>
    </w:p>
    <w:p>
      <w:pPr>
        <w:spacing w:after="0" w:line="99"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3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8"/>
            <w:vMerge w:val="restart"/>
          </w:tcPr>
          <w:p>
            <w:pPr>
              <w:ind w:left="20"/>
              <w:spacing w:after="0"/>
              <w:rPr>
                <w:sz w:val="20"/>
                <w:szCs w:val="20"/>
                <w:color w:val="auto"/>
              </w:rPr>
            </w:pPr>
            <w:r>
              <w:rPr>
                <w:rFonts w:ascii="Arial" w:cs="Arial" w:eastAsia="Arial" w:hAnsi="Arial"/>
                <w:sz w:val="18"/>
                <w:szCs w:val="18"/>
                <w:b w:val="1"/>
                <w:bCs w:val="1"/>
                <w:color w:val="auto"/>
              </w:rPr>
              <w:t>Net Revenues (in millions)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10"/>
          </w:tcPr>
          <w:p>
            <w:pPr>
              <w:ind w:left="220"/>
              <w:spacing w:after="0"/>
              <w:rPr>
                <w:sz w:val="20"/>
                <w:szCs w:val="20"/>
                <w:color w:val="auto"/>
              </w:rPr>
            </w:pPr>
            <w:r>
              <w:rPr>
                <w:rFonts w:ascii="Arial" w:cs="Arial" w:eastAsia="Arial" w:hAnsi="Arial"/>
                <w:sz w:val="18"/>
                <w:szCs w:val="18"/>
                <w:b w:val="1"/>
                <w:bCs w:val="1"/>
                <w:color w:val="auto"/>
              </w:rPr>
              <w:t>% Change vs. 2Q24</w:t>
            </w:r>
          </w:p>
        </w:tc>
        <w:tc>
          <w:tcPr>
            <w:tcW w:w="2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8"/>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Reported</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5"/>
          </w:tcPr>
          <w:p>
            <w:pPr>
              <w:ind w:left="80"/>
              <w:spacing w:after="0" w:line="223" w:lineRule="exact"/>
              <w:rPr>
                <w:sz w:val="20"/>
                <w:szCs w:val="20"/>
                <w:color w:val="auto"/>
              </w:rPr>
            </w:pPr>
            <w:r>
              <w:rPr>
                <w:rFonts w:ascii="Arial" w:cs="Arial" w:eastAsia="Arial" w:hAnsi="Arial"/>
                <w:sz w:val="18"/>
                <w:szCs w:val="18"/>
                <w:b w:val="1"/>
                <w:bCs w:val="1"/>
                <w:color w:val="auto"/>
              </w:rPr>
              <w:t>Operational</w:t>
            </w:r>
            <w:r>
              <w:rPr>
                <w:rFonts w:ascii="Arial" w:cs="Arial" w:eastAsia="Arial" w:hAnsi="Arial"/>
                <w:sz w:val="23"/>
                <w:szCs w:val="23"/>
                <w:b w:val="1"/>
                <w:bCs w:val="1"/>
                <w:color w:val="auto"/>
                <w:vertAlign w:val="superscript"/>
              </w:rPr>
              <w: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U.S.</w:t>
            </w:r>
          </w:p>
        </w:tc>
        <w:tc>
          <w:tcPr>
            <w:tcW w:w="900" w:type="dxa"/>
            <w:vAlign w:val="bottom"/>
            <w:gridSpan w:val="3"/>
          </w:tcPr>
          <w:p>
            <w:pPr>
              <w:ind w:left="260"/>
              <w:spacing w:after="0" w:line="182" w:lineRule="exact"/>
              <w:rPr>
                <w:sz w:val="20"/>
                <w:szCs w:val="20"/>
                <w:color w:val="auto"/>
              </w:rPr>
            </w:pPr>
            <w:r>
              <w:rPr>
                <w:rFonts w:ascii="Arial" w:cs="Arial" w:eastAsia="Arial" w:hAnsi="Arial"/>
                <w:sz w:val="18"/>
                <w:szCs w:val="18"/>
                <w:b w:val="1"/>
                <w:bCs w:val="1"/>
                <w:color w:val="auto"/>
              </w:rPr>
              <w:t>Int’l.</w:t>
            </w:r>
          </w:p>
        </w:tc>
        <w:tc>
          <w:tcPr>
            <w:tcW w:w="300" w:type="dxa"/>
            <w:vAlign w:val="bottom"/>
          </w:tcPr>
          <w:p>
            <w:pPr>
              <w:spacing w:after="0"/>
              <w:rPr>
                <w:sz w:val="15"/>
                <w:szCs w:val="15"/>
                <w:color w:val="auto"/>
              </w:rPr>
            </w:pPr>
          </w:p>
        </w:tc>
        <w:tc>
          <w:tcPr>
            <w:tcW w:w="6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ind w:left="240"/>
              <w:spacing w:after="0" w:line="182" w:lineRule="exact"/>
              <w:rPr>
                <w:sz w:val="20"/>
                <w:szCs w:val="20"/>
                <w:color w:val="auto"/>
              </w:rPr>
            </w:pPr>
            <w:r>
              <w:rPr>
                <w:rFonts w:ascii="Arial" w:cs="Arial" w:eastAsia="Arial" w:hAnsi="Arial"/>
                <w:sz w:val="18"/>
                <w:szCs w:val="18"/>
                <w:b w:val="1"/>
                <w:bCs w:val="1"/>
                <w:color w:val="auto"/>
              </w:rPr>
              <w:t>U.S.</w:t>
            </w:r>
          </w:p>
        </w:tc>
        <w:tc>
          <w:tcPr>
            <w:tcW w:w="1100" w:type="dxa"/>
            <w:vAlign w:val="bottom"/>
            <w:gridSpan w:val="3"/>
          </w:tcPr>
          <w:p>
            <w:pPr>
              <w:jc w:val="center"/>
              <w:spacing w:after="0" w:line="182" w:lineRule="exact"/>
              <w:rPr>
                <w:sz w:val="20"/>
                <w:szCs w:val="20"/>
                <w:color w:val="auto"/>
              </w:rPr>
            </w:pPr>
            <w:r>
              <w:rPr>
                <w:rFonts w:ascii="Arial" w:cs="Arial" w:eastAsia="Arial" w:hAnsi="Arial"/>
                <w:sz w:val="18"/>
                <w:szCs w:val="18"/>
                <w:b w:val="1"/>
                <w:bCs w:val="1"/>
                <w:color w:val="auto"/>
                <w:w w:val="99"/>
              </w:rPr>
              <w:t>Int'l.</w:t>
            </w:r>
          </w:p>
        </w:tc>
        <w:tc>
          <w:tcPr>
            <w:tcW w:w="220" w:type="dxa"/>
            <w:vAlign w:val="bottom"/>
          </w:tcPr>
          <w:p>
            <w:pPr>
              <w:spacing w:after="0"/>
              <w:rPr>
                <w:sz w:val="15"/>
                <w:szCs w:val="15"/>
                <w:color w:val="auto"/>
              </w:rPr>
            </w:pPr>
          </w:p>
        </w:tc>
        <w:tc>
          <w:tcPr>
            <w:tcW w:w="620" w:type="dxa"/>
            <w:vAlign w:val="bottom"/>
            <w:gridSpan w:val="2"/>
          </w:tcPr>
          <w:p>
            <w:pPr>
              <w:jc w:val="center"/>
              <w:ind w:right="220"/>
              <w:spacing w:after="0" w:line="182" w:lineRule="exact"/>
              <w:rPr>
                <w:sz w:val="20"/>
                <w:szCs w:val="20"/>
                <w:color w:val="auto"/>
              </w:rPr>
            </w:pPr>
            <w:r>
              <w:rPr>
                <w:rFonts w:ascii="Arial" w:cs="Arial" w:eastAsia="Arial" w:hAnsi="Arial"/>
                <w:sz w:val="18"/>
                <w:szCs w:val="18"/>
                <w:b w:val="1"/>
                <w:bCs w:val="1"/>
                <w:color w:val="auto"/>
                <w:w w:val="92"/>
              </w:rPr>
              <w:t>Total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right="60"/>
              <w:spacing w:after="0" w:line="182" w:lineRule="exact"/>
              <w:rPr>
                <w:sz w:val="20"/>
                <w:szCs w:val="20"/>
                <w:color w:val="auto"/>
              </w:rPr>
            </w:pPr>
            <w:r>
              <w:rPr>
                <w:rFonts w:ascii="Arial" w:cs="Arial" w:eastAsia="Arial" w:hAnsi="Arial"/>
                <w:sz w:val="18"/>
                <w:szCs w:val="18"/>
                <w:b w:val="1"/>
                <w:bCs w:val="1"/>
                <w:color w:val="auto"/>
              </w:rPr>
              <w:t>Int'l.</w:t>
            </w:r>
          </w:p>
        </w:tc>
        <w:tc>
          <w:tcPr>
            <w:tcW w:w="800" w:type="dxa"/>
            <w:vAlign w:val="bottom"/>
            <w:gridSpan w:val="3"/>
          </w:tcPr>
          <w:p>
            <w:pPr>
              <w:jc w:val="center"/>
              <w:spacing w:after="0" w:line="182" w:lineRule="exact"/>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b w:val="1"/>
                <w:bCs w:val="1"/>
                <w:color w:val="auto"/>
              </w:rPr>
              <w:t>NET REVENUES</w:t>
            </w:r>
          </w:p>
        </w:tc>
        <w:tc>
          <w:tcPr>
            <w:tcW w:w="94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98"/>
              </w:rPr>
              <w:t>$11,762</w:t>
            </w:r>
          </w:p>
        </w:tc>
        <w:tc>
          <w:tcPr>
            <w:tcW w:w="9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8"/>
              </w:rPr>
              <w:t>$3,661</w:t>
            </w:r>
          </w:p>
        </w:tc>
        <w:tc>
          <w:tcPr>
            <w:tcW w:w="940" w:type="dxa"/>
            <w:vAlign w:val="bottom"/>
            <w:gridSpan w:val="3"/>
            <w:vMerge w:val="restart"/>
          </w:tcPr>
          <w:p>
            <w:pPr>
              <w:jc w:val="center"/>
              <w:ind w:left="10"/>
              <w:spacing w:after="0"/>
              <w:rPr>
                <w:sz w:val="20"/>
                <w:szCs w:val="20"/>
                <w:color w:val="auto"/>
              </w:rPr>
            </w:pPr>
            <w:r>
              <w:rPr>
                <w:rFonts w:ascii="Arial" w:cs="Arial" w:eastAsia="Arial" w:hAnsi="Arial"/>
                <w:sz w:val="18"/>
                <w:szCs w:val="18"/>
                <w:b w:val="1"/>
                <w:bCs w:val="1"/>
                <w:color w:val="auto"/>
                <w:w w:val="98"/>
              </w:rPr>
              <w:t>$15,423</w:t>
            </w:r>
          </w:p>
        </w:tc>
        <w:tc>
          <w:tcPr>
            <w:tcW w:w="20" w:type="dxa"/>
            <w:vAlign w:val="bottom"/>
          </w:tcPr>
          <w:p>
            <w:pPr>
              <w:spacing w:after="0" w:line="20" w:lineRule="exact"/>
              <w:rPr>
                <w:sz w:val="1"/>
                <w:szCs w:val="1"/>
                <w:color w:val="auto"/>
              </w:rPr>
            </w:pPr>
          </w:p>
        </w:tc>
        <w:tc>
          <w:tcPr>
            <w:tcW w:w="920" w:type="dxa"/>
            <w:vAlign w:val="bottom"/>
            <w:gridSpan w:val="4"/>
            <w:vMerge w:val="restart"/>
          </w:tcPr>
          <w:p>
            <w:pPr>
              <w:jc w:val="center"/>
              <w:ind w:left="30"/>
              <w:spacing w:after="0"/>
              <w:rPr>
                <w:sz w:val="20"/>
                <w:szCs w:val="20"/>
                <w:color w:val="auto"/>
              </w:rPr>
            </w:pPr>
            <w:r>
              <w:rPr>
                <w:rFonts w:ascii="Arial" w:cs="Arial" w:eastAsia="Arial" w:hAnsi="Arial"/>
                <w:sz w:val="18"/>
                <w:szCs w:val="18"/>
                <w:b w:val="1"/>
                <w:bCs w:val="1"/>
                <w:color w:val="auto"/>
                <w:w w:val="97"/>
              </w:rPr>
              <w:t>5.9%</w:t>
            </w:r>
          </w:p>
        </w:tc>
        <w:tc>
          <w:tcPr>
            <w:tcW w:w="11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7"/>
              </w:rPr>
              <w:t>9.1%</w:t>
            </w:r>
          </w:p>
        </w:tc>
        <w:tc>
          <w:tcPr>
            <w:tcW w:w="620" w:type="dxa"/>
            <w:vAlign w:val="bottom"/>
            <w:gridSpan w:val="2"/>
            <w:vMerge w:val="restart"/>
          </w:tcPr>
          <w:p>
            <w:pPr>
              <w:jc w:val="center"/>
              <w:ind w:left="130"/>
              <w:spacing w:after="0"/>
              <w:rPr>
                <w:sz w:val="20"/>
                <w:szCs w:val="20"/>
                <w:color w:val="auto"/>
              </w:rPr>
            </w:pPr>
            <w:r>
              <w:rPr>
                <w:rFonts w:ascii="Arial" w:cs="Arial" w:eastAsia="Arial" w:hAnsi="Arial"/>
                <w:sz w:val="18"/>
                <w:szCs w:val="18"/>
                <w:b w:val="1"/>
                <w:bCs w:val="1"/>
                <w:color w:val="auto"/>
                <w:w w:val="97"/>
              </w:rPr>
              <w:t>6.6%</w:t>
            </w:r>
          </w:p>
        </w:tc>
        <w:tc>
          <w:tcPr>
            <w:tcW w:w="2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rPr>
              <w:t>8.4%</w:t>
            </w:r>
          </w:p>
        </w:tc>
        <w:tc>
          <w:tcPr>
            <w:tcW w:w="640" w:type="dxa"/>
            <w:vAlign w:val="bottom"/>
            <w:gridSpan w:val="2"/>
            <w:vMerge w:val="restart"/>
          </w:tcPr>
          <w:p>
            <w:pPr>
              <w:jc w:val="center"/>
              <w:ind w:left="150"/>
              <w:spacing w:after="0"/>
              <w:rPr>
                <w:sz w:val="20"/>
                <w:szCs w:val="20"/>
                <w:color w:val="auto"/>
              </w:rPr>
            </w:pPr>
            <w:r>
              <w:rPr>
                <w:rFonts w:ascii="Arial" w:cs="Arial" w:eastAsia="Arial" w:hAnsi="Arial"/>
                <w:sz w:val="18"/>
                <w:szCs w:val="18"/>
                <w:b w:val="1"/>
                <w:bCs w:val="1"/>
                <w:color w:val="auto"/>
                <w:w w:val="97"/>
              </w:rPr>
              <w:t>6.5%</w:t>
            </w:r>
          </w:p>
        </w:tc>
        <w:tc>
          <w:tcPr>
            <w:tcW w:w="1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760" w:type="dxa"/>
            <w:vAlign w:val="bottom"/>
            <w:vMerge w:val="continue"/>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900" w:type="dxa"/>
            <w:vAlign w:val="bottom"/>
            <w:gridSpan w:val="3"/>
            <w:vMerge w:val="continue"/>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920" w:type="dxa"/>
            <w:vAlign w:val="bottom"/>
            <w:gridSpan w:val="4"/>
            <w:vMerge w:val="continue"/>
          </w:tcPr>
          <w:p>
            <w:pPr>
              <w:spacing w:after="0"/>
              <w:rPr>
                <w:sz w:val="21"/>
                <w:szCs w:val="21"/>
                <w:color w:val="auto"/>
              </w:rPr>
            </w:pPr>
          </w:p>
        </w:tc>
        <w:tc>
          <w:tcPr>
            <w:tcW w:w="1100" w:type="dxa"/>
            <w:vAlign w:val="bottom"/>
            <w:gridSpan w:val="3"/>
            <w:vMerge w:val="continue"/>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920" w:type="dxa"/>
            <w:vAlign w:val="bottom"/>
            <w:gridSpan w:val="4"/>
            <w:vMerge w:val="continue"/>
          </w:tcPr>
          <w:p>
            <w:pPr>
              <w:spacing w:after="0"/>
              <w:rPr>
                <w:sz w:val="21"/>
                <w:szCs w:val="21"/>
                <w:color w:val="auto"/>
              </w:rPr>
            </w:pPr>
          </w:p>
        </w:tc>
        <w:tc>
          <w:tcPr>
            <w:tcW w:w="640" w:type="dxa"/>
            <w:vAlign w:val="bottom"/>
            <w:gridSpan w:val="2"/>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3760" w:type="dxa"/>
            <w:vAlign w:val="bottom"/>
          </w:tcPr>
          <w:p>
            <w:pPr>
              <w:spacing w:after="0"/>
              <w:rPr>
                <w:sz w:val="20"/>
                <w:szCs w:val="20"/>
                <w:color w:val="auto"/>
              </w:rPr>
            </w:pPr>
            <w:r>
              <w:rPr>
                <w:rFonts w:ascii="Arial" w:cs="Arial" w:eastAsia="Arial" w:hAnsi="Arial"/>
                <w:sz w:val="18"/>
                <w:szCs w:val="18"/>
                <w:b w:val="1"/>
                <w:bCs w:val="1"/>
                <w:color w:val="auto"/>
              </w:rPr>
              <w:t>Immunology</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6,097</w:t>
            </w: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rPr>
              <w:t>1,534</w:t>
            </w:r>
          </w:p>
        </w:tc>
        <w:tc>
          <w:tcPr>
            <w:tcW w:w="9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7"/>
              </w:rPr>
              <w:t>7,631</w:t>
            </w: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6.7</w:t>
            </w:r>
          </w:p>
        </w:tc>
        <w:tc>
          <w:tcPr>
            <w:tcW w:w="220" w:type="dxa"/>
            <w:vAlign w:val="bottom"/>
          </w:tcPr>
          <w:p>
            <w:pPr>
              <w:spacing w:after="0"/>
              <w:rPr>
                <w:sz w:val="23"/>
                <w:szCs w:val="23"/>
                <w:color w:val="auto"/>
              </w:rPr>
            </w:pPr>
          </w:p>
        </w:tc>
        <w:tc>
          <w:tcPr>
            <w:tcW w:w="7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rPr>
              <w:t>22.3</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5"/>
              </w:rPr>
              <w:t>9.5</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6"/>
              </w:rPr>
              <w:t>20.7</w:t>
            </w:r>
          </w:p>
        </w:tc>
        <w:tc>
          <w:tcPr>
            <w:tcW w:w="260" w:type="dxa"/>
            <w:vAlign w:val="bottom"/>
          </w:tcPr>
          <w:p>
            <w:pPr>
              <w:spacing w:after="0"/>
              <w:rPr>
                <w:sz w:val="23"/>
                <w:szCs w:val="23"/>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5"/>
              </w:rPr>
              <w:t>9.2</w:t>
            </w:r>
          </w:p>
        </w:tc>
        <w:tc>
          <w:tcPr>
            <w:tcW w:w="1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Skyrizi</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3,843</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580</w:t>
            </w:r>
          </w:p>
        </w:tc>
        <w:tc>
          <w:tcPr>
            <w:tcW w:w="260" w:type="dxa"/>
            <w:vAlign w:val="bottom"/>
          </w:tcPr>
          <w:p>
            <w:pPr>
              <w:spacing w:after="0"/>
              <w:rPr>
                <w:sz w:val="19"/>
                <w:szCs w:val="19"/>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color w:val="auto"/>
                <w:w w:val="97"/>
              </w:rPr>
              <w:t>4,423</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64.3</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49.7</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w w:val="96"/>
              </w:rPr>
              <w:t>47.2</w:t>
            </w:r>
          </w:p>
        </w:tc>
        <w:tc>
          <w:tcPr>
            <w:tcW w:w="260" w:type="dxa"/>
            <w:vAlign w:val="bottom"/>
          </w:tcPr>
          <w:p>
            <w:pPr>
              <w:spacing w:after="0"/>
              <w:rPr>
                <w:sz w:val="19"/>
                <w:szCs w:val="19"/>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color w:val="auto"/>
              </w:rPr>
              <w:t>Rinvoq</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1,452</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576</w:t>
            </w:r>
          </w:p>
        </w:tc>
        <w:tc>
          <w:tcPr>
            <w:tcW w:w="260" w:type="dxa"/>
            <w:vAlign w:val="bottom"/>
          </w:tcPr>
          <w:p>
            <w:pPr>
              <w:spacing w:after="0"/>
              <w:rPr>
                <w:sz w:val="19"/>
                <w:szCs w:val="19"/>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color w:val="auto"/>
                <w:w w:val="97"/>
              </w:rPr>
              <w:t>2,028</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42.7</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39.6</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41.8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w w:val="96"/>
              </w:rPr>
              <w:t>37.5</w:t>
            </w:r>
          </w:p>
        </w:tc>
        <w:tc>
          <w:tcPr>
            <w:tcW w:w="260" w:type="dxa"/>
            <w:vAlign w:val="bottom"/>
          </w:tcPr>
          <w:p>
            <w:pPr>
              <w:spacing w:after="0"/>
              <w:rPr>
                <w:sz w:val="19"/>
                <w:szCs w:val="19"/>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200"/>
              <w:spacing w:after="0"/>
              <w:rPr>
                <w:sz w:val="20"/>
                <w:szCs w:val="20"/>
                <w:color w:val="auto"/>
              </w:rPr>
            </w:pPr>
            <w:r>
              <w:rPr>
                <w:rFonts w:ascii="Arial" w:cs="Arial" w:eastAsia="Arial" w:hAnsi="Arial"/>
                <w:sz w:val="18"/>
                <w:szCs w:val="18"/>
                <w:color w:val="auto"/>
              </w:rPr>
              <w:t>Humira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802</w:t>
            </w:r>
          </w:p>
        </w:tc>
        <w:tc>
          <w:tcPr>
            <w:tcW w:w="340" w:type="dxa"/>
            <w:vAlign w:val="bottom"/>
          </w:tcPr>
          <w:p>
            <w:pPr>
              <w:spacing w:after="0"/>
              <w:rPr>
                <w:sz w:val="20"/>
                <w:szCs w:val="20"/>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378</w:t>
            </w:r>
          </w:p>
        </w:tc>
        <w:tc>
          <w:tcPr>
            <w:tcW w:w="260" w:type="dxa"/>
            <w:vAlign w:val="bottom"/>
          </w:tcPr>
          <w:p>
            <w:pPr>
              <w:spacing w:after="0"/>
              <w:rPr>
                <w:sz w:val="20"/>
                <w:szCs w:val="20"/>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color w:val="auto"/>
                <w:w w:val="97"/>
              </w:rPr>
              <w:t>1,180</w:t>
            </w: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(66.0)</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(16.8)</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(58.1)</w:t>
            </w: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w w:val="97"/>
              </w:rPr>
              <w:t>(17.2)</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(58.2)</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760" w:type="dxa"/>
            <w:vAlign w:val="bottom"/>
          </w:tcPr>
          <w:p>
            <w:pPr>
              <w:spacing w:after="0"/>
              <w:rPr>
                <w:sz w:val="20"/>
                <w:szCs w:val="20"/>
                <w:color w:val="auto"/>
              </w:rPr>
            </w:pPr>
            <w:r>
              <w:rPr>
                <w:rFonts w:ascii="Arial" w:cs="Arial" w:eastAsia="Arial" w:hAnsi="Arial"/>
                <w:sz w:val="18"/>
                <w:szCs w:val="18"/>
                <w:b w:val="1"/>
                <w:bCs w:val="1"/>
                <w:color w:val="auto"/>
              </w:rPr>
              <w:t>Neuroscience</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2,333</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350</w:t>
            </w:r>
          </w:p>
        </w:tc>
        <w:tc>
          <w:tcPr>
            <w:tcW w:w="260" w:type="dxa"/>
            <w:vAlign w:val="bottom"/>
          </w:tcPr>
          <w:p>
            <w:pPr>
              <w:spacing w:after="0"/>
              <w:rPr>
                <w:sz w:val="23"/>
                <w:szCs w:val="23"/>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7"/>
              </w:rPr>
              <w:t>2,683</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23.2</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rPr>
              <w:t>30.6</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rPr>
              <w:t>24.2</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96"/>
              </w:rPr>
              <w:t>28.7</w:t>
            </w:r>
          </w:p>
        </w:tc>
        <w:tc>
          <w:tcPr>
            <w:tcW w:w="260" w:type="dxa"/>
            <w:vAlign w:val="bottom"/>
          </w:tcPr>
          <w:p>
            <w:pPr>
              <w:spacing w:after="0"/>
              <w:rPr>
                <w:sz w:val="23"/>
                <w:szCs w:val="23"/>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rPr>
              <w:t>24.0</w:t>
            </w:r>
          </w:p>
        </w:tc>
        <w:tc>
          <w:tcPr>
            <w:tcW w:w="1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Vraylar</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898</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900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16.2</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72.8</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w w:val="96"/>
              </w:rPr>
              <w:t>76.8</w:t>
            </w:r>
          </w:p>
        </w:tc>
        <w:tc>
          <w:tcPr>
            <w:tcW w:w="260" w:type="dxa"/>
            <w:vAlign w:val="bottom"/>
          </w:tcPr>
          <w:p>
            <w:pPr>
              <w:spacing w:after="0"/>
              <w:rPr>
                <w:sz w:val="19"/>
                <w:szCs w:val="19"/>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color w:val="auto"/>
              </w:rPr>
              <w:t>Botox Therapeutic</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775</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153</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928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15.9</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5.7</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14.1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Ubrelvy</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330</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8</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338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46.5</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73.9</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w w:val="96"/>
              </w:rPr>
              <w:t>76.7</w:t>
            </w:r>
          </w:p>
        </w:tc>
        <w:tc>
          <w:tcPr>
            <w:tcW w:w="260" w:type="dxa"/>
            <w:vAlign w:val="bottom"/>
          </w:tcPr>
          <w:p>
            <w:pPr>
              <w:spacing w:after="0"/>
              <w:rPr>
                <w:sz w:val="19"/>
                <w:szCs w:val="19"/>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color w:val="auto"/>
              </w:rPr>
              <w:t>Qulipta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237</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30</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267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62.8</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77.5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w w:val="97"/>
              </w:rPr>
              <w:t>&gt;100.0</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color w:val="auto"/>
              </w:rPr>
              <w:t>Vyalev</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22</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76</w:t>
            </w:r>
          </w:p>
        </w:tc>
        <w:tc>
          <w:tcPr>
            <w:tcW w:w="260" w:type="dxa"/>
            <w:vAlign w:val="bottom"/>
          </w:tcPr>
          <w:p>
            <w:pPr>
              <w:spacing w:after="0"/>
              <w:rPr>
                <w:sz w:val="19"/>
                <w:szCs w:val="19"/>
                <w:color w:val="auto"/>
              </w:rPr>
            </w:pPr>
          </w:p>
        </w:tc>
        <w:tc>
          <w:tcPr>
            <w:tcW w:w="72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98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n/m</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w w:val="97"/>
              </w:rPr>
              <w:t>&gt;100.0</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Duodopa</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20</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77</w:t>
            </w:r>
          </w:p>
        </w:tc>
        <w:tc>
          <w:tcPr>
            <w:tcW w:w="260" w:type="dxa"/>
            <w:vAlign w:val="bottom"/>
          </w:tcPr>
          <w:p>
            <w:pPr>
              <w:spacing w:after="0"/>
              <w:rPr>
                <w:sz w:val="19"/>
                <w:szCs w:val="19"/>
                <w:color w:val="auto"/>
              </w:rPr>
            </w:pPr>
          </w:p>
        </w:tc>
        <w:tc>
          <w:tcPr>
            <w:tcW w:w="72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97</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(13.6)</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(13.7)</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(13.7)</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w w:val="97"/>
              </w:rPr>
              <w:t>(16.3)</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(15.7)</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200"/>
              <w:spacing w:after="0"/>
              <w:rPr>
                <w:sz w:val="20"/>
                <w:szCs w:val="20"/>
                <w:color w:val="auto"/>
              </w:rPr>
            </w:pPr>
            <w:r>
              <w:rPr>
                <w:rFonts w:ascii="Arial" w:cs="Arial" w:eastAsia="Arial" w:hAnsi="Arial"/>
                <w:sz w:val="18"/>
                <w:szCs w:val="18"/>
                <w:color w:val="auto"/>
              </w:rPr>
              <w:t>Other Neuroscience</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51</w:t>
            </w:r>
          </w:p>
        </w:tc>
        <w:tc>
          <w:tcPr>
            <w:tcW w:w="340" w:type="dxa"/>
            <w:vAlign w:val="bottom"/>
          </w:tcPr>
          <w:p>
            <w:pPr>
              <w:spacing w:after="0"/>
              <w:rPr>
                <w:sz w:val="20"/>
                <w:szCs w:val="20"/>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20"/>
                <w:szCs w:val="20"/>
                <w:color w:val="auto"/>
              </w:rPr>
            </w:pPr>
          </w:p>
        </w:tc>
        <w:tc>
          <w:tcPr>
            <w:tcW w:w="72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55</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50"/>
              <w:spacing w:after="0"/>
              <w:rPr>
                <w:sz w:val="20"/>
                <w:szCs w:val="20"/>
                <w:color w:val="auto"/>
              </w:rPr>
            </w:pPr>
            <w:r>
              <w:rPr>
                <w:rFonts w:ascii="Arial" w:cs="Arial" w:eastAsia="Arial" w:hAnsi="Arial"/>
                <w:sz w:val="18"/>
                <w:szCs w:val="18"/>
                <w:color w:val="auto"/>
                <w:w w:val="97"/>
              </w:rPr>
              <w:t>(11.4)</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(23.3)</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(12.3)</w:t>
            </w: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w w:val="97"/>
              </w:rPr>
              <w:t>(21.3)</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(12.2)</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760" w:type="dxa"/>
            <w:vAlign w:val="bottom"/>
          </w:tcPr>
          <w:p>
            <w:pPr>
              <w:spacing w:after="0"/>
              <w:rPr>
                <w:sz w:val="20"/>
                <w:szCs w:val="20"/>
                <w:color w:val="auto"/>
              </w:rPr>
            </w:pPr>
            <w:r>
              <w:rPr>
                <w:rFonts w:ascii="Arial" w:cs="Arial" w:eastAsia="Arial" w:hAnsi="Arial"/>
                <w:sz w:val="18"/>
                <w:szCs w:val="18"/>
                <w:b w:val="1"/>
                <w:bCs w:val="1"/>
                <w:color w:val="auto"/>
              </w:rPr>
              <w:t>Oncology</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1,026</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650</w:t>
            </w:r>
          </w:p>
        </w:tc>
        <w:tc>
          <w:tcPr>
            <w:tcW w:w="260" w:type="dxa"/>
            <w:vAlign w:val="bottom"/>
          </w:tcPr>
          <w:p>
            <w:pPr>
              <w:spacing w:after="0"/>
              <w:rPr>
                <w:sz w:val="23"/>
                <w:szCs w:val="23"/>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7"/>
              </w:rPr>
              <w:t>1,676</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7"/>
              </w:rPr>
              <w:t>(1.0)</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5"/>
              </w:rPr>
              <w:t>8.7</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5"/>
              </w:rPr>
              <w:t>2.6</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rPr>
              <w:t>8.3</w:t>
            </w:r>
          </w:p>
        </w:tc>
        <w:tc>
          <w:tcPr>
            <w:tcW w:w="260" w:type="dxa"/>
            <w:vAlign w:val="bottom"/>
          </w:tcPr>
          <w:p>
            <w:pPr>
              <w:spacing w:after="0"/>
              <w:rPr>
                <w:sz w:val="23"/>
                <w:szCs w:val="23"/>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5"/>
              </w:rPr>
              <w:t>2.4</w:t>
            </w:r>
          </w:p>
        </w:tc>
        <w:tc>
          <w:tcPr>
            <w:tcW w:w="1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line="230" w:lineRule="exact"/>
              <w:rPr>
                <w:sz w:val="20"/>
                <w:szCs w:val="20"/>
                <w:color w:val="auto"/>
              </w:rPr>
            </w:pPr>
            <w:r>
              <w:rPr>
                <w:rFonts w:ascii="Arial" w:cs="Arial" w:eastAsia="Arial" w:hAnsi="Arial"/>
                <w:sz w:val="18"/>
                <w:szCs w:val="18"/>
                <w:color w:val="auto"/>
              </w:rPr>
              <w:t>Imbruvica</w:t>
            </w:r>
            <w:r>
              <w:rPr>
                <w:rFonts w:ascii="Arial" w:cs="Arial" w:eastAsia="Arial" w:hAnsi="Arial"/>
                <w:sz w:val="23"/>
                <w:szCs w:val="23"/>
                <w:color w:val="auto"/>
                <w:vertAlign w:val="superscript"/>
              </w:rPr>
              <w:t>b</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543</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211</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754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w w:val="97"/>
              </w:rPr>
              <w:t>(8.9)</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3"/>
              </w:rPr>
              <w:t>(11.2)</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(9.5)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w w:val="97"/>
              </w:rPr>
              <w:t>(11.2)</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(9.5)</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Venclexta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321</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370</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691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7.4</w:t>
            </w:r>
          </w:p>
        </w:tc>
        <w:tc>
          <w:tcPr>
            <w:tcW w:w="220" w:type="dxa"/>
            <w:vAlign w:val="bottom"/>
          </w:tcPr>
          <w:p>
            <w:pPr>
              <w:spacing w:after="0"/>
              <w:rPr>
                <w:sz w:val="19"/>
                <w:szCs w:val="19"/>
                <w:color w:val="auto"/>
              </w:rPr>
            </w:pP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9.5</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8.5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9"/>
                <w:szCs w:val="19"/>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8.3</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Elahere</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138</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21</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159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8.0</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n/m</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n/m</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line="230" w:lineRule="exact"/>
              <w:rPr>
                <w:sz w:val="20"/>
                <w:szCs w:val="20"/>
                <w:color w:val="auto"/>
              </w:rPr>
            </w:pPr>
            <w:r>
              <w:rPr>
                <w:rFonts w:ascii="Arial" w:cs="Arial" w:eastAsia="Arial" w:hAnsi="Arial"/>
                <w:sz w:val="18"/>
                <w:szCs w:val="18"/>
                <w:color w:val="auto"/>
              </w:rPr>
              <w:t>Epkinly</w:t>
            </w:r>
            <w:r>
              <w:rPr>
                <w:rFonts w:ascii="Arial" w:cs="Arial" w:eastAsia="Arial" w:hAnsi="Arial"/>
                <w:sz w:val="23"/>
                <w:szCs w:val="23"/>
                <w:color w:val="auto"/>
                <w:vertAlign w:val="superscript"/>
              </w:rPr>
              <w:t>c</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22</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48</w:t>
            </w:r>
          </w:p>
        </w:tc>
        <w:tc>
          <w:tcPr>
            <w:tcW w:w="260" w:type="dxa"/>
            <w:vAlign w:val="bottom"/>
          </w:tcPr>
          <w:p>
            <w:pPr>
              <w:spacing w:after="0"/>
              <w:rPr>
                <w:sz w:val="19"/>
                <w:szCs w:val="19"/>
                <w:color w:val="auto"/>
              </w:rPr>
            </w:pPr>
          </w:p>
        </w:tc>
        <w:tc>
          <w:tcPr>
            <w:tcW w:w="72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70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57.4</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93.9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w w:val="97"/>
              </w:rPr>
              <w:t>&gt;100.0</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92.3</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200"/>
              <w:spacing w:after="0"/>
              <w:rPr>
                <w:sz w:val="20"/>
                <w:szCs w:val="20"/>
                <w:color w:val="auto"/>
              </w:rPr>
            </w:pPr>
            <w:r>
              <w:rPr>
                <w:rFonts w:ascii="Arial" w:cs="Arial" w:eastAsia="Arial" w:hAnsi="Arial"/>
                <w:sz w:val="18"/>
                <w:szCs w:val="18"/>
                <w:color w:val="auto"/>
              </w:rPr>
              <w:t>Other Oncology</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20"/>
                <w:szCs w:val="20"/>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n/m</w:t>
            </w:r>
          </w:p>
        </w:tc>
        <w:tc>
          <w:tcPr>
            <w:tcW w:w="220" w:type="dxa"/>
            <w:vAlign w:val="bottom"/>
          </w:tcPr>
          <w:p>
            <w:pPr>
              <w:spacing w:after="0"/>
              <w:rPr>
                <w:sz w:val="20"/>
                <w:szCs w:val="20"/>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n/m</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n/m</w:t>
            </w:r>
          </w:p>
        </w:tc>
        <w:tc>
          <w:tcPr>
            <w:tcW w:w="220" w:type="dxa"/>
            <w:vAlign w:val="bottom"/>
          </w:tcPr>
          <w:p>
            <w:pPr>
              <w:spacing w:after="0"/>
              <w:rPr>
                <w:sz w:val="20"/>
                <w:szCs w:val="20"/>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n/m</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760" w:type="dxa"/>
            <w:vAlign w:val="bottom"/>
          </w:tcPr>
          <w:p>
            <w:pPr>
              <w:spacing w:after="0"/>
              <w:rPr>
                <w:sz w:val="20"/>
                <w:szCs w:val="20"/>
                <w:color w:val="auto"/>
              </w:rPr>
            </w:pPr>
            <w:r>
              <w:rPr>
                <w:rFonts w:ascii="Arial" w:cs="Arial" w:eastAsia="Arial" w:hAnsi="Arial"/>
                <w:sz w:val="18"/>
                <w:szCs w:val="18"/>
                <w:b w:val="1"/>
                <w:bCs w:val="1"/>
                <w:color w:val="auto"/>
              </w:rPr>
              <w:t>Aesthetics</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797</w:t>
            </w:r>
          </w:p>
        </w:tc>
        <w:tc>
          <w:tcPr>
            <w:tcW w:w="340" w:type="dxa"/>
            <w:vAlign w:val="bottom"/>
          </w:tcPr>
          <w:p>
            <w:pPr>
              <w:spacing w:after="0"/>
              <w:rPr>
                <w:sz w:val="23"/>
                <w:szCs w:val="23"/>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482</w:t>
            </w:r>
          </w:p>
        </w:tc>
        <w:tc>
          <w:tcPr>
            <w:tcW w:w="260" w:type="dxa"/>
            <w:vAlign w:val="bottom"/>
          </w:tcPr>
          <w:p>
            <w:pPr>
              <w:spacing w:after="0"/>
              <w:rPr>
                <w:sz w:val="23"/>
                <w:szCs w:val="23"/>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7"/>
              </w:rPr>
              <w:t>1,279</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7"/>
              </w:rPr>
              <w:t>(7.8)</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(8.5)</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7"/>
              </w:rPr>
              <w:t>(8.1)</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b w:val="1"/>
                <w:bCs w:val="1"/>
                <w:color w:val="auto"/>
              </w:rPr>
              <w:t>(8.3)</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7"/>
              </w:rPr>
              <w:t>(8.0)</w:t>
            </w:r>
          </w:p>
        </w:tc>
        <w:tc>
          <w:tcPr>
            <w:tcW w:w="1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Botox Cosmetic</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410</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282</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692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w w:val="97"/>
              </w:rPr>
              <w:t>(8.7)</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0.9</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(5.0)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(4.9)</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color w:val="auto"/>
              </w:rPr>
              <w:t>Juvederm Collection</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105</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155</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260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(23.6)</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(24.4)</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(24.0)</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w w:val="97"/>
              </w:rPr>
              <w:t>(24.4)</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(24.0)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200"/>
              <w:spacing w:after="0"/>
              <w:rPr>
                <w:sz w:val="20"/>
                <w:szCs w:val="20"/>
                <w:color w:val="auto"/>
              </w:rPr>
            </w:pPr>
            <w:r>
              <w:rPr>
                <w:rFonts w:ascii="Arial" w:cs="Arial" w:eastAsia="Arial" w:hAnsi="Arial"/>
                <w:sz w:val="18"/>
                <w:szCs w:val="18"/>
                <w:color w:val="auto"/>
              </w:rPr>
              <w:t>Other Aesthetics</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282</w:t>
            </w:r>
          </w:p>
        </w:tc>
        <w:tc>
          <w:tcPr>
            <w:tcW w:w="340" w:type="dxa"/>
            <w:vAlign w:val="bottom"/>
          </w:tcPr>
          <w:p>
            <w:pPr>
              <w:spacing w:after="0"/>
              <w:rPr>
                <w:sz w:val="20"/>
                <w:szCs w:val="20"/>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45</w:t>
            </w:r>
          </w:p>
        </w:tc>
        <w:tc>
          <w:tcPr>
            <w:tcW w:w="260" w:type="dxa"/>
            <w:vAlign w:val="bottom"/>
          </w:tcPr>
          <w:p>
            <w:pPr>
              <w:spacing w:after="0"/>
              <w:rPr>
                <w:sz w:val="20"/>
                <w:szCs w:val="20"/>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327</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1.6</w:t>
            </w:r>
          </w:p>
        </w:tc>
        <w:tc>
          <w:tcPr>
            <w:tcW w:w="220" w:type="dxa"/>
            <w:vAlign w:val="bottom"/>
          </w:tcPr>
          <w:p>
            <w:pPr>
              <w:spacing w:after="0"/>
              <w:rPr>
                <w:sz w:val="20"/>
                <w:szCs w:val="20"/>
                <w:color w:val="auto"/>
              </w:rPr>
            </w:pP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5.8</w:t>
            </w:r>
          </w:p>
        </w:tc>
        <w:tc>
          <w:tcPr>
            <w:tcW w:w="360" w:type="dxa"/>
            <w:vAlign w:val="bottom"/>
          </w:tcPr>
          <w:p>
            <w:pPr>
              <w:spacing w:after="0"/>
              <w:rPr>
                <w:sz w:val="20"/>
                <w:szCs w:val="20"/>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2.2</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0"/>
                <w:szCs w:val="20"/>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2.3</w:t>
            </w:r>
          </w:p>
        </w:tc>
        <w:tc>
          <w:tcPr>
            <w:tcW w:w="1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760" w:type="dxa"/>
            <w:vAlign w:val="bottom"/>
          </w:tcPr>
          <w:p>
            <w:pPr>
              <w:spacing w:after="0"/>
              <w:rPr>
                <w:sz w:val="20"/>
                <w:szCs w:val="20"/>
                <w:color w:val="auto"/>
              </w:rPr>
            </w:pPr>
            <w:r>
              <w:rPr>
                <w:rFonts w:ascii="Arial" w:cs="Arial" w:eastAsia="Arial" w:hAnsi="Arial"/>
                <w:sz w:val="18"/>
                <w:szCs w:val="18"/>
                <w:b w:val="1"/>
                <w:bCs w:val="1"/>
                <w:color w:val="auto"/>
              </w:rPr>
              <w:t>Eye Care</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226</w:t>
            </w:r>
          </w:p>
        </w:tc>
        <w:tc>
          <w:tcPr>
            <w:tcW w:w="340" w:type="dxa"/>
            <w:vAlign w:val="bottom"/>
          </w:tcPr>
          <w:p>
            <w:pPr>
              <w:spacing w:after="0"/>
              <w:rPr>
                <w:sz w:val="23"/>
                <w:szCs w:val="23"/>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288</w:t>
            </w:r>
          </w:p>
        </w:tc>
        <w:tc>
          <w:tcPr>
            <w:tcW w:w="260" w:type="dxa"/>
            <w:vAlign w:val="bottom"/>
          </w:tcPr>
          <w:p>
            <w:pPr>
              <w:spacing w:after="0"/>
              <w:rPr>
                <w:sz w:val="23"/>
                <w:szCs w:val="23"/>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9"/>
              </w:rPr>
              <w:t>514</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7"/>
              </w:rPr>
              <w:t>(5.7)</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(2.4)</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7"/>
              </w:rPr>
              <w:t>(3.9)</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b w:val="1"/>
                <w:bCs w:val="1"/>
                <w:color w:val="auto"/>
              </w:rPr>
              <w:t>(1.5)</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7"/>
              </w:rPr>
              <w:t>(3.4)</w:t>
            </w:r>
          </w:p>
        </w:tc>
        <w:tc>
          <w:tcPr>
            <w:tcW w:w="1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Ozurdex</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30</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95</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125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(12.6)</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5.8</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0.6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(0.4)</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Lumigan/Ganfort</w:t>
            </w:r>
          </w:p>
        </w:tc>
        <w:tc>
          <w:tcPr>
            <w:tcW w:w="60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52</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51</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103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19.9</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(15.4)</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(0.8)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w w:val="97"/>
              </w:rPr>
              <w:t>(15.2)</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(0.7)</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Alphagan/Combigan</w:t>
            </w:r>
          </w:p>
        </w:tc>
        <w:tc>
          <w:tcPr>
            <w:tcW w:w="260" w:type="dxa"/>
            <w:vAlign w:val="bottom"/>
          </w:tcPr>
          <w:p>
            <w:pPr>
              <w:spacing w:after="0"/>
              <w:rPr>
                <w:sz w:val="19"/>
                <w:szCs w:val="19"/>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36</w:t>
            </w:r>
          </w:p>
        </w:tc>
        <w:tc>
          <w:tcPr>
            <w:tcW w:w="260" w:type="dxa"/>
            <w:vAlign w:val="bottom"/>
          </w:tcPr>
          <w:p>
            <w:pPr>
              <w:spacing w:after="0"/>
              <w:rPr>
                <w:sz w:val="19"/>
                <w:szCs w:val="19"/>
                <w:color w:val="auto"/>
              </w:rPr>
            </w:pPr>
          </w:p>
        </w:tc>
        <w:tc>
          <w:tcPr>
            <w:tcW w:w="72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36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(91.6)</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7"/>
              </w:rPr>
              <w:t>(3.1)</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(25.6)</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rPr>
              <w:t>(0.2)</w:t>
            </w:r>
          </w:p>
        </w:tc>
        <w:tc>
          <w:tcPr>
            <w:tcW w:w="800" w:type="dxa"/>
            <w:vAlign w:val="bottom"/>
            <w:gridSpan w:val="3"/>
          </w:tcPr>
          <w:p>
            <w:pPr>
              <w:jc w:val="center"/>
              <w:spacing w:after="0"/>
              <w:rPr>
                <w:sz w:val="20"/>
                <w:szCs w:val="20"/>
                <w:color w:val="auto"/>
              </w:rPr>
            </w:pPr>
            <w:r>
              <w:rPr>
                <w:rFonts w:ascii="Arial" w:cs="Arial" w:eastAsia="Arial" w:hAnsi="Arial"/>
                <w:sz w:val="18"/>
                <w:szCs w:val="18"/>
                <w:color w:val="auto"/>
              </w:rPr>
              <w:t>(23.5)</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200"/>
              <w:spacing w:after="0"/>
              <w:rPr>
                <w:sz w:val="20"/>
                <w:szCs w:val="20"/>
                <w:color w:val="auto"/>
              </w:rPr>
            </w:pPr>
            <w:r>
              <w:rPr>
                <w:rFonts w:ascii="Arial" w:cs="Arial" w:eastAsia="Arial" w:hAnsi="Arial"/>
                <w:sz w:val="18"/>
                <w:szCs w:val="18"/>
                <w:color w:val="auto"/>
              </w:rPr>
              <w:t>Other Eye Care</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144</w:t>
            </w:r>
          </w:p>
        </w:tc>
        <w:tc>
          <w:tcPr>
            <w:tcW w:w="340" w:type="dxa"/>
            <w:vAlign w:val="bottom"/>
          </w:tcPr>
          <w:p>
            <w:pPr>
              <w:spacing w:after="0"/>
              <w:rPr>
                <w:sz w:val="20"/>
                <w:szCs w:val="20"/>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106</w:t>
            </w:r>
          </w:p>
        </w:tc>
        <w:tc>
          <w:tcPr>
            <w:tcW w:w="260" w:type="dxa"/>
            <w:vAlign w:val="bottom"/>
          </w:tcPr>
          <w:p>
            <w:pPr>
              <w:spacing w:after="0"/>
              <w:rPr>
                <w:sz w:val="20"/>
                <w:szCs w:val="20"/>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250</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w w:val="97"/>
              </w:rPr>
              <w:t>(4.3)</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7"/>
              </w:rPr>
              <w:t>(1.7)</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(3.2)</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20"/>
                <w:szCs w:val="20"/>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(2.1)</w:t>
            </w:r>
          </w:p>
        </w:tc>
        <w:tc>
          <w:tcPr>
            <w:tcW w:w="1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760" w:type="dxa"/>
            <w:vAlign w:val="bottom"/>
          </w:tcPr>
          <w:p>
            <w:pPr>
              <w:spacing w:after="0"/>
              <w:rPr>
                <w:sz w:val="20"/>
                <w:szCs w:val="20"/>
                <w:color w:val="auto"/>
              </w:rPr>
            </w:pPr>
            <w:r>
              <w:rPr>
                <w:rFonts w:ascii="Arial" w:cs="Arial" w:eastAsia="Arial" w:hAnsi="Arial"/>
                <w:sz w:val="18"/>
                <w:szCs w:val="18"/>
                <w:b w:val="1"/>
                <w:bCs w:val="1"/>
                <w:color w:val="auto"/>
              </w:rPr>
              <w:t>Other Key Products</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835</w:t>
            </w:r>
          </w:p>
        </w:tc>
        <w:tc>
          <w:tcPr>
            <w:tcW w:w="340" w:type="dxa"/>
            <w:vAlign w:val="bottom"/>
          </w:tcPr>
          <w:p>
            <w:pPr>
              <w:spacing w:after="0"/>
              <w:rPr>
                <w:sz w:val="23"/>
                <w:szCs w:val="23"/>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202</w:t>
            </w:r>
          </w:p>
        </w:tc>
        <w:tc>
          <w:tcPr>
            <w:tcW w:w="260" w:type="dxa"/>
            <w:vAlign w:val="bottom"/>
          </w:tcPr>
          <w:p>
            <w:pPr>
              <w:spacing w:after="0"/>
              <w:rPr>
                <w:sz w:val="23"/>
                <w:szCs w:val="23"/>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7"/>
              </w:rPr>
              <w:t>1,037</w:t>
            </w: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6"/>
              </w:rPr>
              <w:t>11.2</w:t>
            </w:r>
          </w:p>
        </w:tc>
        <w:tc>
          <w:tcPr>
            <w:tcW w:w="220" w:type="dxa"/>
            <w:vAlign w:val="bottom"/>
          </w:tcPr>
          <w:p>
            <w:pPr>
              <w:spacing w:after="0"/>
              <w:rPr>
                <w:sz w:val="23"/>
                <w:szCs w:val="23"/>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(4.4)</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5"/>
              </w:rPr>
              <w:t>7.8</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b w:val="1"/>
                <w:bCs w:val="1"/>
                <w:color w:val="auto"/>
              </w:rPr>
              <w:t>(5.8)</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5"/>
              </w:rPr>
              <w:t>7.5</w:t>
            </w:r>
          </w:p>
        </w:tc>
        <w:tc>
          <w:tcPr>
            <w:tcW w:w="16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0"/>
              <w:spacing w:after="0"/>
              <w:rPr>
                <w:sz w:val="20"/>
                <w:szCs w:val="20"/>
                <w:color w:val="auto"/>
              </w:rPr>
            </w:pPr>
            <w:r>
              <w:rPr>
                <w:rFonts w:ascii="Arial" w:cs="Arial" w:eastAsia="Arial" w:hAnsi="Arial"/>
                <w:sz w:val="18"/>
                <w:szCs w:val="18"/>
                <w:color w:val="auto"/>
              </w:rPr>
              <w:t>Mavyret</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184</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191</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375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9.7</w:t>
            </w:r>
          </w:p>
        </w:tc>
        <w:tc>
          <w:tcPr>
            <w:tcW w:w="22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7"/>
              </w:rPr>
              <w:t>(5.1)</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1.6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spacing w:after="0"/>
              <w:rPr>
                <w:sz w:val="20"/>
                <w:szCs w:val="20"/>
                <w:color w:val="auto"/>
              </w:rPr>
            </w:pPr>
            <w:r>
              <w:rPr>
                <w:rFonts w:ascii="Arial" w:cs="Arial" w:eastAsia="Arial" w:hAnsi="Arial"/>
                <w:sz w:val="18"/>
                <w:szCs w:val="18"/>
                <w:color w:val="auto"/>
              </w:rPr>
              <w:t>(6.5)</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0.8</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0"/>
              <w:spacing w:after="0"/>
              <w:rPr>
                <w:sz w:val="20"/>
                <w:szCs w:val="20"/>
                <w:color w:val="auto"/>
              </w:rPr>
            </w:pPr>
            <w:r>
              <w:rPr>
                <w:rFonts w:ascii="Arial" w:cs="Arial" w:eastAsia="Arial" w:hAnsi="Arial"/>
                <w:sz w:val="18"/>
                <w:szCs w:val="18"/>
                <w:color w:val="auto"/>
              </w:rPr>
              <w:t>Creon</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404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404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8.4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n/m</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8.4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n/m</w:t>
            </w: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w w:val="95"/>
              </w:rPr>
              <w:t>8.4</w:t>
            </w:r>
          </w:p>
        </w:tc>
        <w:tc>
          <w:tcPr>
            <w:tcW w:w="16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60" w:type="dxa"/>
            <w:vAlign w:val="bottom"/>
          </w:tcPr>
          <w:p>
            <w:pPr>
              <w:ind w:left="200"/>
              <w:spacing w:after="0"/>
              <w:rPr>
                <w:sz w:val="20"/>
                <w:szCs w:val="20"/>
                <w:color w:val="auto"/>
              </w:rPr>
            </w:pPr>
            <w:r>
              <w:rPr>
                <w:rFonts w:ascii="Arial" w:cs="Arial" w:eastAsia="Arial" w:hAnsi="Arial"/>
                <w:sz w:val="18"/>
                <w:szCs w:val="18"/>
                <w:color w:val="auto"/>
              </w:rPr>
              <w:t>Linzess/Constella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247</w:t>
            </w:r>
          </w:p>
        </w:tc>
        <w:tc>
          <w:tcPr>
            <w:tcW w:w="340" w:type="dxa"/>
            <w:vAlign w:val="bottom"/>
          </w:tcPr>
          <w:p>
            <w:pPr>
              <w:spacing w:after="0"/>
              <w:rPr>
                <w:sz w:val="20"/>
                <w:szCs w:val="20"/>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11</w:t>
            </w:r>
          </w:p>
        </w:tc>
        <w:tc>
          <w:tcPr>
            <w:tcW w:w="260" w:type="dxa"/>
            <w:vAlign w:val="bottom"/>
          </w:tcPr>
          <w:p>
            <w:pPr>
              <w:spacing w:after="0"/>
              <w:rPr>
                <w:sz w:val="20"/>
                <w:szCs w:val="20"/>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258</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17.4</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20"/>
                <w:szCs w:val="20"/>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660" w:type="dxa"/>
            <w:vAlign w:val="bottom"/>
            <w:gridSpan w:val="3"/>
          </w:tcPr>
          <w:p>
            <w:pPr>
              <w:jc w:val="center"/>
              <w:ind w:left="190"/>
              <w:spacing w:after="0"/>
              <w:rPr>
                <w:sz w:val="20"/>
                <w:szCs w:val="20"/>
                <w:color w:val="auto"/>
              </w:rPr>
            </w:pPr>
            <w:r>
              <w:rPr>
                <w:rFonts w:ascii="Arial" w:cs="Arial" w:eastAsia="Arial" w:hAnsi="Arial"/>
                <w:sz w:val="18"/>
                <w:szCs w:val="18"/>
                <w:color w:val="auto"/>
                <w:w w:val="96"/>
              </w:rPr>
              <w:t>10.3</w:t>
            </w:r>
          </w:p>
        </w:tc>
        <w:tc>
          <w:tcPr>
            <w:tcW w:w="260" w:type="dxa"/>
            <w:vAlign w:val="bottom"/>
          </w:tcPr>
          <w:p>
            <w:pPr>
              <w:spacing w:after="0"/>
              <w:rPr>
                <w:sz w:val="20"/>
                <w:szCs w:val="20"/>
                <w:color w:val="auto"/>
              </w:rPr>
            </w:pPr>
          </w:p>
        </w:tc>
        <w:tc>
          <w:tcPr>
            <w:tcW w:w="640" w:type="dxa"/>
            <w:vAlign w:val="bottom"/>
            <w:gridSpan w:val="2"/>
          </w:tcPr>
          <w:p>
            <w:pPr>
              <w:jc w:val="center"/>
              <w:ind w:left="15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80" w:hanging="72"/>
        <w:spacing w:after="0"/>
        <w:tabs>
          <w:tab w:leader="none" w:pos="8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"Operational" comparisons are presented at constant currency rates that reflect comparative local currency net revenues at the prior year's foreign exchange rates.</w:t>
      </w:r>
    </w:p>
    <w:p>
      <w:pPr>
        <w:spacing w:after="0" w:line="52" w:lineRule="exact"/>
        <w:rPr>
          <w:sz w:val="20"/>
          <w:szCs w:val="20"/>
          <w:color w:val="auto"/>
        </w:rPr>
      </w:pPr>
    </w:p>
    <w:p>
      <w:pPr>
        <w:ind w:left="80" w:hanging="72"/>
        <w:spacing w:after="0"/>
        <w:tabs>
          <w:tab w:leader="none" w:pos="8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Reflects profit sharing for Imbruvica international revenues.</w:t>
      </w:r>
    </w:p>
    <w:p>
      <w:pPr>
        <w:spacing w:after="0" w:line="66" w:lineRule="exact"/>
        <w:rPr>
          <w:sz w:val="20"/>
          <w:szCs w:val="20"/>
          <w:color w:val="auto"/>
        </w:rPr>
      </w:pPr>
    </w:p>
    <w:p>
      <w:pPr>
        <w:ind w:right="1500" w:firstLine="8"/>
        <w:spacing w:after="0" w:line="340" w:lineRule="auto"/>
        <w:tabs>
          <w:tab w:leader="none" w:pos="7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Epkinly U.S. revenues reflect profit sharing. International revenues reflect product revenues as well as profit sharing from certain international territories. n/m = not meaningful</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894"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Key Product Revenues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Six Months Ended June 30, 2025</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Net Revenues (in millions)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10"/>
          </w:tcPr>
          <w:p>
            <w:pPr>
              <w:jc w:val="center"/>
              <w:ind w:right="300"/>
              <w:spacing w:after="0"/>
              <w:rPr>
                <w:sz w:val="20"/>
                <w:szCs w:val="20"/>
                <w:color w:val="auto"/>
              </w:rPr>
            </w:pPr>
            <w:r>
              <w:rPr>
                <w:rFonts w:ascii="Arial" w:cs="Arial" w:eastAsia="Arial" w:hAnsi="Arial"/>
                <w:sz w:val="18"/>
                <w:szCs w:val="18"/>
                <w:b w:val="1"/>
                <w:bCs w:val="1"/>
                <w:color w:val="auto"/>
              </w:rPr>
              <w:t>% Change vs. 6M24</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8"/>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Reported</w:t>
            </w: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5"/>
          </w:tcPr>
          <w:p>
            <w:pPr>
              <w:ind w:left="120"/>
              <w:spacing w:after="0" w:line="223" w:lineRule="exact"/>
              <w:rPr>
                <w:sz w:val="20"/>
                <w:szCs w:val="20"/>
                <w:color w:val="auto"/>
              </w:rPr>
            </w:pPr>
            <w:r>
              <w:rPr>
                <w:rFonts w:ascii="Arial" w:cs="Arial" w:eastAsia="Arial" w:hAnsi="Arial"/>
                <w:sz w:val="18"/>
                <w:szCs w:val="18"/>
                <w:b w:val="1"/>
                <w:bCs w:val="1"/>
                <w:color w:val="auto"/>
              </w:rPr>
              <w:t>Operational</w:t>
            </w:r>
            <w:r>
              <w:rPr>
                <w:rFonts w:ascii="Arial" w:cs="Arial" w:eastAsia="Arial" w:hAnsi="Arial"/>
                <w:sz w:val="23"/>
                <w:szCs w:val="23"/>
                <w:b w:val="1"/>
                <w:bCs w:val="1"/>
                <w:color w:val="auto"/>
                <w:vertAlign w:val="superscript"/>
              </w:rPr>
              <w:t>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U.S.</w:t>
            </w:r>
          </w:p>
        </w:tc>
        <w:tc>
          <w:tcPr>
            <w:tcW w:w="900" w:type="dxa"/>
            <w:vAlign w:val="bottom"/>
            <w:gridSpan w:val="3"/>
          </w:tcPr>
          <w:p>
            <w:pPr>
              <w:ind w:left="260"/>
              <w:spacing w:after="0" w:line="182" w:lineRule="exact"/>
              <w:rPr>
                <w:sz w:val="20"/>
                <w:szCs w:val="20"/>
                <w:color w:val="auto"/>
              </w:rPr>
            </w:pPr>
            <w:r>
              <w:rPr>
                <w:rFonts w:ascii="Arial" w:cs="Arial" w:eastAsia="Arial" w:hAnsi="Arial"/>
                <w:sz w:val="18"/>
                <w:szCs w:val="18"/>
                <w:b w:val="1"/>
                <w:bCs w:val="1"/>
                <w:color w:val="auto"/>
              </w:rPr>
              <w:t>Int’l.</w:t>
            </w:r>
          </w:p>
        </w:tc>
        <w:tc>
          <w:tcPr>
            <w:tcW w:w="300" w:type="dxa"/>
            <w:vAlign w:val="bottom"/>
          </w:tcPr>
          <w:p>
            <w:pPr>
              <w:spacing w:after="0"/>
              <w:rPr>
                <w:sz w:val="15"/>
                <w:szCs w:val="15"/>
                <w:color w:val="auto"/>
              </w:rPr>
            </w:pPr>
          </w:p>
        </w:tc>
        <w:tc>
          <w:tcPr>
            <w:tcW w:w="6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ind w:left="240"/>
              <w:spacing w:after="0" w:line="182" w:lineRule="exact"/>
              <w:rPr>
                <w:sz w:val="20"/>
                <w:szCs w:val="20"/>
                <w:color w:val="auto"/>
              </w:rPr>
            </w:pPr>
            <w:r>
              <w:rPr>
                <w:rFonts w:ascii="Arial" w:cs="Arial" w:eastAsia="Arial" w:hAnsi="Arial"/>
                <w:sz w:val="18"/>
                <w:szCs w:val="18"/>
                <w:b w:val="1"/>
                <w:bCs w:val="1"/>
                <w:color w:val="auto"/>
              </w:rPr>
              <w:t>U.S.</w:t>
            </w:r>
          </w:p>
        </w:tc>
        <w:tc>
          <w:tcPr>
            <w:tcW w:w="1100" w:type="dxa"/>
            <w:vAlign w:val="bottom"/>
            <w:gridSpan w:val="3"/>
          </w:tcPr>
          <w:p>
            <w:pPr>
              <w:jc w:val="center"/>
              <w:spacing w:after="0" w:line="182" w:lineRule="exact"/>
              <w:rPr>
                <w:sz w:val="20"/>
                <w:szCs w:val="20"/>
                <w:color w:val="auto"/>
              </w:rPr>
            </w:pPr>
            <w:r>
              <w:rPr>
                <w:rFonts w:ascii="Arial" w:cs="Arial" w:eastAsia="Arial" w:hAnsi="Arial"/>
                <w:sz w:val="18"/>
                <w:szCs w:val="18"/>
                <w:b w:val="1"/>
                <w:bCs w:val="1"/>
                <w:color w:val="auto"/>
                <w:w w:val="97"/>
              </w:rPr>
              <w:t>Int’l.</w:t>
            </w:r>
          </w:p>
        </w:tc>
        <w:tc>
          <w:tcPr>
            <w:tcW w:w="200" w:type="dxa"/>
            <w:vAlign w:val="bottom"/>
          </w:tcPr>
          <w:p>
            <w:pPr>
              <w:spacing w:after="0"/>
              <w:rPr>
                <w:sz w:val="15"/>
                <w:szCs w:val="15"/>
                <w:color w:val="auto"/>
              </w:rPr>
            </w:pPr>
          </w:p>
        </w:tc>
        <w:tc>
          <w:tcPr>
            <w:tcW w:w="640" w:type="dxa"/>
            <w:vAlign w:val="bottom"/>
            <w:gridSpan w:val="2"/>
          </w:tcPr>
          <w:p>
            <w:pPr>
              <w:jc w:val="center"/>
              <w:ind w:right="220"/>
              <w:spacing w:after="0" w:line="182" w:lineRule="exact"/>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60"/>
              <w:spacing w:after="0" w:line="182" w:lineRule="exact"/>
              <w:rPr>
                <w:sz w:val="20"/>
                <w:szCs w:val="20"/>
                <w:color w:val="auto"/>
              </w:rPr>
            </w:pPr>
            <w:r>
              <w:rPr>
                <w:rFonts w:ascii="Arial" w:cs="Arial" w:eastAsia="Arial" w:hAnsi="Arial"/>
                <w:sz w:val="18"/>
                <w:szCs w:val="18"/>
                <w:b w:val="1"/>
                <w:bCs w:val="1"/>
                <w:color w:val="auto"/>
                <w:w w:val="97"/>
              </w:rPr>
              <w:t>Int’l.</w:t>
            </w:r>
          </w:p>
        </w:tc>
        <w:tc>
          <w:tcPr>
            <w:tcW w:w="260" w:type="dxa"/>
            <w:vAlign w:val="bottom"/>
          </w:tcPr>
          <w:p>
            <w:pPr>
              <w:spacing w:after="0"/>
              <w:rPr>
                <w:sz w:val="15"/>
                <w:szCs w:val="15"/>
                <w:color w:val="auto"/>
              </w:rPr>
            </w:pPr>
          </w:p>
        </w:tc>
        <w:tc>
          <w:tcPr>
            <w:tcW w:w="640" w:type="dxa"/>
            <w:vAlign w:val="bottom"/>
            <w:gridSpan w:val="2"/>
          </w:tcPr>
          <w:p>
            <w:pPr>
              <w:jc w:val="center"/>
              <w:ind w:right="220"/>
              <w:spacing w:after="0" w:line="182" w:lineRule="exact"/>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NET REVENUES</w:t>
            </w:r>
          </w:p>
        </w:tc>
        <w:tc>
          <w:tcPr>
            <w:tcW w:w="94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rPr>
              <w:t>$21,741</w:t>
            </w:r>
          </w:p>
        </w:tc>
        <w:tc>
          <w:tcPr>
            <w:tcW w:w="9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8"/>
              </w:rPr>
              <w:t>$7,025</w:t>
            </w:r>
          </w:p>
        </w:tc>
        <w:tc>
          <w:tcPr>
            <w:tcW w:w="940" w:type="dxa"/>
            <w:vAlign w:val="bottom"/>
            <w:gridSpan w:val="3"/>
            <w:vMerge w:val="restart"/>
          </w:tcPr>
          <w:p>
            <w:pPr>
              <w:jc w:val="center"/>
              <w:ind w:left="10"/>
              <w:spacing w:after="0"/>
              <w:rPr>
                <w:sz w:val="20"/>
                <w:szCs w:val="20"/>
                <w:color w:val="auto"/>
              </w:rPr>
            </w:pPr>
            <w:r>
              <w:rPr>
                <w:rFonts w:ascii="Arial" w:cs="Arial" w:eastAsia="Arial" w:hAnsi="Arial"/>
                <w:sz w:val="18"/>
                <w:szCs w:val="18"/>
                <w:b w:val="1"/>
                <w:bCs w:val="1"/>
                <w:color w:val="auto"/>
                <w:w w:val="98"/>
              </w:rPr>
              <w:t>$28,766</w:t>
            </w:r>
          </w:p>
        </w:tc>
        <w:tc>
          <w:tcPr>
            <w:tcW w:w="20" w:type="dxa"/>
            <w:vAlign w:val="bottom"/>
          </w:tcPr>
          <w:p>
            <w:pPr>
              <w:spacing w:after="0" w:line="20" w:lineRule="exact"/>
              <w:rPr>
                <w:sz w:val="1"/>
                <w:szCs w:val="1"/>
                <w:color w:val="auto"/>
              </w:rPr>
            </w:pPr>
          </w:p>
        </w:tc>
        <w:tc>
          <w:tcPr>
            <w:tcW w:w="920" w:type="dxa"/>
            <w:vAlign w:val="bottom"/>
            <w:gridSpan w:val="4"/>
            <w:vMerge w:val="restart"/>
          </w:tcPr>
          <w:p>
            <w:pPr>
              <w:jc w:val="center"/>
              <w:ind w:left="30"/>
              <w:spacing w:after="0"/>
              <w:rPr>
                <w:sz w:val="20"/>
                <w:szCs w:val="20"/>
                <w:color w:val="auto"/>
              </w:rPr>
            </w:pPr>
            <w:r>
              <w:rPr>
                <w:rFonts w:ascii="Arial" w:cs="Arial" w:eastAsia="Arial" w:hAnsi="Arial"/>
                <w:sz w:val="18"/>
                <w:szCs w:val="18"/>
                <w:b w:val="1"/>
                <w:bCs w:val="1"/>
                <w:color w:val="auto"/>
                <w:w w:val="97"/>
              </w:rPr>
              <w:t>7.9%</w:t>
            </w:r>
          </w:p>
        </w:tc>
        <w:tc>
          <w:tcPr>
            <w:tcW w:w="11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7"/>
              </w:rPr>
              <w:t>6.0%</w:t>
            </w:r>
          </w:p>
        </w:tc>
        <w:tc>
          <w:tcPr>
            <w:tcW w:w="620" w:type="dxa"/>
            <w:vAlign w:val="bottom"/>
            <w:gridSpan w:val="2"/>
            <w:vMerge w:val="restart"/>
          </w:tcPr>
          <w:p>
            <w:pPr>
              <w:jc w:val="center"/>
              <w:ind w:left="130"/>
              <w:spacing w:after="0"/>
              <w:rPr>
                <w:sz w:val="20"/>
                <w:szCs w:val="20"/>
                <w:color w:val="auto"/>
              </w:rPr>
            </w:pPr>
            <w:r>
              <w:rPr>
                <w:rFonts w:ascii="Arial" w:cs="Arial" w:eastAsia="Arial" w:hAnsi="Arial"/>
                <w:sz w:val="18"/>
                <w:szCs w:val="18"/>
                <w:b w:val="1"/>
                <w:bCs w:val="1"/>
                <w:color w:val="auto"/>
                <w:w w:val="97"/>
              </w:rPr>
              <w:t>7.4%</w:t>
            </w:r>
          </w:p>
        </w:tc>
        <w:tc>
          <w:tcPr>
            <w:tcW w:w="2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97"/>
              </w:rPr>
              <w:t>8.3%</w:t>
            </w:r>
          </w:p>
        </w:tc>
        <w:tc>
          <w:tcPr>
            <w:tcW w:w="680" w:type="dxa"/>
            <w:vAlign w:val="bottom"/>
            <w:gridSpan w:val="2"/>
            <w:vMerge w:val="restart"/>
          </w:tcPr>
          <w:p>
            <w:pPr>
              <w:jc w:val="center"/>
              <w:ind w:left="170"/>
              <w:spacing w:after="0"/>
              <w:rPr>
                <w:sz w:val="20"/>
                <w:szCs w:val="20"/>
                <w:color w:val="auto"/>
              </w:rPr>
            </w:pPr>
            <w:r>
              <w:rPr>
                <w:rFonts w:ascii="Arial" w:cs="Arial" w:eastAsia="Arial" w:hAnsi="Arial"/>
                <w:sz w:val="18"/>
                <w:szCs w:val="18"/>
                <w:b w:val="1"/>
                <w:bCs w:val="1"/>
                <w:color w:val="auto"/>
              </w:rPr>
              <w:t>8.0%</w:t>
            </w:r>
          </w:p>
        </w:tc>
        <w:tc>
          <w:tcPr>
            <w:tcW w:w="2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640" w:type="dxa"/>
            <w:vAlign w:val="bottom"/>
            <w:vMerge w:val="continue"/>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900" w:type="dxa"/>
            <w:vAlign w:val="bottom"/>
            <w:gridSpan w:val="3"/>
            <w:vMerge w:val="continue"/>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920" w:type="dxa"/>
            <w:vAlign w:val="bottom"/>
            <w:gridSpan w:val="4"/>
            <w:vMerge w:val="continue"/>
          </w:tcPr>
          <w:p>
            <w:pPr>
              <w:spacing w:after="0"/>
              <w:rPr>
                <w:sz w:val="21"/>
                <w:szCs w:val="21"/>
                <w:color w:val="auto"/>
              </w:rPr>
            </w:pPr>
          </w:p>
        </w:tc>
        <w:tc>
          <w:tcPr>
            <w:tcW w:w="1100" w:type="dxa"/>
            <w:vAlign w:val="bottom"/>
            <w:gridSpan w:val="3"/>
            <w:vMerge w:val="continue"/>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1000" w:type="dxa"/>
            <w:vAlign w:val="bottom"/>
            <w:gridSpan w:val="4"/>
            <w:vMerge w:val="continue"/>
          </w:tcPr>
          <w:p>
            <w:pPr>
              <w:spacing w:after="0"/>
              <w:rPr>
                <w:sz w:val="21"/>
                <w:szCs w:val="21"/>
                <w:color w:val="auto"/>
              </w:rPr>
            </w:pPr>
          </w:p>
        </w:tc>
        <w:tc>
          <w:tcPr>
            <w:tcW w:w="680" w:type="dxa"/>
            <w:vAlign w:val="bottom"/>
            <w:gridSpan w:val="2"/>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3640" w:type="dxa"/>
            <w:vAlign w:val="bottom"/>
          </w:tcPr>
          <w:p>
            <w:pPr>
              <w:spacing w:after="0"/>
              <w:rPr>
                <w:sz w:val="20"/>
                <w:szCs w:val="20"/>
                <w:color w:val="auto"/>
              </w:rPr>
            </w:pPr>
            <w:r>
              <w:rPr>
                <w:rFonts w:ascii="Arial" w:cs="Arial" w:eastAsia="Arial" w:hAnsi="Arial"/>
                <w:sz w:val="18"/>
                <w:szCs w:val="18"/>
                <w:b w:val="1"/>
                <w:bCs w:val="1"/>
                <w:color w:val="auto"/>
              </w:rPr>
              <w:t>Immunology</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8"/>
              </w:rPr>
              <w:t>10,980</w:t>
            </w: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rPr>
              <w:t>2,915</w:t>
            </w:r>
          </w:p>
        </w:tc>
        <w:tc>
          <w:tcPr>
            <w:tcW w:w="9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rPr>
              <w:t>13,895</w:t>
            </w: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6"/>
              </w:rPr>
              <w:t>11.3</w:t>
            </w:r>
          </w:p>
        </w:tc>
        <w:tc>
          <w:tcPr>
            <w:tcW w:w="220" w:type="dxa"/>
            <w:vAlign w:val="bottom"/>
          </w:tcPr>
          <w:p>
            <w:pPr>
              <w:spacing w:after="0"/>
              <w:rPr>
                <w:sz w:val="23"/>
                <w:szCs w:val="23"/>
                <w:color w:val="auto"/>
              </w:rPr>
            </w:pPr>
          </w:p>
        </w:tc>
        <w:tc>
          <w:tcPr>
            <w:tcW w:w="7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rPr>
              <w:t>17.9</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rPr>
              <w:t>12.6</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rPr>
              <w:t>20.4</w:t>
            </w:r>
          </w:p>
        </w:tc>
        <w:tc>
          <w:tcPr>
            <w:tcW w:w="300" w:type="dxa"/>
            <w:vAlign w:val="bottom"/>
          </w:tcPr>
          <w:p>
            <w:pPr>
              <w:spacing w:after="0"/>
              <w:rPr>
                <w:sz w:val="23"/>
                <w:szCs w:val="23"/>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6"/>
              </w:rPr>
              <w:t>13.1</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Skyrizi</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6,762</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1,086</w:t>
            </w:r>
          </w:p>
        </w:tc>
        <w:tc>
          <w:tcPr>
            <w:tcW w:w="940" w:type="dxa"/>
            <w:vAlign w:val="bottom"/>
            <w:gridSpan w:val="3"/>
          </w:tcPr>
          <w:p>
            <w:pPr>
              <w:jc w:val="center"/>
              <w:ind w:left="10"/>
              <w:spacing w:after="0"/>
              <w:rPr>
                <w:sz w:val="20"/>
                <w:szCs w:val="20"/>
                <w:color w:val="auto"/>
              </w:rPr>
            </w:pPr>
            <w:r>
              <w:rPr>
                <w:rFonts w:ascii="Arial" w:cs="Arial" w:eastAsia="Arial" w:hAnsi="Arial"/>
                <w:sz w:val="18"/>
                <w:szCs w:val="18"/>
                <w:color w:val="auto"/>
                <w:w w:val="97"/>
              </w:rPr>
              <w:t>7,848</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69.2</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46.9</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65.8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49.6</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66.2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Rinvoq</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2,672</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1,074</w:t>
            </w:r>
          </w:p>
        </w:tc>
        <w:tc>
          <w:tcPr>
            <w:tcW w:w="940" w:type="dxa"/>
            <w:vAlign w:val="bottom"/>
            <w:gridSpan w:val="3"/>
          </w:tcPr>
          <w:p>
            <w:pPr>
              <w:jc w:val="center"/>
              <w:ind w:left="10"/>
              <w:spacing w:after="0"/>
              <w:rPr>
                <w:sz w:val="20"/>
                <w:szCs w:val="20"/>
                <w:color w:val="auto"/>
              </w:rPr>
            </w:pPr>
            <w:r>
              <w:rPr>
                <w:rFonts w:ascii="Arial" w:cs="Arial" w:eastAsia="Arial" w:hAnsi="Arial"/>
                <w:sz w:val="18"/>
                <w:szCs w:val="18"/>
                <w:color w:val="auto"/>
                <w:w w:val="97"/>
              </w:rPr>
              <w:t>3,746</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53.3</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37.6</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40.1</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49.3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40" w:type="dxa"/>
            <w:vAlign w:val="bottom"/>
          </w:tcPr>
          <w:p>
            <w:pPr>
              <w:ind w:left="200"/>
              <w:spacing w:after="0"/>
              <w:rPr>
                <w:sz w:val="20"/>
                <w:szCs w:val="20"/>
                <w:color w:val="auto"/>
              </w:rPr>
            </w:pPr>
            <w:r>
              <w:rPr>
                <w:rFonts w:ascii="Arial" w:cs="Arial" w:eastAsia="Arial" w:hAnsi="Arial"/>
                <w:sz w:val="18"/>
                <w:szCs w:val="18"/>
                <w:color w:val="auto"/>
              </w:rPr>
              <w:t>Humira</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1,546</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755</w:t>
            </w:r>
          </w:p>
        </w:tc>
        <w:tc>
          <w:tcPr>
            <w:tcW w:w="260" w:type="dxa"/>
            <w:vAlign w:val="bottom"/>
          </w:tcPr>
          <w:p>
            <w:pPr>
              <w:spacing w:after="0"/>
              <w:rPr>
                <w:sz w:val="20"/>
                <w:szCs w:val="20"/>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color w:val="auto"/>
                <w:w w:val="97"/>
              </w:rPr>
              <w:t>2,301</w:t>
            </w: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(62.6)</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(20.8)</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(54.7)</w:t>
            </w:r>
          </w:p>
        </w:tc>
        <w:tc>
          <w:tcPr>
            <w:tcW w:w="20" w:type="dxa"/>
            <w:vAlign w:val="bottom"/>
            <w:shd w:val="clear" w:color="auto" w:fill="000000"/>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(18.4)</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7"/>
              </w:rPr>
              <w:t>(54.3)</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40" w:type="dxa"/>
            <w:vAlign w:val="bottom"/>
          </w:tcPr>
          <w:p>
            <w:pPr>
              <w:spacing w:after="0"/>
              <w:rPr>
                <w:sz w:val="20"/>
                <w:szCs w:val="20"/>
                <w:color w:val="auto"/>
              </w:rPr>
            </w:pPr>
            <w:r>
              <w:rPr>
                <w:rFonts w:ascii="Arial" w:cs="Arial" w:eastAsia="Arial" w:hAnsi="Arial"/>
                <w:sz w:val="18"/>
                <w:szCs w:val="18"/>
                <w:b w:val="1"/>
                <w:bCs w:val="1"/>
                <w:color w:val="auto"/>
              </w:rPr>
              <w:t>Neuroscience</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4,305</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660</w:t>
            </w:r>
          </w:p>
        </w:tc>
        <w:tc>
          <w:tcPr>
            <w:tcW w:w="260" w:type="dxa"/>
            <w:vAlign w:val="bottom"/>
          </w:tcPr>
          <w:p>
            <w:pPr>
              <w:spacing w:after="0"/>
              <w:rPr>
                <w:sz w:val="23"/>
                <w:szCs w:val="23"/>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7"/>
              </w:rPr>
              <w:t>4,965</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19.3</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rPr>
              <w:t>27.4</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rPr>
              <w:t>20.3</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rPr>
              <w:t>29.8</w:t>
            </w:r>
          </w:p>
        </w:tc>
        <w:tc>
          <w:tcPr>
            <w:tcW w:w="300" w:type="dxa"/>
            <w:vAlign w:val="bottom"/>
          </w:tcPr>
          <w:p>
            <w:pPr>
              <w:spacing w:after="0"/>
              <w:rPr>
                <w:sz w:val="23"/>
                <w:szCs w:val="23"/>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6"/>
              </w:rPr>
              <w:t>20.6</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Vraylar</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1,661</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w:t>
            </w:r>
          </w:p>
        </w:tc>
        <w:tc>
          <w:tcPr>
            <w:tcW w:w="260" w:type="dxa"/>
            <w:vAlign w:val="bottom"/>
          </w:tcPr>
          <w:p>
            <w:pPr>
              <w:spacing w:after="0"/>
              <w:rPr>
                <w:sz w:val="19"/>
                <w:szCs w:val="19"/>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color w:val="auto"/>
                <w:w w:val="97"/>
              </w:rPr>
              <w:t>1,665</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13.4</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41.8</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47.4</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13.5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Botox Therapeutic</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1,498</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296</w:t>
            </w:r>
          </w:p>
        </w:tc>
        <w:tc>
          <w:tcPr>
            <w:tcW w:w="260" w:type="dxa"/>
            <w:vAlign w:val="bottom"/>
          </w:tcPr>
          <w:p>
            <w:pPr>
              <w:spacing w:after="0"/>
              <w:rPr>
                <w:sz w:val="19"/>
                <w:szCs w:val="19"/>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color w:val="auto"/>
                <w:w w:val="97"/>
              </w:rPr>
              <w:t>1,794</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17.0</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5.2</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8.6</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15.5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Ubrelvy</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563</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15</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578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33.0</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rPr>
              <w:t>46.7</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51.2</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33.4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Qulipta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409</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51</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460</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49.5</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63.6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&gt;100.0</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63.6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Vyalev</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28</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133</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161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n/m</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&gt;100.0</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Duodopa</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40</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153</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193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(16.6)</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(14.9)</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(15.2)</w:t>
            </w: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(14.0)</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7"/>
              </w:rPr>
              <w:t>(14.5)</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40" w:type="dxa"/>
            <w:vAlign w:val="bottom"/>
          </w:tcPr>
          <w:p>
            <w:pPr>
              <w:ind w:left="200"/>
              <w:spacing w:after="0"/>
              <w:rPr>
                <w:sz w:val="20"/>
                <w:szCs w:val="20"/>
                <w:color w:val="auto"/>
              </w:rPr>
            </w:pPr>
            <w:r>
              <w:rPr>
                <w:rFonts w:ascii="Arial" w:cs="Arial" w:eastAsia="Arial" w:hAnsi="Arial"/>
                <w:sz w:val="18"/>
                <w:szCs w:val="18"/>
                <w:color w:val="auto"/>
              </w:rPr>
              <w:t>Other Neuroscience</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106</w:t>
            </w:r>
          </w:p>
        </w:tc>
        <w:tc>
          <w:tcPr>
            <w:tcW w:w="340" w:type="dxa"/>
            <w:vAlign w:val="bottom"/>
          </w:tcPr>
          <w:p>
            <w:pPr>
              <w:spacing w:after="0"/>
              <w:rPr>
                <w:sz w:val="20"/>
                <w:szCs w:val="20"/>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8</w:t>
            </w:r>
          </w:p>
        </w:tc>
        <w:tc>
          <w:tcPr>
            <w:tcW w:w="260" w:type="dxa"/>
            <w:vAlign w:val="bottom"/>
          </w:tcPr>
          <w:p>
            <w:pPr>
              <w:spacing w:after="0"/>
              <w:rPr>
                <w:sz w:val="20"/>
                <w:szCs w:val="20"/>
                <w:color w:val="auto"/>
              </w:rPr>
            </w:pPr>
          </w:p>
        </w:tc>
        <w:tc>
          <w:tcPr>
            <w:tcW w:w="72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114</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(10.4)</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(12.7)</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(10.5)</w:t>
            </w:r>
          </w:p>
        </w:tc>
        <w:tc>
          <w:tcPr>
            <w:tcW w:w="20" w:type="dxa"/>
            <w:vAlign w:val="bottom"/>
            <w:shd w:val="clear" w:color="auto" w:fill="000000"/>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7"/>
              </w:rPr>
              <w:t>(8.1)</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7"/>
              </w:rPr>
              <w:t>(10.2)</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40" w:type="dxa"/>
            <w:vAlign w:val="bottom"/>
          </w:tcPr>
          <w:p>
            <w:pPr>
              <w:spacing w:after="0"/>
              <w:rPr>
                <w:sz w:val="20"/>
                <w:szCs w:val="20"/>
                <w:color w:val="auto"/>
              </w:rPr>
            </w:pPr>
            <w:r>
              <w:rPr>
                <w:rFonts w:ascii="Arial" w:cs="Arial" w:eastAsia="Arial" w:hAnsi="Arial"/>
                <w:sz w:val="18"/>
                <w:szCs w:val="18"/>
                <w:b w:val="1"/>
                <w:bCs w:val="1"/>
                <w:color w:val="auto"/>
              </w:rPr>
              <w:t>Oncology</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2,053</w:t>
            </w:r>
          </w:p>
        </w:tc>
        <w:tc>
          <w:tcPr>
            <w:tcW w:w="900" w:type="dxa"/>
            <w:vAlign w:val="bottom"/>
            <w:gridSpan w:val="3"/>
          </w:tcPr>
          <w:p>
            <w:pPr>
              <w:jc w:val="center"/>
              <w:spacing w:after="0"/>
              <w:rPr>
                <w:sz w:val="20"/>
                <w:szCs w:val="20"/>
                <w:color w:val="auto"/>
              </w:rPr>
            </w:pPr>
            <w:r>
              <w:rPr>
                <w:rFonts w:ascii="Arial" w:cs="Arial" w:eastAsia="Arial" w:hAnsi="Arial"/>
                <w:sz w:val="18"/>
                <w:szCs w:val="18"/>
                <w:b w:val="1"/>
                <w:bCs w:val="1"/>
                <w:color w:val="auto"/>
              </w:rPr>
              <w:t>1,256</w:t>
            </w:r>
          </w:p>
        </w:tc>
        <w:tc>
          <w:tcPr>
            <w:tcW w:w="9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7"/>
              </w:rPr>
              <w:t>3,309</w:t>
            </w: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2.4</w:t>
            </w:r>
          </w:p>
        </w:tc>
        <w:tc>
          <w:tcPr>
            <w:tcW w:w="220" w:type="dxa"/>
            <w:vAlign w:val="bottom"/>
          </w:tcPr>
          <w:p>
            <w:pPr>
              <w:spacing w:after="0"/>
              <w:rPr>
                <w:sz w:val="23"/>
                <w:szCs w:val="23"/>
                <w:color w:val="auto"/>
              </w:rPr>
            </w:pPr>
          </w:p>
        </w:tc>
        <w:tc>
          <w:tcPr>
            <w:tcW w:w="7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95"/>
              </w:rPr>
              <w:t>7.1</w:t>
            </w:r>
          </w:p>
        </w:tc>
        <w:tc>
          <w:tcPr>
            <w:tcW w:w="360" w:type="dxa"/>
            <w:vAlign w:val="bottom"/>
          </w:tcPr>
          <w:p>
            <w:pPr>
              <w:spacing w:after="0"/>
              <w:rPr>
                <w:sz w:val="23"/>
                <w:szCs w:val="23"/>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5"/>
              </w:rPr>
              <w:t>4.2</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9.1</w:t>
            </w:r>
          </w:p>
        </w:tc>
        <w:tc>
          <w:tcPr>
            <w:tcW w:w="300" w:type="dxa"/>
            <w:vAlign w:val="bottom"/>
          </w:tcPr>
          <w:p>
            <w:pPr>
              <w:spacing w:after="0"/>
              <w:rPr>
                <w:sz w:val="23"/>
                <w:szCs w:val="23"/>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5.0</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line="230" w:lineRule="exact"/>
              <w:rPr>
                <w:sz w:val="20"/>
                <w:szCs w:val="20"/>
                <w:color w:val="auto"/>
              </w:rPr>
            </w:pPr>
            <w:r>
              <w:rPr>
                <w:rFonts w:ascii="Arial" w:cs="Arial" w:eastAsia="Arial" w:hAnsi="Arial"/>
                <w:sz w:val="18"/>
                <w:szCs w:val="18"/>
                <w:color w:val="auto"/>
              </w:rPr>
              <w:t>Imbruvica</w:t>
            </w:r>
            <w:r>
              <w:rPr>
                <w:rFonts w:ascii="Arial" w:cs="Arial" w:eastAsia="Arial" w:hAnsi="Arial"/>
                <w:sz w:val="23"/>
                <w:szCs w:val="23"/>
                <w:color w:val="auto"/>
                <w:vertAlign w:val="superscript"/>
              </w:rPr>
              <w:t>b</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color w:val="auto"/>
              </w:rPr>
              <w:t>1,072</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420</w:t>
            </w:r>
          </w:p>
        </w:tc>
        <w:tc>
          <w:tcPr>
            <w:tcW w:w="260" w:type="dxa"/>
            <w:vAlign w:val="bottom"/>
          </w:tcPr>
          <w:p>
            <w:pPr>
              <w:spacing w:after="0"/>
              <w:rPr>
                <w:sz w:val="19"/>
                <w:szCs w:val="19"/>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color w:val="auto"/>
                <w:w w:val="97"/>
              </w:rPr>
              <w:t>1,492</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w w:val="93"/>
              </w:rPr>
              <w:t>(11.1)</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7"/>
              </w:rPr>
              <w:t>(9.7)</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(10.7)</w:t>
            </w: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7"/>
              </w:rPr>
              <w:t>(9.7)</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7"/>
              </w:rPr>
              <w:t>(10.7)</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Venclexta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633</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723</w:t>
            </w:r>
          </w:p>
        </w:tc>
        <w:tc>
          <w:tcPr>
            <w:tcW w:w="260" w:type="dxa"/>
            <w:vAlign w:val="bottom"/>
          </w:tcPr>
          <w:p>
            <w:pPr>
              <w:spacing w:after="0"/>
              <w:rPr>
                <w:sz w:val="19"/>
                <w:szCs w:val="19"/>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color w:val="auto"/>
                <w:w w:val="97"/>
              </w:rPr>
              <w:t>1,356</w:t>
            </w: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9.1</w:t>
            </w:r>
          </w:p>
        </w:tc>
        <w:tc>
          <w:tcPr>
            <w:tcW w:w="220" w:type="dxa"/>
            <w:vAlign w:val="bottom"/>
          </w:tcPr>
          <w:p>
            <w:pPr>
              <w:spacing w:after="0"/>
              <w:rPr>
                <w:sz w:val="19"/>
                <w:szCs w:val="19"/>
                <w:color w:val="auto"/>
              </w:rPr>
            </w:pP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7.8</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8.4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30"/>
              <w:spacing w:after="0"/>
              <w:rPr>
                <w:sz w:val="20"/>
                <w:szCs w:val="20"/>
                <w:color w:val="auto"/>
              </w:rPr>
            </w:pPr>
            <w:r>
              <w:rPr>
                <w:rFonts w:ascii="Arial" w:cs="Arial" w:eastAsia="Arial" w:hAnsi="Arial"/>
                <w:sz w:val="18"/>
                <w:szCs w:val="18"/>
                <w:color w:val="auto"/>
                <w:w w:val="96"/>
              </w:rPr>
              <w:t>11.3</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10.3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Elahere</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303</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35</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338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57.5</w:t>
            </w:r>
          </w:p>
        </w:tc>
        <w:tc>
          <w:tcPr>
            <w:tcW w:w="380" w:type="dxa"/>
            <w:vAlign w:val="bottom"/>
          </w:tcPr>
          <w:p>
            <w:pPr>
              <w:spacing w:after="0"/>
              <w:rPr>
                <w:sz w:val="19"/>
                <w:szCs w:val="19"/>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n/m</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75.5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n/m</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75.5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line="230" w:lineRule="exact"/>
              <w:rPr>
                <w:sz w:val="20"/>
                <w:szCs w:val="20"/>
                <w:color w:val="auto"/>
              </w:rPr>
            </w:pPr>
            <w:r>
              <w:rPr>
                <w:rFonts w:ascii="Arial" w:cs="Arial" w:eastAsia="Arial" w:hAnsi="Arial"/>
                <w:sz w:val="18"/>
                <w:szCs w:val="18"/>
                <w:color w:val="auto"/>
              </w:rPr>
              <w:t>Epkinly</w:t>
            </w:r>
            <w:r>
              <w:rPr>
                <w:rFonts w:ascii="Arial" w:cs="Arial" w:eastAsia="Arial" w:hAnsi="Arial"/>
                <w:sz w:val="23"/>
                <w:szCs w:val="23"/>
                <w:color w:val="auto"/>
                <w:vertAlign w:val="superscript"/>
              </w:rPr>
              <w:t>c</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43</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78</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121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61.8</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&gt;100.0</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92.1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&gt;100.0</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93.3</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40" w:type="dxa"/>
            <w:vAlign w:val="bottom"/>
          </w:tcPr>
          <w:p>
            <w:pPr>
              <w:ind w:left="200"/>
              <w:spacing w:after="0"/>
              <w:rPr>
                <w:sz w:val="20"/>
                <w:szCs w:val="20"/>
                <w:color w:val="auto"/>
              </w:rPr>
            </w:pPr>
            <w:r>
              <w:rPr>
                <w:rFonts w:ascii="Arial" w:cs="Arial" w:eastAsia="Arial" w:hAnsi="Arial"/>
                <w:sz w:val="18"/>
                <w:szCs w:val="18"/>
                <w:color w:val="auto"/>
              </w:rPr>
              <w:t>Other Oncology</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n/m</w:t>
            </w:r>
          </w:p>
        </w:tc>
        <w:tc>
          <w:tcPr>
            <w:tcW w:w="380" w:type="dxa"/>
            <w:vAlign w:val="bottom"/>
          </w:tcPr>
          <w:p>
            <w:pPr>
              <w:spacing w:after="0"/>
              <w:rPr>
                <w:sz w:val="20"/>
                <w:szCs w:val="20"/>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n/m</w:t>
            </w:r>
          </w:p>
        </w:tc>
        <w:tc>
          <w:tcPr>
            <w:tcW w:w="20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n/m</w:t>
            </w:r>
          </w:p>
        </w:tc>
        <w:tc>
          <w:tcPr>
            <w:tcW w:w="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n/m</w:t>
            </w:r>
          </w:p>
        </w:tc>
        <w:tc>
          <w:tcPr>
            <w:tcW w:w="260" w:type="dxa"/>
            <w:vAlign w:val="bottom"/>
          </w:tcPr>
          <w:p>
            <w:pPr>
              <w:spacing w:after="0"/>
              <w:rPr>
                <w:sz w:val="20"/>
                <w:szCs w:val="20"/>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n/m</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40" w:type="dxa"/>
            <w:vAlign w:val="bottom"/>
          </w:tcPr>
          <w:p>
            <w:pPr>
              <w:spacing w:after="0"/>
              <w:rPr>
                <w:sz w:val="20"/>
                <w:szCs w:val="20"/>
                <w:color w:val="auto"/>
              </w:rPr>
            </w:pPr>
            <w:r>
              <w:rPr>
                <w:rFonts w:ascii="Arial" w:cs="Arial" w:eastAsia="Arial" w:hAnsi="Arial"/>
                <w:sz w:val="18"/>
                <w:szCs w:val="18"/>
                <w:b w:val="1"/>
                <w:bCs w:val="1"/>
                <w:color w:val="auto"/>
              </w:rPr>
              <w:t>Aesthetics</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1,437</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944</w:t>
            </w:r>
          </w:p>
        </w:tc>
        <w:tc>
          <w:tcPr>
            <w:tcW w:w="260" w:type="dxa"/>
            <w:vAlign w:val="bottom"/>
          </w:tcPr>
          <w:p>
            <w:pPr>
              <w:spacing w:after="0"/>
              <w:rPr>
                <w:sz w:val="23"/>
                <w:szCs w:val="23"/>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7"/>
              </w:rPr>
              <w:t>2,381</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(12.3)</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(5.6)</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7"/>
              </w:rPr>
              <w:t>(9.8)</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(3.6)</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(9.0)</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Botox Cosmetic</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705</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543</w:t>
            </w:r>
          </w:p>
        </w:tc>
        <w:tc>
          <w:tcPr>
            <w:tcW w:w="260" w:type="dxa"/>
            <w:vAlign w:val="bottom"/>
          </w:tcPr>
          <w:p>
            <w:pPr>
              <w:spacing w:after="0"/>
              <w:rPr>
                <w:sz w:val="19"/>
                <w:szCs w:val="19"/>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color w:val="auto"/>
                <w:w w:val="97"/>
              </w:rPr>
              <w:t>1,248</w:t>
            </w: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(15.9)</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3.7</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(8.4)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5.8</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Juvederm Collection</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180</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311</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491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(25.9)</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(21.5)</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(23.2)</w:t>
            </w: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rPr>
              <w:t>(19.8)</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7"/>
              </w:rPr>
              <w:t>(22.2)</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40" w:type="dxa"/>
            <w:vAlign w:val="bottom"/>
          </w:tcPr>
          <w:p>
            <w:pPr>
              <w:ind w:left="200"/>
              <w:spacing w:after="0"/>
              <w:rPr>
                <w:sz w:val="20"/>
                <w:szCs w:val="20"/>
                <w:color w:val="auto"/>
              </w:rPr>
            </w:pPr>
            <w:r>
              <w:rPr>
                <w:rFonts w:ascii="Arial" w:cs="Arial" w:eastAsia="Arial" w:hAnsi="Arial"/>
                <w:sz w:val="18"/>
                <w:szCs w:val="18"/>
                <w:color w:val="auto"/>
              </w:rPr>
              <w:t>Other Aesthetics</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552</w:t>
            </w:r>
          </w:p>
        </w:tc>
        <w:tc>
          <w:tcPr>
            <w:tcW w:w="340" w:type="dxa"/>
            <w:vAlign w:val="bottom"/>
          </w:tcPr>
          <w:p>
            <w:pPr>
              <w:spacing w:after="0"/>
              <w:rPr>
                <w:sz w:val="20"/>
                <w:szCs w:val="20"/>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90</w:t>
            </w:r>
          </w:p>
        </w:tc>
        <w:tc>
          <w:tcPr>
            <w:tcW w:w="260" w:type="dxa"/>
            <w:vAlign w:val="bottom"/>
          </w:tcPr>
          <w:p>
            <w:pPr>
              <w:spacing w:after="0"/>
              <w:rPr>
                <w:sz w:val="20"/>
                <w:szCs w:val="20"/>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642</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w w:val="97"/>
              </w:rPr>
              <w:t>(1.0)</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11.7</w:t>
            </w:r>
          </w:p>
        </w:tc>
        <w:tc>
          <w:tcPr>
            <w:tcW w:w="360" w:type="dxa"/>
            <w:vAlign w:val="bottom"/>
          </w:tcPr>
          <w:p>
            <w:pPr>
              <w:spacing w:after="0"/>
              <w:rPr>
                <w:sz w:val="20"/>
                <w:szCs w:val="20"/>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0.6</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20"/>
                <w:szCs w:val="20"/>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40" w:type="dxa"/>
            <w:vAlign w:val="bottom"/>
          </w:tcPr>
          <w:p>
            <w:pPr>
              <w:spacing w:after="0"/>
              <w:rPr>
                <w:sz w:val="20"/>
                <w:szCs w:val="20"/>
                <w:color w:val="auto"/>
              </w:rPr>
            </w:pPr>
            <w:r>
              <w:rPr>
                <w:rFonts w:ascii="Arial" w:cs="Arial" w:eastAsia="Arial" w:hAnsi="Arial"/>
                <w:sz w:val="18"/>
                <w:szCs w:val="18"/>
                <w:b w:val="1"/>
                <w:bCs w:val="1"/>
                <w:color w:val="auto"/>
              </w:rPr>
              <w:t>Eye Care</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447</w:t>
            </w:r>
          </w:p>
        </w:tc>
        <w:tc>
          <w:tcPr>
            <w:tcW w:w="340" w:type="dxa"/>
            <w:vAlign w:val="bottom"/>
          </w:tcPr>
          <w:p>
            <w:pPr>
              <w:spacing w:after="0"/>
              <w:rPr>
                <w:sz w:val="23"/>
                <w:szCs w:val="23"/>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573</w:t>
            </w:r>
          </w:p>
        </w:tc>
        <w:tc>
          <w:tcPr>
            <w:tcW w:w="260" w:type="dxa"/>
            <w:vAlign w:val="bottom"/>
          </w:tcPr>
          <w:p>
            <w:pPr>
              <w:spacing w:after="0"/>
              <w:rPr>
                <w:sz w:val="23"/>
                <w:szCs w:val="23"/>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7"/>
              </w:rPr>
              <w:t>1,020</w:t>
            </w:r>
          </w:p>
        </w:tc>
        <w:tc>
          <w:tcPr>
            <w:tcW w:w="20" w:type="dxa"/>
            <w:vAlign w:val="bottom"/>
            <w:shd w:val="clear" w:color="auto" w:fill="000000"/>
          </w:tcPr>
          <w:p>
            <w:pPr>
              <w:spacing w:after="0"/>
              <w:rPr>
                <w:sz w:val="23"/>
                <w:szCs w:val="23"/>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7"/>
              </w:rPr>
              <w:t>(4.2)</w:t>
            </w: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(5.3)</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7"/>
              </w:rPr>
              <w:t>(4.8)</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7"/>
              </w:rPr>
              <w:t>(1.8)</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(2.8)</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Ozurdex</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60</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188</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248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(12.4)</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0.8</w:t>
            </w:r>
          </w:p>
        </w:tc>
        <w:tc>
          <w:tcPr>
            <w:tcW w:w="360" w:type="dxa"/>
            <w:vAlign w:val="bottom"/>
          </w:tcPr>
          <w:p>
            <w:pPr>
              <w:spacing w:after="0"/>
              <w:rPr>
                <w:sz w:val="19"/>
                <w:szCs w:val="19"/>
                <w:color w:val="auto"/>
              </w:rPr>
            </w:pP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(2.8)</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2.7</w:t>
            </w:r>
          </w:p>
        </w:tc>
        <w:tc>
          <w:tcPr>
            <w:tcW w:w="300" w:type="dxa"/>
            <w:vAlign w:val="bottom"/>
          </w:tcPr>
          <w:p>
            <w:pPr>
              <w:spacing w:after="0"/>
              <w:rPr>
                <w:sz w:val="19"/>
                <w:szCs w:val="19"/>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40" w:type="dxa"/>
            <w:vAlign w:val="bottom"/>
          </w:tcPr>
          <w:p>
            <w:pPr>
              <w:ind w:left="200"/>
              <w:spacing w:after="0"/>
              <w:rPr>
                <w:sz w:val="20"/>
                <w:szCs w:val="20"/>
                <w:color w:val="auto"/>
              </w:rPr>
            </w:pPr>
            <w:r>
              <w:rPr>
                <w:rFonts w:ascii="Arial" w:cs="Arial" w:eastAsia="Arial" w:hAnsi="Arial"/>
                <w:sz w:val="18"/>
                <w:szCs w:val="18"/>
                <w:color w:val="auto"/>
              </w:rPr>
              <w:t>Lumigan/Ganfort</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100</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109</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209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39.4</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3"/>
              </w:rPr>
              <w:t>(11.0)</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7.5</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7"/>
              </w:rPr>
              <w:t>(7.7)</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Alphagan/Combigan</w:t>
            </w:r>
          </w:p>
        </w:tc>
        <w:tc>
          <w:tcPr>
            <w:tcW w:w="6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26</w:t>
            </w:r>
          </w:p>
        </w:tc>
        <w:tc>
          <w:tcPr>
            <w:tcW w:w="340" w:type="dxa"/>
            <w:vAlign w:val="bottom"/>
          </w:tcPr>
          <w:p>
            <w:pPr>
              <w:spacing w:after="0"/>
              <w:rPr>
                <w:sz w:val="19"/>
                <w:szCs w:val="19"/>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70</w:t>
            </w:r>
          </w:p>
        </w:tc>
        <w:tc>
          <w:tcPr>
            <w:tcW w:w="260" w:type="dxa"/>
            <w:vAlign w:val="bottom"/>
          </w:tcPr>
          <w:p>
            <w:pPr>
              <w:spacing w:after="0"/>
              <w:rPr>
                <w:sz w:val="19"/>
                <w:szCs w:val="19"/>
                <w:color w:val="auto"/>
              </w:rPr>
            </w:pPr>
          </w:p>
        </w:tc>
        <w:tc>
          <w:tcPr>
            <w:tcW w:w="720" w:type="dxa"/>
            <w:vAlign w:val="bottom"/>
            <w:gridSpan w:val="2"/>
          </w:tcPr>
          <w:p>
            <w:pPr>
              <w:jc w:val="center"/>
              <w:ind w:left="230"/>
              <w:spacing w:after="0"/>
              <w:rPr>
                <w:sz w:val="20"/>
                <w:szCs w:val="20"/>
                <w:color w:val="auto"/>
              </w:rPr>
            </w:pPr>
            <w:r>
              <w:rPr>
                <w:rFonts w:ascii="Arial" w:cs="Arial" w:eastAsia="Arial" w:hAnsi="Arial"/>
                <w:sz w:val="18"/>
                <w:szCs w:val="18"/>
                <w:color w:val="auto"/>
                <w:w w:val="99"/>
              </w:rPr>
              <w:t>96</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w w:val="97"/>
              </w:rPr>
              <w:t>(3.6)</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(13.1)</w:t>
            </w: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(10.6)</w:t>
            </w: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7"/>
              </w:rPr>
              <w:t>(8.5)</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40" w:type="dxa"/>
            <w:vAlign w:val="bottom"/>
          </w:tcPr>
          <w:p>
            <w:pPr>
              <w:ind w:left="200"/>
              <w:spacing w:after="0"/>
              <w:rPr>
                <w:sz w:val="20"/>
                <w:szCs w:val="20"/>
                <w:color w:val="auto"/>
              </w:rPr>
            </w:pPr>
            <w:r>
              <w:rPr>
                <w:rFonts w:ascii="Arial" w:cs="Arial" w:eastAsia="Arial" w:hAnsi="Arial"/>
                <w:sz w:val="18"/>
                <w:szCs w:val="18"/>
                <w:color w:val="auto"/>
              </w:rPr>
              <w:t>Other Eye Care</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261</w:t>
            </w:r>
          </w:p>
        </w:tc>
        <w:tc>
          <w:tcPr>
            <w:tcW w:w="340" w:type="dxa"/>
            <w:vAlign w:val="bottom"/>
          </w:tcPr>
          <w:p>
            <w:pPr>
              <w:spacing w:after="0"/>
              <w:rPr>
                <w:sz w:val="20"/>
                <w:szCs w:val="20"/>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206</w:t>
            </w:r>
          </w:p>
        </w:tc>
        <w:tc>
          <w:tcPr>
            <w:tcW w:w="260" w:type="dxa"/>
            <w:vAlign w:val="bottom"/>
          </w:tcPr>
          <w:p>
            <w:pPr>
              <w:spacing w:after="0"/>
              <w:rPr>
                <w:sz w:val="20"/>
                <w:szCs w:val="20"/>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467</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(12.8)</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7"/>
              </w:rPr>
              <w:t>(4.4)</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(9.3)</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0.3</w:t>
            </w:r>
          </w:p>
        </w:tc>
        <w:tc>
          <w:tcPr>
            <w:tcW w:w="300" w:type="dxa"/>
            <w:vAlign w:val="bottom"/>
          </w:tcPr>
          <w:p>
            <w:pPr>
              <w:spacing w:after="0"/>
              <w:rPr>
                <w:sz w:val="20"/>
                <w:szCs w:val="20"/>
                <w:color w:val="auto"/>
              </w:rPr>
            </w:pP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640" w:type="dxa"/>
            <w:vAlign w:val="bottom"/>
          </w:tcPr>
          <w:p>
            <w:pPr>
              <w:spacing w:after="0"/>
              <w:rPr>
                <w:sz w:val="20"/>
                <w:szCs w:val="20"/>
                <w:color w:val="auto"/>
              </w:rPr>
            </w:pPr>
            <w:r>
              <w:rPr>
                <w:rFonts w:ascii="Arial" w:cs="Arial" w:eastAsia="Arial" w:hAnsi="Arial"/>
                <w:sz w:val="18"/>
                <w:szCs w:val="18"/>
                <w:b w:val="1"/>
                <w:bCs w:val="1"/>
                <w:color w:val="auto"/>
              </w:rPr>
              <w:t>Other Key Products</w:t>
            </w:r>
          </w:p>
        </w:tc>
        <w:tc>
          <w:tcPr>
            <w:tcW w:w="9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rPr>
              <w:t>1,471</w:t>
            </w:r>
          </w:p>
        </w:tc>
        <w:tc>
          <w:tcPr>
            <w:tcW w:w="6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99"/>
              </w:rPr>
              <w:t>375</w:t>
            </w:r>
          </w:p>
        </w:tc>
        <w:tc>
          <w:tcPr>
            <w:tcW w:w="260" w:type="dxa"/>
            <w:vAlign w:val="bottom"/>
          </w:tcPr>
          <w:p>
            <w:pPr>
              <w:spacing w:after="0"/>
              <w:rPr>
                <w:sz w:val="23"/>
                <w:szCs w:val="23"/>
                <w:color w:val="auto"/>
              </w:rPr>
            </w:pPr>
          </w:p>
        </w:tc>
        <w:tc>
          <w:tcPr>
            <w:tcW w:w="9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7"/>
              </w:rPr>
              <w:t>1,846</w:t>
            </w:r>
          </w:p>
        </w:tc>
        <w:tc>
          <w:tcPr>
            <w:tcW w:w="20" w:type="dxa"/>
            <w:vAlign w:val="bottom"/>
            <w:shd w:val="clear" w:color="auto" w:fill="000000"/>
          </w:tcPr>
          <w:p>
            <w:pPr>
              <w:spacing w:after="0"/>
              <w:rPr>
                <w:sz w:val="23"/>
                <w:szCs w:val="23"/>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b w:val="1"/>
                <w:bCs w:val="1"/>
                <w:color w:val="auto"/>
                <w:w w:val="95"/>
              </w:rPr>
              <w:t>2.5</w:t>
            </w:r>
          </w:p>
        </w:tc>
        <w:tc>
          <w:tcPr>
            <w:tcW w:w="220" w:type="dxa"/>
            <w:vAlign w:val="bottom"/>
          </w:tcPr>
          <w:p>
            <w:pPr>
              <w:spacing w:after="0"/>
              <w:rPr>
                <w:sz w:val="23"/>
                <w:szCs w:val="23"/>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rPr>
              <w:t>(12.0)</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7"/>
              </w:rPr>
              <w:t>(0.8)</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b w:val="1"/>
                <w:bCs w:val="1"/>
                <w:color w:val="auto"/>
              </w:rPr>
              <w:t>(10.4)</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rPr>
              <w:t>(0.4)</w:t>
            </w:r>
          </w:p>
        </w:tc>
        <w:tc>
          <w:tcPr>
            <w:tcW w:w="22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Mavyret</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326</w:t>
            </w:r>
          </w:p>
        </w:tc>
        <w:tc>
          <w:tcPr>
            <w:tcW w:w="340" w:type="dxa"/>
            <w:vAlign w:val="bottom"/>
          </w:tcPr>
          <w:p>
            <w:pPr>
              <w:spacing w:after="0"/>
              <w:rPr>
                <w:sz w:val="19"/>
                <w:szCs w:val="19"/>
                <w:color w:val="auto"/>
              </w:rPr>
            </w:pPr>
          </w:p>
        </w:tc>
        <w:tc>
          <w:tcPr>
            <w:tcW w:w="6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355</w:t>
            </w:r>
          </w:p>
        </w:tc>
        <w:tc>
          <w:tcPr>
            <w:tcW w:w="260" w:type="dxa"/>
            <w:vAlign w:val="bottom"/>
          </w:tcPr>
          <w:p>
            <w:pPr>
              <w:spacing w:after="0"/>
              <w:rPr>
                <w:sz w:val="19"/>
                <w:szCs w:val="19"/>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681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4.9</w:t>
            </w:r>
          </w:p>
        </w:tc>
        <w:tc>
          <w:tcPr>
            <w:tcW w:w="220" w:type="dxa"/>
            <w:vAlign w:val="bottom"/>
          </w:tcPr>
          <w:p>
            <w:pPr>
              <w:spacing w:after="0"/>
              <w:rPr>
                <w:sz w:val="19"/>
                <w:szCs w:val="19"/>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(12.8)</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w w:val="97"/>
              </w:rPr>
              <w:t>(5.1)</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7"/>
              </w:rPr>
              <w:t>(11.2)</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00"/>
              <w:spacing w:after="0"/>
              <w:rPr>
                <w:sz w:val="20"/>
                <w:szCs w:val="20"/>
                <w:color w:val="auto"/>
              </w:rPr>
            </w:pPr>
            <w:r>
              <w:rPr>
                <w:rFonts w:ascii="Arial" w:cs="Arial" w:eastAsia="Arial" w:hAnsi="Arial"/>
                <w:sz w:val="18"/>
                <w:szCs w:val="18"/>
                <w:color w:val="auto"/>
              </w:rPr>
              <w:t>Creon</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759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759</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15.4</w:t>
            </w:r>
          </w:p>
        </w:tc>
        <w:tc>
          <w:tcPr>
            <w:tcW w:w="380" w:type="dxa"/>
            <w:vAlign w:val="bottom"/>
          </w:tcPr>
          <w:p>
            <w:pPr>
              <w:spacing w:after="0"/>
              <w:rPr>
                <w:sz w:val="19"/>
                <w:szCs w:val="19"/>
                <w:color w:val="auto"/>
              </w:rPr>
            </w:pPr>
          </w:p>
        </w:tc>
        <w:tc>
          <w:tcPr>
            <w:tcW w:w="7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n/m</w:t>
            </w:r>
          </w:p>
        </w:tc>
        <w:tc>
          <w:tcPr>
            <w:tcW w:w="620" w:type="dxa"/>
            <w:vAlign w:val="bottom"/>
            <w:gridSpan w:val="2"/>
          </w:tcPr>
          <w:p>
            <w:pPr>
              <w:jc w:val="center"/>
              <w:ind w:left="130"/>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n/m</w:t>
            </w:r>
          </w:p>
        </w:tc>
        <w:tc>
          <w:tcPr>
            <w:tcW w:w="680" w:type="dxa"/>
            <w:vAlign w:val="bottom"/>
            <w:gridSpan w:val="2"/>
          </w:tcPr>
          <w:p>
            <w:pPr>
              <w:jc w:val="center"/>
              <w:ind w:left="170"/>
              <w:spacing w:after="0"/>
              <w:rPr>
                <w:sz w:val="20"/>
                <w:szCs w:val="20"/>
                <w:color w:val="auto"/>
              </w:rPr>
            </w:pPr>
            <w:r>
              <w:rPr>
                <w:rFonts w:ascii="Arial" w:cs="Arial" w:eastAsia="Arial" w:hAnsi="Arial"/>
                <w:sz w:val="18"/>
                <w:szCs w:val="18"/>
                <w:color w:val="auto"/>
                <w:w w:val="96"/>
              </w:rPr>
              <w:t>15.4</w:t>
            </w:r>
          </w:p>
        </w:tc>
        <w:tc>
          <w:tcPr>
            <w:tcW w:w="22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40" w:type="dxa"/>
            <w:vAlign w:val="bottom"/>
          </w:tcPr>
          <w:p>
            <w:pPr>
              <w:ind w:left="200"/>
              <w:spacing w:after="0"/>
              <w:rPr>
                <w:sz w:val="20"/>
                <w:szCs w:val="20"/>
                <w:color w:val="auto"/>
              </w:rPr>
            </w:pPr>
            <w:r>
              <w:rPr>
                <w:rFonts w:ascii="Arial" w:cs="Arial" w:eastAsia="Arial" w:hAnsi="Arial"/>
                <w:sz w:val="18"/>
                <w:szCs w:val="18"/>
                <w:color w:val="auto"/>
              </w:rPr>
              <w:t>Linzess/Constella</w:t>
            </w:r>
          </w:p>
        </w:tc>
        <w:tc>
          <w:tcPr>
            <w:tcW w:w="6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386</w:t>
            </w:r>
          </w:p>
        </w:tc>
        <w:tc>
          <w:tcPr>
            <w:tcW w:w="340" w:type="dxa"/>
            <w:vAlign w:val="bottom"/>
          </w:tcPr>
          <w:p>
            <w:pPr>
              <w:spacing w:after="0"/>
              <w:rPr>
                <w:sz w:val="20"/>
                <w:szCs w:val="20"/>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20</w:t>
            </w:r>
          </w:p>
        </w:tc>
        <w:tc>
          <w:tcPr>
            <w:tcW w:w="260" w:type="dxa"/>
            <w:vAlign w:val="bottom"/>
          </w:tcPr>
          <w:p>
            <w:pPr>
              <w:spacing w:after="0"/>
              <w:rPr>
                <w:sz w:val="20"/>
                <w:szCs w:val="20"/>
                <w:color w:val="auto"/>
              </w:rPr>
            </w:pPr>
          </w:p>
        </w:tc>
        <w:tc>
          <w:tcPr>
            <w:tcW w:w="72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406</w:t>
            </w:r>
          </w:p>
        </w:tc>
        <w:tc>
          <w:tcPr>
            <w:tcW w:w="22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920" w:type="dxa"/>
            <w:vAlign w:val="bottom"/>
            <w:gridSpan w:val="4"/>
          </w:tcPr>
          <w:p>
            <w:pPr>
              <w:jc w:val="center"/>
              <w:ind w:left="30"/>
              <w:spacing w:after="0"/>
              <w:rPr>
                <w:sz w:val="20"/>
                <w:szCs w:val="20"/>
                <w:color w:val="auto"/>
              </w:rPr>
            </w:pPr>
            <w:r>
              <w:rPr>
                <w:rFonts w:ascii="Arial" w:cs="Arial" w:eastAsia="Arial" w:hAnsi="Arial"/>
                <w:sz w:val="18"/>
                <w:szCs w:val="18"/>
                <w:color w:val="auto"/>
              </w:rPr>
              <w:t>(17.4)</w:t>
            </w:r>
          </w:p>
        </w:tc>
        <w:tc>
          <w:tcPr>
            <w:tcW w:w="740" w:type="dxa"/>
            <w:vAlign w:val="bottom"/>
            <w:gridSpan w:val="2"/>
          </w:tcPr>
          <w:p>
            <w:pPr>
              <w:jc w:val="center"/>
              <w:ind w:left="290"/>
              <w:spacing w:after="0"/>
              <w:rPr>
                <w:sz w:val="20"/>
                <w:szCs w:val="20"/>
                <w:color w:val="auto"/>
              </w:rPr>
            </w:pPr>
            <w:r>
              <w:rPr>
                <w:rFonts w:ascii="Arial" w:cs="Arial" w:eastAsia="Arial" w:hAnsi="Arial"/>
                <w:sz w:val="18"/>
                <w:szCs w:val="18"/>
                <w:color w:val="auto"/>
                <w:w w:val="95"/>
              </w:rPr>
              <w:t>7.0</w:t>
            </w:r>
          </w:p>
        </w:tc>
        <w:tc>
          <w:tcPr>
            <w:tcW w:w="36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color w:val="auto"/>
              </w:rPr>
              <w:t>(16.5)</w:t>
            </w:r>
          </w:p>
        </w:tc>
        <w:tc>
          <w:tcPr>
            <w:tcW w:w="20" w:type="dxa"/>
            <w:vAlign w:val="bottom"/>
            <w:shd w:val="clear" w:color="auto" w:fill="000000"/>
          </w:tcPr>
          <w:p>
            <w:pPr>
              <w:spacing w:after="0"/>
              <w:rPr>
                <w:sz w:val="20"/>
                <w:szCs w:val="20"/>
                <w:color w:val="auto"/>
              </w:rPr>
            </w:pPr>
          </w:p>
        </w:tc>
        <w:tc>
          <w:tcPr>
            <w:tcW w:w="7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9.7</w:t>
            </w:r>
          </w:p>
        </w:tc>
        <w:tc>
          <w:tcPr>
            <w:tcW w:w="30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7"/>
              </w:rPr>
              <w:t>(16.4)</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820" w:firstLine="8"/>
        <w:spacing w:after="0" w:line="341" w:lineRule="auto"/>
        <w:tabs>
          <w:tab w:leader="none" w:pos="78"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 xml:space="preserve">"Operational" comparisons are presented at constant currency rates that reflect comparative local currency net revenues at the prior year's foreign exchange rates. </w:t>
      </w:r>
      <w:r>
        <w:rPr>
          <w:rFonts w:ascii="Arial" w:cs="Arial" w:eastAsia="Arial" w:hAnsi="Arial"/>
          <w:sz w:val="17"/>
          <w:szCs w:val="17"/>
          <w:color w:val="auto"/>
          <w:vertAlign w:val="superscript"/>
        </w:rPr>
        <w:t>b</w:t>
      </w:r>
      <w:r>
        <w:rPr>
          <w:rFonts w:ascii="Arial" w:cs="Arial" w:eastAsia="Arial" w:hAnsi="Arial"/>
          <w:sz w:val="14"/>
          <w:szCs w:val="14"/>
          <w:color w:val="auto"/>
        </w:rPr>
        <w:t xml:space="preserve"> Reflects profit sharing for Imbruvica international revenues.</w:t>
      </w:r>
    </w:p>
    <w:p>
      <w:pPr>
        <w:spacing w:after="0" w:line="4" w:lineRule="exact"/>
        <w:rPr>
          <w:sz w:val="20"/>
          <w:szCs w:val="20"/>
          <w:color w:val="auto"/>
        </w:rPr>
      </w:pPr>
    </w:p>
    <w:p>
      <w:pPr>
        <w:ind w:right="1520" w:firstLine="8"/>
        <w:spacing w:after="0" w:line="340" w:lineRule="auto"/>
        <w:tabs>
          <w:tab w:leader="none" w:pos="73"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Epkinly U.S. revenues reflect profit sharing. International revenues reflect product revenues as well as profit sharing from certain international territories. n/m = not meaningful</w:t>
      </w:r>
    </w:p>
    <w:p>
      <w:pPr>
        <w:spacing w:after="0" w:line="200" w:lineRule="exact"/>
        <w:rPr>
          <w:sz w:val="20"/>
          <w:szCs w:val="20"/>
          <w:color w:val="auto"/>
        </w:rPr>
      </w:pPr>
    </w:p>
    <w:p>
      <w:pPr>
        <w:spacing w:after="0" w:line="209" w:lineRule="exact"/>
        <w:rPr>
          <w:sz w:val="20"/>
          <w:szCs w:val="20"/>
          <w:color w:val="auto"/>
        </w:rPr>
      </w:pPr>
    </w:p>
    <w:p>
      <w:pPr>
        <w:ind w:left="1114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60"/>
          </w:cols>
          <w:pgMar w:left="320" w:top="894"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Earnings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900" w:type="dxa"/>
            <w:vAlign w:val="bottom"/>
            <w:vMerge w:val="restart"/>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280" w:type="dxa"/>
            <w:vAlign w:val="bottom"/>
          </w:tcPr>
          <w:p>
            <w:pPr>
              <w:spacing w:after="0"/>
              <w:rPr>
                <w:sz w:val="17"/>
                <w:szCs w:val="17"/>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Second Quarter</w:t>
            </w:r>
          </w:p>
        </w:tc>
        <w:tc>
          <w:tcPr>
            <w:tcW w:w="280" w:type="dxa"/>
            <w:vAlign w:val="bottom"/>
          </w:tcPr>
          <w:p>
            <w:pPr>
              <w:spacing w:after="0"/>
              <w:rPr>
                <w:sz w:val="17"/>
                <w:szCs w:val="17"/>
                <w:color w:val="auto"/>
              </w:rPr>
            </w:pPr>
          </w:p>
        </w:tc>
        <w:tc>
          <w:tcPr>
            <w:tcW w:w="23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Six Months</w:t>
            </w:r>
          </w:p>
        </w:tc>
        <w:tc>
          <w:tcPr>
            <w:tcW w:w="0" w:type="dxa"/>
            <w:vAlign w:val="bottom"/>
          </w:tcPr>
          <w:p>
            <w:pPr>
              <w:spacing w:after="0"/>
              <w:rPr>
                <w:sz w:val="1"/>
                <w:szCs w:val="1"/>
                <w:color w:val="auto"/>
              </w:rPr>
            </w:pPr>
          </w:p>
        </w:tc>
      </w:tr>
      <w:tr>
        <w:trPr>
          <w:trHeight w:val="235"/>
        </w:trPr>
        <w:tc>
          <w:tcPr>
            <w:tcW w:w="5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rPr>
              <w:t>Ended June 30</w:t>
            </w:r>
          </w:p>
        </w:tc>
        <w:tc>
          <w:tcPr>
            <w:tcW w:w="280" w:type="dxa"/>
            <w:vAlign w:val="bottom"/>
          </w:tcPr>
          <w:p>
            <w:pPr>
              <w:spacing w:after="0"/>
              <w:rPr>
                <w:sz w:val="20"/>
                <w:szCs w:val="20"/>
                <w:color w:val="auto"/>
              </w:rPr>
            </w:pPr>
          </w:p>
        </w:tc>
        <w:tc>
          <w:tcPr>
            <w:tcW w:w="23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23"/>
        </w:trPr>
        <w:tc>
          <w:tcPr>
            <w:tcW w:w="590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8"/>
        </w:trPr>
        <w:tc>
          <w:tcPr>
            <w:tcW w:w="5900" w:type="dxa"/>
            <w:vAlign w:val="bottom"/>
            <w:vMerge w:val="continue"/>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15,423</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14,462</w:t>
            </w:r>
          </w:p>
        </w:tc>
        <w:tc>
          <w:tcPr>
            <w:tcW w:w="10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28,766</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26,772</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Cost of products sold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8,296</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Acquired IPR&amp;D and milestones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35"/>
        </w:trPr>
        <w:tc>
          <w:tcPr>
            <w:tcW w:w="5900" w:type="dxa"/>
            <w:vAlign w:val="bottom"/>
          </w:tcPr>
          <w:p>
            <w:pPr>
              <w:spacing w:after="0"/>
              <w:rPr>
                <w:sz w:val="20"/>
                <w:szCs w:val="20"/>
                <w:color w:val="auto"/>
              </w:rPr>
            </w:pPr>
            <w:r>
              <w:rPr>
                <w:rFonts w:ascii="Arial" w:cs="Arial" w:eastAsia="Arial" w:hAnsi="Arial"/>
                <w:sz w:val="18"/>
                <w:szCs w:val="18"/>
                <w:color w:val="auto"/>
              </w:rPr>
              <w:t>Other operating income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19,976</w:t>
            </w:r>
          </w:p>
        </w:tc>
        <w:tc>
          <w:tcPr>
            <w:tcW w:w="0" w:type="dxa"/>
            <w:vAlign w:val="bottom"/>
          </w:tcPr>
          <w:p>
            <w:pPr>
              <w:spacing w:after="0"/>
              <w:rPr>
                <w:sz w:val="1"/>
                <w:szCs w:val="1"/>
                <w:color w:val="auto"/>
              </w:rPr>
            </w:pPr>
          </w:p>
        </w:tc>
      </w:tr>
      <w:tr>
        <w:trPr>
          <w:trHeight w:val="470"/>
        </w:trPr>
        <w:tc>
          <w:tcPr>
            <w:tcW w:w="5900" w:type="dxa"/>
            <w:vAlign w:val="bottom"/>
          </w:tcPr>
          <w:p>
            <w:pPr>
              <w:spacing w:after="0"/>
              <w:rPr>
                <w:sz w:val="20"/>
                <w:szCs w:val="20"/>
                <w:color w:val="auto"/>
              </w:rPr>
            </w:pPr>
            <w:r>
              <w:rPr>
                <w:rFonts w:ascii="Arial" w:cs="Arial" w:eastAsia="Arial" w:hAnsi="Arial"/>
                <w:sz w:val="18"/>
                <w:szCs w:val="18"/>
                <w:color w:val="auto"/>
              </w:rPr>
              <w:t>Operating earnings</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4,894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8,627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6,796</w:t>
            </w:r>
          </w:p>
        </w:tc>
        <w:tc>
          <w:tcPr>
            <w:tcW w:w="0" w:type="dxa"/>
            <w:vAlign w:val="bottom"/>
          </w:tcPr>
          <w:p>
            <w:pPr>
              <w:spacing w:after="0"/>
              <w:rPr>
                <w:sz w:val="1"/>
                <w:szCs w:val="1"/>
                <w:color w:val="auto"/>
              </w:rPr>
            </w:pPr>
          </w:p>
        </w:tc>
      </w:tr>
      <w:tr>
        <w:trPr>
          <w:trHeight w:val="477"/>
        </w:trPr>
        <w:tc>
          <w:tcPr>
            <w:tcW w:w="5900" w:type="dxa"/>
            <w:vAlign w:val="bottom"/>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Net foreign exchange loss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5"/>
        </w:trPr>
        <w:tc>
          <w:tcPr>
            <w:tcW w:w="5900" w:type="dxa"/>
            <w:vAlign w:val="bottom"/>
          </w:tcPr>
          <w:p>
            <w:pPr>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8"/>
        </w:trPr>
        <w:tc>
          <w:tcPr>
            <w:tcW w:w="5900" w:type="dxa"/>
            <w:vAlign w:val="bottom"/>
          </w:tcPr>
          <w:p>
            <w:pPr>
              <w:spacing w:after="0"/>
              <w:rPr>
                <w:sz w:val="20"/>
                <w:szCs w:val="20"/>
                <w:color w:val="auto"/>
              </w:rPr>
            </w:pPr>
            <w:r>
              <w:rPr>
                <w:rFonts w:ascii="Arial" w:cs="Arial" w:eastAsia="Arial" w:hAnsi="Arial"/>
                <w:sz w:val="18"/>
                <w:szCs w:val="18"/>
                <w:color w:val="auto"/>
              </w:rPr>
              <w:t>Earnings before income tax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35"/>
        </w:trPr>
        <w:tc>
          <w:tcPr>
            <w:tcW w:w="590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8"/>
        </w:trPr>
        <w:tc>
          <w:tcPr>
            <w:tcW w:w="5900" w:type="dxa"/>
            <w:vAlign w:val="bottom"/>
          </w:tcPr>
          <w:p>
            <w:pPr>
              <w:spacing w:after="0"/>
              <w:rPr>
                <w:sz w:val="20"/>
                <w:szCs w:val="20"/>
                <w:color w:val="auto"/>
              </w:rPr>
            </w:pPr>
            <w:r>
              <w:rPr>
                <w:rFonts w:ascii="Arial" w:cs="Arial" w:eastAsia="Arial" w:hAnsi="Arial"/>
                <w:sz w:val="18"/>
                <w:szCs w:val="18"/>
                <w:color w:val="auto"/>
              </w:rPr>
              <w:t>Net earnings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35"/>
        </w:trPr>
        <w:tc>
          <w:tcPr>
            <w:tcW w:w="5900" w:type="dxa"/>
            <w:vAlign w:val="bottom"/>
          </w:tcPr>
          <w:p>
            <w:pPr>
              <w:spacing w:after="0"/>
              <w:rPr>
                <w:sz w:val="20"/>
                <w:szCs w:val="20"/>
                <w:color w:val="auto"/>
              </w:rPr>
            </w:pPr>
            <w:r>
              <w:rPr>
                <w:rFonts w:ascii="Arial" w:cs="Arial" w:eastAsia="Arial" w:hAnsi="Arial"/>
                <w:sz w:val="18"/>
                <w:szCs w:val="18"/>
                <w:color w:val="auto"/>
              </w:rPr>
              <w:t>Net earnings attributable to noncontrolling interest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Net earnings attributable to AbbVie Inc.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00" w:type="dxa"/>
            <w:vAlign w:val="bottom"/>
          </w:tcPr>
          <w:p>
            <w:pPr>
              <w:spacing w:after="0"/>
              <w:rPr>
                <w:sz w:val="20"/>
                <w:szCs w:val="20"/>
                <w:color w:val="auto"/>
              </w:rPr>
            </w:pPr>
            <w:r>
              <w:rPr>
                <w:rFonts w:ascii="Arial" w:cs="Arial" w:eastAsia="Arial" w:hAnsi="Arial"/>
                <w:sz w:val="18"/>
                <w:szCs w:val="18"/>
                <w:color w:val="auto"/>
              </w:rPr>
              <w:t>Diluted earnings per share attributable to AbbVie Inc.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900" w:type="dxa"/>
            <w:vAlign w:val="bottom"/>
          </w:tcPr>
          <w:p>
            <w:pPr>
              <w:spacing w:after="0"/>
              <w:rPr>
                <w:sz w:val="20"/>
                <w:szCs w:val="20"/>
                <w:color w:val="auto"/>
              </w:rPr>
            </w:pPr>
            <w:r>
              <w:rPr>
                <w:rFonts w:ascii="Arial" w:cs="Arial" w:eastAsia="Arial" w:hAnsi="Arial"/>
                <w:sz w:val="18"/>
                <w:szCs w:val="18"/>
                <w:color w:val="auto"/>
              </w:rPr>
              <w:t>Adjusted diluted earnings per share</w:t>
            </w:r>
            <w:r>
              <w:rPr>
                <w:rFonts w:ascii="Arial" w:cs="Arial" w:eastAsia="Arial" w:hAnsi="Arial"/>
                <w:sz w:val="23"/>
                <w:szCs w:val="23"/>
                <w:color w:val="auto"/>
                <w:vertAlign w:val="superscript"/>
              </w:rPr>
              <w:t>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5900" w:type="dxa"/>
            <w:vAlign w:val="bottom"/>
          </w:tcPr>
          <w:p>
            <w:pPr>
              <w:spacing w:after="0"/>
              <w:rPr>
                <w:sz w:val="20"/>
                <w:szCs w:val="20"/>
                <w:color w:val="auto"/>
              </w:rPr>
            </w:pPr>
            <w:r>
              <w:rPr>
                <w:rFonts w:ascii="Arial" w:cs="Arial" w:eastAsia="Arial" w:hAnsi="Arial"/>
                <w:sz w:val="18"/>
                <w:szCs w:val="18"/>
                <w:color w:val="auto"/>
              </w:rPr>
              <w:t>Weighted-average diluted shares outstanding</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Refer to the Reconciliation of GAAP Reported to Non-GAAP Adjusted Information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89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AbbVie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GAAP Reported to Non-GAAP Adjusted Information</w:t>
      </w:r>
    </w:p>
    <w:p>
      <w:pPr>
        <w:jc w:val="center"/>
        <w:spacing w:after="0"/>
        <w:rPr>
          <w:sz w:val="20"/>
          <w:szCs w:val="20"/>
          <w:color w:val="auto"/>
        </w:rPr>
      </w:pPr>
      <w:r>
        <w:rPr>
          <w:rFonts w:ascii="Arial" w:cs="Arial" w:eastAsia="Arial" w:hAnsi="Arial"/>
          <w:sz w:val="22"/>
          <w:szCs w:val="22"/>
          <w:b w:val="1"/>
          <w:bCs w:val="1"/>
          <w:color w:val="auto"/>
        </w:rPr>
        <w:t>(Unaudited)</w:t>
      </w:r>
    </w:p>
    <w:p>
      <w:pPr>
        <w:ind w:left="400" w:hanging="392"/>
        <w:spacing w:after="0"/>
        <w:tabs>
          <w:tab w:leader="none" w:pos="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Specified items impacted results as follows:</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2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Quarter Ended June 30, 2025</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w w:val="99"/>
              </w:rPr>
              <w:t>Diluted</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Pre-tax</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line="223" w:lineRule="exact"/>
              <w:rPr>
                <w:sz w:val="20"/>
                <w:szCs w:val="20"/>
                <w:color w:val="auto"/>
              </w:rPr>
            </w:pPr>
            <w:r>
              <w:rPr>
                <w:rFonts w:ascii="Arial" w:cs="Arial" w:eastAsia="Arial" w:hAnsi="Arial"/>
                <w:sz w:val="18"/>
                <w:szCs w:val="18"/>
                <w:color w:val="auto"/>
                <w:w w:val="99"/>
              </w:rPr>
              <w:t>After-tax</w:t>
            </w:r>
            <w:r>
              <w:rPr>
                <w:rFonts w:ascii="Arial" w:cs="Arial" w:eastAsia="Arial" w:hAnsi="Arial"/>
                <w:sz w:val="23"/>
                <w:szCs w:val="23"/>
                <w:color w:val="auto"/>
                <w:w w:val="99"/>
                <w:vertAlign w:val="superscript"/>
              </w:rPr>
              <w:t>a</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EPS</w:t>
            </w:r>
          </w:p>
        </w:tc>
        <w:tc>
          <w:tcPr>
            <w:tcW w:w="0" w:type="dxa"/>
            <w:vAlign w:val="bottom"/>
          </w:tcPr>
          <w:p>
            <w:pPr>
              <w:spacing w:after="0"/>
              <w:rPr>
                <w:sz w:val="1"/>
                <w:szCs w:val="1"/>
                <w:color w:val="auto"/>
              </w:rPr>
            </w:pPr>
          </w:p>
        </w:tc>
      </w:tr>
      <w:tr>
        <w:trPr>
          <w:trHeight w:val="218"/>
        </w:trPr>
        <w:tc>
          <w:tcPr>
            <w:tcW w:w="666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1,554</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938</w:t>
            </w:r>
          </w:p>
        </w:tc>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0.52</w:t>
            </w:r>
          </w:p>
        </w:tc>
        <w:tc>
          <w:tcPr>
            <w:tcW w:w="0" w:type="dxa"/>
            <w:vAlign w:val="bottom"/>
          </w:tcPr>
          <w:p>
            <w:pPr>
              <w:spacing w:after="0"/>
              <w:rPr>
                <w:sz w:val="1"/>
                <w:szCs w:val="1"/>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1,864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1,571</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29"/>
        </w:trPr>
        <w:tc>
          <w:tcPr>
            <w:tcW w:w="6660" w:type="dxa"/>
            <w:vAlign w:val="bottom"/>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2,795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2,709</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5"/>
        </w:trPr>
        <w:tc>
          <w:tcPr>
            <w:tcW w:w="6660" w:type="dxa"/>
            <w:vAlign w:val="bottom"/>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6,304</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5,278</w:t>
            </w:r>
          </w:p>
        </w:tc>
        <w:tc>
          <w:tcPr>
            <w:tcW w:w="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attributable to AbbVie Inc. Specified items reflect the impact of applicable statutory tax rates.</w:t>
      </w:r>
    </w:p>
    <w:p>
      <w:pPr>
        <w:spacing w:after="0" w:line="138"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Reported GAAP earnings and adjusted non-GAAP earnings for the three months ended June 30, 2025 included acquired IPR&amp;D and milestone expense of $823 million on a pre-tax and $737 million on an after-tax basis, representing an unfavorable impact of $0.42 to both diluted EPS and adjusted diluted EPS.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80" w:type="dxa"/>
            <w:vAlign w:val="bottom"/>
          </w:tcPr>
          <w:p>
            <w:pPr>
              <w:spacing w:after="0"/>
              <w:rPr>
                <w:sz w:val="20"/>
                <w:szCs w:val="20"/>
                <w:color w:val="auto"/>
              </w:rPr>
            </w:pPr>
            <w:r>
              <w:rPr>
                <w:rFonts w:ascii="Arial" w:cs="Arial" w:eastAsia="Arial" w:hAnsi="Arial"/>
                <w:sz w:val="18"/>
                <w:szCs w:val="18"/>
                <w:color w:val="auto"/>
              </w:rPr>
              <w:t>2. The impact of the specified items by line item was as follows: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5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Quarter Ended June 30, 2025</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110"/>
              <w:spacing w:after="0" w:line="177" w:lineRule="exact"/>
              <w:rPr>
                <w:sz w:val="20"/>
                <w:szCs w:val="20"/>
                <w:color w:val="auto"/>
              </w:rPr>
            </w:pPr>
            <w:r>
              <w:rPr>
                <w:rFonts w:ascii="Arial" w:cs="Arial" w:eastAsia="Arial" w:hAnsi="Arial"/>
                <w:sz w:val="18"/>
                <w:szCs w:val="18"/>
                <w:color w:val="auto"/>
              </w:rPr>
              <w:t>Cost of</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90"/>
              <w:spacing w:after="0" w:line="177" w:lineRule="exact"/>
              <w:rPr>
                <w:sz w:val="20"/>
                <w:szCs w:val="20"/>
                <w:color w:val="auto"/>
              </w:rPr>
            </w:pPr>
            <w:r>
              <w:rPr>
                <w:rFonts w:ascii="Arial" w:cs="Arial" w:eastAsia="Arial" w:hAnsi="Arial"/>
                <w:sz w:val="18"/>
                <w:szCs w:val="18"/>
                <w:color w:val="auto"/>
              </w:rPr>
              <w:t>Other</w:t>
            </w:r>
          </w:p>
        </w:tc>
        <w:tc>
          <w:tcPr>
            <w:tcW w:w="200" w:type="dxa"/>
            <w:vAlign w:val="bottom"/>
          </w:tcPr>
          <w:p>
            <w:pPr>
              <w:spacing w:after="0"/>
              <w:rPr>
                <w:sz w:val="15"/>
                <w:szCs w:val="15"/>
                <w:color w:val="auto"/>
              </w:rPr>
            </w:pPr>
          </w:p>
        </w:tc>
        <w:tc>
          <w:tcPr>
            <w:tcW w:w="920" w:type="dxa"/>
            <w:vAlign w:val="bottom"/>
          </w:tcPr>
          <w:p>
            <w:pPr>
              <w:jc w:val="center"/>
              <w:ind w:right="50"/>
              <w:spacing w:after="0" w:line="177" w:lineRule="exact"/>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81"/>
        </w:trPr>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110"/>
              <w:spacing w:after="0" w:line="181" w:lineRule="exact"/>
              <w:rPr>
                <w:sz w:val="20"/>
                <w:szCs w:val="20"/>
                <w:color w:val="auto"/>
              </w:rPr>
            </w:pPr>
            <w:r>
              <w:rPr>
                <w:rFonts w:ascii="Arial" w:cs="Arial" w:eastAsia="Arial" w:hAnsi="Arial"/>
                <w:sz w:val="18"/>
                <w:szCs w:val="18"/>
                <w:color w:val="auto"/>
              </w:rPr>
              <w:t>products</w:t>
            </w:r>
          </w:p>
        </w:tc>
        <w:tc>
          <w:tcPr>
            <w:tcW w:w="260" w:type="dxa"/>
            <w:vAlign w:val="bottom"/>
          </w:tcPr>
          <w:p>
            <w:pPr>
              <w:spacing w:after="0"/>
              <w:rPr>
                <w:sz w:val="15"/>
                <w:szCs w:val="15"/>
                <w:color w:val="auto"/>
              </w:rPr>
            </w:pPr>
          </w:p>
        </w:tc>
        <w:tc>
          <w:tcPr>
            <w:tcW w:w="900" w:type="dxa"/>
            <w:vAlign w:val="bottom"/>
            <w:vMerge w:val="restart"/>
          </w:tcPr>
          <w:p>
            <w:pPr>
              <w:jc w:val="right"/>
              <w:ind w:right="230"/>
              <w:spacing w:after="0"/>
              <w:rPr>
                <w:sz w:val="20"/>
                <w:szCs w:val="20"/>
                <w:color w:val="auto"/>
              </w:rPr>
            </w:pPr>
            <w:r>
              <w:rPr>
                <w:rFonts w:ascii="Arial" w:cs="Arial" w:eastAsia="Arial" w:hAnsi="Arial"/>
                <w:sz w:val="18"/>
                <w:szCs w:val="18"/>
                <w:color w:val="auto"/>
              </w:rPr>
              <w:t>SG&amp;A</w:t>
            </w:r>
          </w:p>
        </w:tc>
        <w:tc>
          <w:tcPr>
            <w:tcW w:w="280" w:type="dxa"/>
            <w:vAlign w:val="bottom"/>
          </w:tcPr>
          <w:p>
            <w:pPr>
              <w:spacing w:after="0"/>
              <w:rPr>
                <w:sz w:val="15"/>
                <w:szCs w:val="15"/>
                <w:color w:val="auto"/>
              </w:rPr>
            </w:pPr>
          </w:p>
        </w:tc>
        <w:tc>
          <w:tcPr>
            <w:tcW w:w="860" w:type="dxa"/>
            <w:vAlign w:val="bottom"/>
            <w:vMerge w:val="restart"/>
          </w:tcPr>
          <w:p>
            <w:pPr>
              <w:jc w:val="right"/>
              <w:ind w:right="290"/>
              <w:spacing w:after="0"/>
              <w:rPr>
                <w:sz w:val="20"/>
                <w:szCs w:val="20"/>
                <w:color w:val="auto"/>
              </w:rPr>
            </w:pPr>
            <w:r>
              <w:rPr>
                <w:rFonts w:ascii="Arial" w:cs="Arial" w:eastAsia="Arial" w:hAnsi="Arial"/>
                <w:sz w:val="18"/>
                <w:szCs w:val="18"/>
                <w:color w:val="auto"/>
              </w:rPr>
              <w:t>R&amp;D</w:t>
            </w:r>
          </w:p>
        </w:tc>
        <w:tc>
          <w:tcPr>
            <w:tcW w:w="180" w:type="dxa"/>
            <w:vAlign w:val="bottom"/>
          </w:tcPr>
          <w:p>
            <w:pPr>
              <w:spacing w:after="0"/>
              <w:rPr>
                <w:sz w:val="15"/>
                <w:szCs w:val="15"/>
                <w:color w:val="auto"/>
              </w:rPr>
            </w:pPr>
          </w:p>
        </w:tc>
        <w:tc>
          <w:tcPr>
            <w:tcW w:w="960" w:type="dxa"/>
            <w:vAlign w:val="bottom"/>
          </w:tcPr>
          <w:p>
            <w:pPr>
              <w:jc w:val="center"/>
              <w:ind w:right="90"/>
              <w:spacing w:after="0" w:line="181" w:lineRule="exact"/>
              <w:rPr>
                <w:sz w:val="20"/>
                <w:szCs w:val="20"/>
                <w:color w:val="auto"/>
              </w:rPr>
            </w:pPr>
            <w:r>
              <w:rPr>
                <w:rFonts w:ascii="Arial" w:cs="Arial" w:eastAsia="Arial" w:hAnsi="Arial"/>
                <w:sz w:val="18"/>
                <w:szCs w:val="18"/>
                <w:color w:val="auto"/>
                <w:w w:val="98"/>
              </w:rPr>
              <w:t>operating</w:t>
            </w:r>
          </w:p>
        </w:tc>
        <w:tc>
          <w:tcPr>
            <w:tcW w:w="200" w:type="dxa"/>
            <w:vAlign w:val="bottom"/>
          </w:tcPr>
          <w:p>
            <w:pPr>
              <w:spacing w:after="0"/>
              <w:rPr>
                <w:sz w:val="15"/>
                <w:szCs w:val="15"/>
                <w:color w:val="auto"/>
              </w:rPr>
            </w:pPr>
          </w:p>
        </w:tc>
        <w:tc>
          <w:tcPr>
            <w:tcW w:w="920" w:type="dxa"/>
            <w:vAlign w:val="bottom"/>
          </w:tcPr>
          <w:p>
            <w:pPr>
              <w:jc w:val="center"/>
              <w:ind w:right="50"/>
              <w:spacing w:after="0" w:line="181" w:lineRule="exact"/>
              <w:rPr>
                <w:sz w:val="20"/>
                <w:szCs w:val="20"/>
                <w:color w:val="auto"/>
              </w:rPr>
            </w:pPr>
            <w:r>
              <w:rPr>
                <w:rFonts w:ascii="Arial" w:cs="Arial" w:eastAsia="Arial" w:hAnsi="Arial"/>
                <w:sz w:val="18"/>
                <w:szCs w:val="18"/>
                <w:color w:val="auto"/>
              </w:rPr>
              <w:t>expense,</w:t>
            </w:r>
          </w:p>
        </w:tc>
        <w:tc>
          <w:tcPr>
            <w:tcW w:w="0" w:type="dxa"/>
            <w:vAlign w:val="bottom"/>
          </w:tcPr>
          <w:p>
            <w:pPr>
              <w:spacing w:after="0"/>
              <w:rPr>
                <w:sz w:val="1"/>
                <w:szCs w:val="1"/>
                <w:color w:val="auto"/>
              </w:rPr>
            </w:pPr>
          </w:p>
        </w:tc>
      </w:tr>
      <w:tr>
        <w:trPr>
          <w:trHeight w:val="230"/>
        </w:trPr>
        <w:tc>
          <w:tcPr>
            <w:tcW w:w="5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reported (GAAP)</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rPr>
              <w:t>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income</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18"/>
        </w:trPr>
        <w:tc>
          <w:tcPr>
            <w:tcW w:w="558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4,346</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3,253</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2,131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2,639</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Adjusted for specified items: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140"/>
              <w:spacing w:after="0"/>
              <w:rPr>
                <w:sz w:val="20"/>
                <w:szCs w:val="20"/>
                <w:color w:val="auto"/>
              </w:rPr>
            </w:pPr>
            <w:r>
              <w:rPr>
                <w:rFonts w:ascii="Arial" w:cs="Arial" w:eastAsia="Arial" w:hAnsi="Arial"/>
                <w:sz w:val="18"/>
                <w:szCs w:val="18"/>
                <w:color w:val="auto"/>
              </w:rPr>
              <w:t>Intangible asset amortization</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(1,864)</w:t>
            </w:r>
          </w:p>
        </w:tc>
        <w:tc>
          <w:tcPr>
            <w:tcW w:w="2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16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35"/>
        </w:trPr>
        <w:tc>
          <w:tcPr>
            <w:tcW w:w="5580" w:type="dxa"/>
            <w:vAlign w:val="bottom"/>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b w:val="1"/>
                <w:bCs w:val="1"/>
                <w:color w:val="auto"/>
              </w:rPr>
              <w:t>As adjusted (non-GAAP)</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3,239</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The adjusted tax rate for the second quarter of 2025 was 16.2 percent, as detailed below:</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52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b w:val="1"/>
                <w:bCs w:val="1"/>
                <w:color w:val="auto"/>
              </w:rPr>
              <w:t>Quarter Ended June 30, 2025</w:t>
            </w:r>
          </w:p>
        </w:tc>
        <w:tc>
          <w:tcPr>
            <w:tcW w:w="0" w:type="dxa"/>
            <w:vAlign w:val="bottom"/>
          </w:tcPr>
          <w:p>
            <w:pPr>
              <w:spacing w:after="0"/>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Pre-tax earnings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 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18"/>
        </w:trPr>
        <w:tc>
          <w:tcPr>
            <w:tcW w:w="65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1,554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613</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39.4 %</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r>
              <w:rPr>
                <w:rFonts w:ascii="Arial" w:cs="Arial" w:eastAsia="Arial" w:hAnsi="Arial"/>
                <w:sz w:val="18"/>
                <w:szCs w:val="18"/>
                <w:color w:val="auto"/>
              </w:rPr>
              <w:t>Specified items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4,750</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410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1,023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070"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Reconciliation of GAAP Reported to Non-GAAP Adjusted Information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240"/>
          </w:cols>
          <w:pgMar w:left="320" w:top="894" w:right="339" w:bottom="1440" w:gutter="0" w:footer="0" w:header="0"/>
        </w:sectPr>
      </w:pPr>
    </w:p>
    <w:p>
      <w:pPr>
        <w:spacing w:after="0" w:line="113"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Specified items impacted results as follows: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per share data)</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reported (GAAP)</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for specified items: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amortization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Acquisition and integration costs</w:t>
      </w:r>
    </w:p>
    <w:p>
      <w:pPr>
        <w:spacing w:after="0" w:line="23" w:lineRule="exact"/>
        <w:rPr>
          <w:sz w:val="20"/>
          <w:szCs w:val="20"/>
          <w:color w:val="auto"/>
        </w:rPr>
      </w:pPr>
    </w:p>
    <w:p>
      <w:pPr>
        <w:ind w:left="140" w:right="2000"/>
        <w:spacing w:after="0" w:line="268" w:lineRule="auto"/>
        <w:rPr>
          <w:sz w:val="20"/>
          <w:szCs w:val="20"/>
          <w:color w:val="auto"/>
        </w:rPr>
      </w:pPr>
      <w:r>
        <w:rPr>
          <w:rFonts w:ascii="Arial" w:cs="Arial" w:eastAsia="Arial" w:hAnsi="Arial"/>
          <w:sz w:val="18"/>
          <w:szCs w:val="18"/>
          <w:color w:val="auto"/>
        </w:rPr>
        <w:t>Change in fair value of contingent consideration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adjusted (non-GAAP)</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Quarter Ended June 30,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Diluted</w:t>
            </w:r>
          </w:p>
        </w:tc>
      </w:tr>
      <w:tr>
        <w:trPr>
          <w:trHeight w:val="223"/>
        </w:trPr>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line="223" w:lineRule="exact"/>
              <w:rPr>
                <w:sz w:val="20"/>
                <w:szCs w:val="20"/>
                <w:color w:val="auto"/>
              </w:rPr>
            </w:pPr>
            <w:r>
              <w:rPr>
                <w:rFonts w:ascii="Arial" w:cs="Arial" w:eastAsia="Arial" w:hAnsi="Arial"/>
                <w:sz w:val="18"/>
                <w:szCs w:val="18"/>
                <w:color w:val="auto"/>
                <w:w w:val="99"/>
              </w:rPr>
              <w:t>After-tax</w:t>
            </w:r>
            <w:r>
              <w:rPr>
                <w:rFonts w:ascii="Arial" w:cs="Arial" w:eastAsia="Arial" w:hAnsi="Arial"/>
                <w:sz w:val="23"/>
                <w:szCs w:val="23"/>
                <w:color w:val="auto"/>
                <w:w w:val="99"/>
                <w:vertAlign w:val="superscript"/>
              </w:rPr>
              <w:t>a</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EPS</w:t>
            </w:r>
          </w:p>
        </w:tc>
      </w:tr>
      <w:tr>
        <w:trPr>
          <w:trHeight w:val="240"/>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2,146</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1,370</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0.77</w:t>
            </w:r>
          </w:p>
        </w:tc>
      </w:tr>
      <w:tr>
        <w:trPr>
          <w:trHeight w:val="436"/>
        </w:trPr>
        <w:tc>
          <w:tcPr>
            <w:tcW w:w="2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1,947</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1,651</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0.93</w:t>
            </w:r>
          </w:p>
        </w:tc>
      </w:tr>
      <w:tr>
        <w:trPr>
          <w:trHeight w:val="229"/>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0.07</w:t>
            </w:r>
          </w:p>
        </w:tc>
      </w:tr>
      <w:tr>
        <w:trPr>
          <w:trHeight w:val="230"/>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1,476</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1,438</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0.81</w:t>
            </w:r>
          </w:p>
        </w:tc>
      </w:tr>
      <w:tr>
        <w:trPr>
          <w:trHeight w:val="235"/>
        </w:trPr>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5,804</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4,710</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ectPr>
          <w:pgSz w:w="11900" w:h="16838" w:orient="portrait"/>
          <w:cols w:equalWidth="0" w:num="2">
            <w:col w:w="5940" w:space="720"/>
            <w:col w:w="4580"/>
          </w:cols>
          <w:pgMar w:left="320" w:top="894" w:right="339" w:bottom="1440" w:gutter="0" w:footer="0" w:header="0"/>
          <w:type w:val="continuous"/>
        </w:sectPr>
      </w:pPr>
    </w:p>
    <w:p>
      <w:pPr>
        <w:ind w:left="180" w:hanging="172"/>
        <w:spacing w:after="0"/>
        <w:tabs>
          <w:tab w:leader="none" w:pos="1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attributable to AbbVie Inc. Specified items reflect the impact of applicable statutory tax rates.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Acquisition and integration costs primarily reflect costs related to the ImmunoGen acquisition.</w:t>
      </w:r>
    </w:p>
    <w:p>
      <w:pPr>
        <w:spacing w:after="0" w:line="17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Reported GAAP earnings and adjusted non-GAAP earnings for the three months ended June 30, 2024 included acquired IPR&amp;D and milestone expense of $937 million on a pre-tax and $924 million on an after-tax basis, representing an unfavorable impact of $0.52 to both diluted EPS and adjusted diluted EPS.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00" w:type="dxa"/>
            <w:vAlign w:val="bottom"/>
          </w:tcPr>
          <w:p>
            <w:pPr>
              <w:spacing w:after="0"/>
              <w:rPr>
                <w:sz w:val="20"/>
                <w:szCs w:val="20"/>
                <w:color w:val="auto"/>
              </w:rPr>
            </w:pPr>
            <w:r>
              <w:rPr>
                <w:rFonts w:ascii="Arial" w:cs="Arial" w:eastAsia="Arial" w:hAnsi="Arial"/>
                <w:sz w:val="18"/>
                <w:szCs w:val="18"/>
                <w:color w:val="auto"/>
              </w:rPr>
              <w:t>2. The impact of the specified items by line item was as follows: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6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Quarter Ended June 30, 2024</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90"/>
              <w:spacing w:after="0" w:line="169" w:lineRule="exact"/>
              <w:rPr>
                <w:sz w:val="20"/>
                <w:szCs w:val="20"/>
                <w:color w:val="auto"/>
              </w:rPr>
            </w:pPr>
            <w:r>
              <w:rPr>
                <w:rFonts w:ascii="Arial" w:cs="Arial" w:eastAsia="Arial" w:hAnsi="Arial"/>
                <w:sz w:val="18"/>
                <w:szCs w:val="18"/>
                <w:color w:val="auto"/>
              </w:rPr>
              <w:t>Cost of</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30"/>
              <w:spacing w:after="0" w:line="169" w:lineRule="exact"/>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184"/>
        </w:trPr>
        <w:tc>
          <w:tcPr>
            <w:tcW w:w="6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90"/>
              <w:spacing w:after="0" w:line="183" w:lineRule="exact"/>
              <w:rPr>
                <w:sz w:val="20"/>
                <w:szCs w:val="20"/>
                <w:color w:val="auto"/>
              </w:rPr>
            </w:pPr>
            <w:r>
              <w:rPr>
                <w:rFonts w:ascii="Arial" w:cs="Arial" w:eastAsia="Arial" w:hAnsi="Arial"/>
                <w:sz w:val="18"/>
                <w:szCs w:val="18"/>
                <w:color w:val="auto"/>
              </w:rPr>
              <w:t>products</w:t>
            </w:r>
          </w:p>
        </w:tc>
        <w:tc>
          <w:tcPr>
            <w:tcW w:w="240" w:type="dxa"/>
            <w:vAlign w:val="bottom"/>
          </w:tcPr>
          <w:p>
            <w:pPr>
              <w:spacing w:after="0"/>
              <w:rPr>
                <w:sz w:val="15"/>
                <w:szCs w:val="15"/>
                <w:color w:val="auto"/>
              </w:rPr>
            </w:pPr>
          </w:p>
        </w:tc>
        <w:tc>
          <w:tcPr>
            <w:tcW w:w="860" w:type="dxa"/>
            <w:vAlign w:val="bottom"/>
            <w:vMerge w:val="restart"/>
          </w:tcPr>
          <w:p>
            <w:pPr>
              <w:jc w:val="right"/>
              <w:ind w:right="210"/>
              <w:spacing w:after="0"/>
              <w:rPr>
                <w:sz w:val="20"/>
                <w:szCs w:val="20"/>
                <w:color w:val="auto"/>
              </w:rPr>
            </w:pPr>
            <w:r>
              <w:rPr>
                <w:rFonts w:ascii="Arial" w:cs="Arial" w:eastAsia="Arial" w:hAnsi="Arial"/>
                <w:sz w:val="18"/>
                <w:szCs w:val="18"/>
                <w:color w:val="auto"/>
              </w:rPr>
              <w:t>SG&amp;A</w:t>
            </w:r>
          </w:p>
        </w:tc>
        <w:tc>
          <w:tcPr>
            <w:tcW w:w="280" w:type="dxa"/>
            <w:vAlign w:val="bottom"/>
          </w:tcPr>
          <w:p>
            <w:pPr>
              <w:spacing w:after="0"/>
              <w:rPr>
                <w:sz w:val="15"/>
                <w:szCs w:val="15"/>
                <w:color w:val="auto"/>
              </w:rPr>
            </w:pPr>
          </w:p>
        </w:tc>
        <w:tc>
          <w:tcPr>
            <w:tcW w:w="840" w:type="dxa"/>
            <w:vAlign w:val="bottom"/>
            <w:vMerge w:val="restart"/>
          </w:tcPr>
          <w:p>
            <w:pPr>
              <w:jc w:val="right"/>
              <w:ind w:right="270"/>
              <w:spacing w:after="0"/>
              <w:rPr>
                <w:sz w:val="20"/>
                <w:szCs w:val="20"/>
                <w:color w:val="auto"/>
              </w:rPr>
            </w:pPr>
            <w:r>
              <w:rPr>
                <w:rFonts w:ascii="Arial" w:cs="Arial" w:eastAsia="Arial" w:hAnsi="Arial"/>
                <w:sz w:val="18"/>
                <w:szCs w:val="18"/>
                <w:color w:val="auto"/>
              </w:rPr>
              <w:t>R&amp;D</w:t>
            </w:r>
          </w:p>
        </w:tc>
        <w:tc>
          <w:tcPr>
            <w:tcW w:w="180" w:type="dxa"/>
            <w:vAlign w:val="bottom"/>
          </w:tcPr>
          <w:p>
            <w:pPr>
              <w:spacing w:after="0"/>
              <w:rPr>
                <w:sz w:val="15"/>
                <w:szCs w:val="15"/>
                <w:color w:val="auto"/>
              </w:rPr>
            </w:pPr>
          </w:p>
        </w:tc>
        <w:tc>
          <w:tcPr>
            <w:tcW w:w="880" w:type="dxa"/>
            <w:vAlign w:val="bottom"/>
          </w:tcPr>
          <w:p>
            <w:pPr>
              <w:jc w:val="center"/>
              <w:ind w:right="30"/>
              <w:spacing w:after="0" w:line="183" w:lineRule="exact"/>
              <w:rPr>
                <w:sz w:val="20"/>
                <w:szCs w:val="20"/>
                <w:color w:val="auto"/>
              </w:rPr>
            </w:pPr>
            <w:r>
              <w:rPr>
                <w:rFonts w:ascii="Arial" w:cs="Arial" w:eastAsia="Arial" w:hAnsi="Arial"/>
                <w:sz w:val="18"/>
                <w:szCs w:val="18"/>
                <w:color w:val="auto"/>
                <w:w w:val="98"/>
              </w:rPr>
              <w:t>expense,</w:t>
            </w:r>
          </w:p>
        </w:tc>
        <w:tc>
          <w:tcPr>
            <w:tcW w:w="0" w:type="dxa"/>
            <w:vAlign w:val="bottom"/>
          </w:tcPr>
          <w:p>
            <w:pPr>
              <w:spacing w:after="0"/>
              <w:rPr>
                <w:sz w:val="1"/>
                <w:szCs w:val="1"/>
                <w:color w:val="auto"/>
              </w:rPr>
            </w:pPr>
          </w:p>
        </w:tc>
      </w:tr>
      <w:tr>
        <w:trPr>
          <w:trHeight w:val="235"/>
        </w:trPr>
        <w:tc>
          <w:tcPr>
            <w:tcW w:w="6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reported (GAAP)</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rPr>
              <w:t>sold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5"/>
              </w:rPr>
              <w:t>net</w:t>
            </w:r>
          </w:p>
        </w:tc>
        <w:tc>
          <w:tcPr>
            <w:tcW w:w="0" w:type="dxa"/>
            <w:vAlign w:val="bottom"/>
          </w:tcPr>
          <w:p>
            <w:pPr>
              <w:spacing w:after="0"/>
              <w:rPr>
                <w:sz w:val="1"/>
                <w:szCs w:val="1"/>
                <w:color w:val="auto"/>
              </w:rPr>
            </w:pPr>
          </w:p>
        </w:tc>
      </w:tr>
      <w:tr>
        <w:trPr>
          <w:trHeight w:val="218"/>
        </w:trPr>
        <w:tc>
          <w:tcPr>
            <w:tcW w:w="690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4,202</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3,377</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1,948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1,345</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Adjusted for specified items: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Intangible asset amortization</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(1,947)</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Acquisition and integration costs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35"/>
        </w:trPr>
        <w:tc>
          <w:tcPr>
            <w:tcW w:w="690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As adjusted (non-GAAP)</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2,135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3,315</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1,917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3. The adjusted tax rate for the second quarter of 2024 was 18.8 percent, as detailed below:</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52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b w:val="1"/>
                <w:bCs w:val="1"/>
                <w:color w:val="auto"/>
              </w:rPr>
              <w:t>Quarter Ended June 30, 2024</w:t>
            </w:r>
          </w:p>
        </w:tc>
        <w:tc>
          <w:tcPr>
            <w:tcW w:w="0" w:type="dxa"/>
            <w:vAlign w:val="bottom"/>
          </w:tcPr>
          <w:p>
            <w:pPr>
              <w:spacing w:after="0"/>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Pre-tax earnings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 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18"/>
        </w:trPr>
        <w:tc>
          <w:tcPr>
            <w:tcW w:w="65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5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2,146</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773</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36.0 %</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r>
              <w:rPr>
                <w:rFonts w:ascii="Arial" w:cs="Arial" w:eastAsia="Arial" w:hAnsi="Arial"/>
                <w:sz w:val="18"/>
                <w:szCs w:val="18"/>
                <w:color w:val="auto"/>
              </w:rPr>
              <w:t>Specified items</w:t>
            </w: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3,658</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318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5,804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1,091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894" w:right="3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Reconciliation of GAAP Reported to Non-GAAP Adjusted Information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240"/>
          </w:cols>
          <w:pgMar w:left="320" w:top="894" w:right="33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Specified items impacted results as follows:</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per share data)</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reported (GAAP)</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for specified items: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amortization</w:t>
      </w:r>
    </w:p>
    <w:p>
      <w:pPr>
        <w:spacing w:after="0" w:line="23" w:lineRule="exact"/>
        <w:rPr>
          <w:sz w:val="20"/>
          <w:szCs w:val="20"/>
          <w:color w:val="auto"/>
        </w:rPr>
      </w:pPr>
    </w:p>
    <w:p>
      <w:pPr>
        <w:ind w:left="140" w:right="2000"/>
        <w:spacing w:after="0" w:line="284" w:lineRule="auto"/>
        <w:rPr>
          <w:sz w:val="20"/>
          <w:szCs w:val="20"/>
          <w:color w:val="auto"/>
        </w:rPr>
      </w:pPr>
      <w:r>
        <w:rPr>
          <w:rFonts w:ascii="Arial" w:cs="Arial" w:eastAsia="Arial" w:hAnsi="Arial"/>
          <w:sz w:val="18"/>
          <w:szCs w:val="18"/>
          <w:color w:val="auto"/>
        </w:rPr>
        <w:t>Change in fair value of contingent consideration Other</w:t>
      </w:r>
    </w:p>
    <w:p>
      <w:pPr>
        <w:ind w:left="20"/>
        <w:spacing w:after="0"/>
        <w:rPr>
          <w:sz w:val="20"/>
          <w:szCs w:val="20"/>
          <w:color w:val="auto"/>
        </w:rPr>
      </w:pPr>
      <w:r>
        <w:rPr>
          <w:rFonts w:ascii="Arial" w:cs="Arial" w:eastAsia="Arial" w:hAnsi="Arial"/>
          <w:sz w:val="18"/>
          <w:szCs w:val="18"/>
          <w:b w:val="1"/>
          <w:bCs w:val="1"/>
          <w:color w:val="auto"/>
        </w:rPr>
        <w:t>As adjusted (non-GAAP)</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Six Months Ended June 30,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Diluted</w:t>
            </w:r>
          </w:p>
        </w:tc>
      </w:tr>
      <w:tr>
        <w:trPr>
          <w:trHeight w:val="223"/>
        </w:trPr>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line="223" w:lineRule="exact"/>
              <w:rPr>
                <w:sz w:val="20"/>
                <w:szCs w:val="20"/>
                <w:color w:val="auto"/>
              </w:rPr>
            </w:pPr>
            <w:r>
              <w:rPr>
                <w:rFonts w:ascii="Arial" w:cs="Arial" w:eastAsia="Arial" w:hAnsi="Arial"/>
                <w:sz w:val="18"/>
                <w:szCs w:val="18"/>
                <w:color w:val="auto"/>
                <w:w w:val="99"/>
              </w:rPr>
              <w:t>After-tax</w:t>
            </w:r>
            <w:r>
              <w:rPr>
                <w:rFonts w:ascii="Arial" w:cs="Arial" w:eastAsia="Arial" w:hAnsi="Arial"/>
                <w:sz w:val="23"/>
                <w:szCs w:val="23"/>
                <w:color w:val="auto"/>
                <w:w w:val="99"/>
                <w:vertAlign w:val="superscript"/>
              </w:rPr>
              <w:t>a</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EPS</w:t>
            </w:r>
          </w:p>
        </w:tc>
      </w:tr>
      <w:tr>
        <w:trPr>
          <w:trHeight w:val="240"/>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3,215</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2,224</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1.24</w:t>
            </w:r>
          </w:p>
        </w:tc>
      </w:tr>
      <w:tr>
        <w:trPr>
          <w:trHeight w:val="436"/>
        </w:trPr>
        <w:tc>
          <w:tcPr>
            <w:tcW w:w="2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3,722</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3,145</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4,313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4,186</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5"/>
        </w:trPr>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11,403</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9,648</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ectPr>
          <w:pgSz w:w="11900" w:h="16838" w:orient="portrait"/>
          <w:cols w:equalWidth="0" w:num="2">
            <w:col w:w="5940" w:space="720"/>
            <w:col w:w="4580"/>
          </w:cols>
          <w:pgMar w:left="320" w:top="894" w:right="339" w:bottom="1440" w:gutter="0" w:footer="0" w:header="0"/>
          <w:type w:val="continuous"/>
        </w:sectPr>
      </w:pPr>
    </w:p>
    <w:p>
      <w:pPr>
        <w:ind w:left="180" w:hanging="172"/>
        <w:spacing w:after="0"/>
        <w:tabs>
          <w:tab w:leader="none" w:pos="180" w:val="left"/>
        </w:tabs>
        <w:numPr>
          <w:ilvl w:val="0"/>
          <w:numId w:val="17"/>
        </w:numPr>
        <w:rPr>
          <w:rFonts w:ascii="Arial" w:cs="Arial" w:eastAsia="Arial" w:hAnsi="Arial"/>
          <w:sz w:val="9"/>
          <w:szCs w:val="9"/>
          <w:color w:val="auto"/>
        </w:rPr>
      </w:pPr>
      <w:r>
        <w:rPr>
          <w:rFonts w:ascii="Arial" w:cs="Arial" w:eastAsia="Arial" w:hAnsi="Arial"/>
          <w:sz w:val="14"/>
          <w:szCs w:val="14"/>
          <w:color w:val="auto"/>
        </w:rPr>
        <w:t>Represents net earnings attributable to AbbVie Inc. Specified items reflect the impact of applicable statutory tax rates.</w:t>
      </w:r>
    </w:p>
    <w:p>
      <w:pPr>
        <w:spacing w:after="0" w:line="18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Reported GAAP earnings and adjusted non-GAAP earnings for the six months ended June 30, 2025 included acquired IPR&amp;D and milestones expense of $1.1 billion on a pre-tax and $975 million on an after-tax basis, representing an unfavorable impact of $0.55 to both diluted EPS and adjusted diluted EPS.</w:t>
      </w:r>
    </w:p>
    <w:p>
      <w:pPr>
        <w:sectPr>
          <w:pgSz w:w="11900" w:h="16838" w:orient="portrait"/>
          <w:cols w:equalWidth="0" w:num="1">
            <w:col w:w="11240"/>
          </w:cols>
          <w:pgMar w:left="320" w:top="894" w:right="33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2. The impact of the specified items by line item was as follows:</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reported (GAAP)</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for specified items: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amortization</w:t>
      </w:r>
    </w:p>
    <w:p>
      <w:pPr>
        <w:spacing w:after="0" w:line="23" w:lineRule="exact"/>
        <w:rPr>
          <w:sz w:val="20"/>
          <w:szCs w:val="20"/>
          <w:color w:val="auto"/>
        </w:rPr>
      </w:pPr>
    </w:p>
    <w:p>
      <w:pPr>
        <w:ind w:left="140" w:right="1120"/>
        <w:spacing w:after="0" w:line="284" w:lineRule="auto"/>
        <w:rPr>
          <w:sz w:val="20"/>
          <w:szCs w:val="20"/>
          <w:color w:val="auto"/>
        </w:rPr>
      </w:pPr>
      <w:r>
        <w:rPr>
          <w:rFonts w:ascii="Arial" w:cs="Arial" w:eastAsia="Arial" w:hAnsi="Arial"/>
          <w:sz w:val="18"/>
          <w:szCs w:val="18"/>
          <w:color w:val="auto"/>
        </w:rPr>
        <w:t>Change in fair value of contingent consideration Other</w:t>
      </w:r>
    </w:p>
    <w:p>
      <w:pPr>
        <w:ind w:left="20"/>
        <w:spacing w:after="0"/>
        <w:rPr>
          <w:sz w:val="20"/>
          <w:szCs w:val="20"/>
          <w:color w:val="auto"/>
        </w:rPr>
      </w:pPr>
      <w:r>
        <w:rPr>
          <w:rFonts w:ascii="Arial" w:cs="Arial" w:eastAsia="Arial" w:hAnsi="Arial"/>
          <w:sz w:val="18"/>
          <w:szCs w:val="18"/>
          <w:b w:val="1"/>
          <w:bCs w:val="1"/>
          <w:color w:val="auto"/>
        </w:rPr>
        <w:t>As adjusted (non-GAAP)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Six Months Ended June 30,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130"/>
              <w:spacing w:after="0" w:line="177" w:lineRule="exact"/>
              <w:rPr>
                <w:sz w:val="20"/>
                <w:szCs w:val="20"/>
                <w:color w:val="auto"/>
              </w:rPr>
            </w:pPr>
            <w:r>
              <w:rPr>
                <w:rFonts w:ascii="Arial" w:cs="Arial" w:eastAsia="Arial" w:hAnsi="Arial"/>
                <w:sz w:val="18"/>
                <w:szCs w:val="18"/>
                <w:color w:val="auto"/>
                <w:w w:val="98"/>
              </w:rPr>
              <w:t>Cost of</w:t>
            </w: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110"/>
              <w:spacing w:after="0" w:line="177" w:lineRule="exact"/>
              <w:rPr>
                <w:sz w:val="20"/>
                <w:szCs w:val="20"/>
                <w:color w:val="auto"/>
              </w:rPr>
            </w:pPr>
            <w:r>
              <w:rPr>
                <w:rFonts w:ascii="Arial" w:cs="Arial" w:eastAsia="Arial" w:hAnsi="Arial"/>
                <w:sz w:val="18"/>
                <w:szCs w:val="18"/>
                <w:color w:val="auto"/>
              </w:rPr>
              <w:t>Other</w:t>
            </w: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980" w:type="dxa"/>
            <w:vAlign w:val="bottom"/>
          </w:tcPr>
          <w:p>
            <w:pPr>
              <w:jc w:val="center"/>
              <w:ind w:right="130"/>
              <w:spacing w:after="0" w:line="181" w:lineRule="exact"/>
              <w:rPr>
                <w:sz w:val="20"/>
                <w:szCs w:val="20"/>
                <w:color w:val="auto"/>
              </w:rPr>
            </w:pPr>
            <w:r>
              <w:rPr>
                <w:rFonts w:ascii="Arial" w:cs="Arial" w:eastAsia="Arial" w:hAnsi="Arial"/>
                <w:sz w:val="18"/>
                <w:szCs w:val="18"/>
                <w:color w:val="auto"/>
                <w:w w:val="98"/>
              </w:rPr>
              <w:t>products</w:t>
            </w:r>
          </w:p>
        </w:tc>
        <w:tc>
          <w:tcPr>
            <w:tcW w:w="260" w:type="dxa"/>
            <w:vAlign w:val="bottom"/>
          </w:tcPr>
          <w:p>
            <w:pPr>
              <w:spacing w:after="0"/>
              <w:rPr>
                <w:sz w:val="15"/>
                <w:szCs w:val="15"/>
                <w:color w:val="auto"/>
              </w:rPr>
            </w:pPr>
          </w:p>
        </w:tc>
        <w:tc>
          <w:tcPr>
            <w:tcW w:w="900" w:type="dxa"/>
            <w:vAlign w:val="bottom"/>
            <w:vMerge w:val="restart"/>
          </w:tcPr>
          <w:p>
            <w:pPr>
              <w:jc w:val="right"/>
              <w:ind w:right="230"/>
              <w:spacing w:after="0"/>
              <w:rPr>
                <w:sz w:val="20"/>
                <w:szCs w:val="20"/>
                <w:color w:val="auto"/>
              </w:rPr>
            </w:pPr>
            <w:r>
              <w:rPr>
                <w:rFonts w:ascii="Arial" w:cs="Arial" w:eastAsia="Arial" w:hAnsi="Arial"/>
                <w:sz w:val="18"/>
                <w:szCs w:val="18"/>
                <w:color w:val="auto"/>
              </w:rPr>
              <w:t>SG&amp;A</w:t>
            </w:r>
          </w:p>
        </w:tc>
        <w:tc>
          <w:tcPr>
            <w:tcW w:w="300" w:type="dxa"/>
            <w:vAlign w:val="bottom"/>
          </w:tcPr>
          <w:p>
            <w:pPr>
              <w:spacing w:after="0"/>
              <w:rPr>
                <w:sz w:val="15"/>
                <w:szCs w:val="15"/>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R&amp;D</w:t>
            </w:r>
          </w:p>
        </w:tc>
        <w:tc>
          <w:tcPr>
            <w:tcW w:w="200" w:type="dxa"/>
            <w:vAlign w:val="bottom"/>
          </w:tcPr>
          <w:p>
            <w:pPr>
              <w:spacing w:after="0"/>
              <w:rPr>
                <w:sz w:val="15"/>
                <w:szCs w:val="15"/>
                <w:color w:val="auto"/>
              </w:rPr>
            </w:pPr>
          </w:p>
        </w:tc>
        <w:tc>
          <w:tcPr>
            <w:tcW w:w="980" w:type="dxa"/>
            <w:vAlign w:val="bottom"/>
          </w:tcPr>
          <w:p>
            <w:pPr>
              <w:jc w:val="center"/>
              <w:ind w:right="110"/>
              <w:spacing w:after="0" w:line="181" w:lineRule="exact"/>
              <w:rPr>
                <w:sz w:val="20"/>
                <w:szCs w:val="20"/>
                <w:color w:val="auto"/>
              </w:rPr>
            </w:pPr>
            <w:r>
              <w:rPr>
                <w:rFonts w:ascii="Arial" w:cs="Arial" w:eastAsia="Arial" w:hAnsi="Arial"/>
                <w:sz w:val="18"/>
                <w:szCs w:val="18"/>
                <w:color w:val="auto"/>
                <w:w w:val="98"/>
              </w:rPr>
              <w:t>operating</w:t>
            </w: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6"/>
              </w:rPr>
              <w:t>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income</w:t>
            </w: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240"/>
        </w:trPr>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8,348</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6,546</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rPr>
              <w:t>4,198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8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4,080</w:t>
            </w:r>
          </w:p>
        </w:tc>
        <w:tc>
          <w:tcPr>
            <w:tcW w:w="0" w:type="dxa"/>
            <w:vAlign w:val="bottom"/>
          </w:tcPr>
          <w:p>
            <w:pPr>
              <w:spacing w:after="0"/>
              <w:rPr>
                <w:sz w:val="1"/>
                <w:szCs w:val="1"/>
                <w:color w:val="auto"/>
              </w:rPr>
            </w:pPr>
          </w:p>
        </w:tc>
      </w:tr>
      <w:tr>
        <w:trPr>
          <w:trHeight w:val="436"/>
        </w:trPr>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(3,722)</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35"/>
        </w:trPr>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4,529</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6,519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4,166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(254)</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060" w:space="360"/>
            <w:col w:w="5820"/>
          </w:cols>
          <w:pgMar w:left="320" w:top="894" w:right="33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3. The adjusted tax rate for the first six months of 2025 was 15.3 percent, as detailed below:</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4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Six Months Ended June 30, 2025</w:t>
            </w:r>
          </w:p>
        </w:tc>
        <w:tc>
          <w:tcPr>
            <w:tcW w:w="0" w:type="dxa"/>
            <w:vAlign w:val="bottom"/>
          </w:tcPr>
          <w:p>
            <w:pPr>
              <w:spacing w:after="0"/>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Pre-tax earnings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 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18"/>
        </w:trPr>
        <w:tc>
          <w:tcPr>
            <w:tcW w:w="65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3,215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985</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30.6 %</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r>
              <w:rPr>
                <w:rFonts w:ascii="Arial" w:cs="Arial" w:eastAsia="Arial" w:hAnsi="Arial"/>
                <w:sz w:val="18"/>
                <w:szCs w:val="18"/>
                <w:color w:val="auto"/>
              </w:rPr>
              <w:t>Specified items</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8,188</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764</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11,403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1,749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894" w:right="3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22"/>
          <w:szCs w:val="22"/>
          <w:b w:val="1"/>
          <w:bCs w:val="1"/>
          <w:color w:val="auto"/>
        </w:rPr>
        <w:t>AbbVie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Reconciliation of GAAP Reported to Non-GAAP Adjusted Information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240"/>
          </w:cols>
          <w:pgMar w:left="320" w:top="894" w:right="33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1. Specified items impacted results as follows:</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millions, except per share data)</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reported (GAAP)</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for specified items:</w:t>
      </w:r>
    </w:p>
    <w:p>
      <w:pPr>
        <w:spacing w:after="0" w:line="2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Intangible asset amortization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Acquisition and integration costs</w:t>
      </w:r>
    </w:p>
    <w:p>
      <w:pPr>
        <w:spacing w:after="0" w:line="23" w:lineRule="exact"/>
        <w:rPr>
          <w:sz w:val="20"/>
          <w:szCs w:val="20"/>
          <w:color w:val="auto"/>
        </w:rPr>
      </w:pPr>
    </w:p>
    <w:p>
      <w:pPr>
        <w:ind w:left="140" w:right="2000"/>
        <w:spacing w:after="0" w:line="268" w:lineRule="auto"/>
        <w:rPr>
          <w:sz w:val="20"/>
          <w:szCs w:val="20"/>
          <w:color w:val="auto"/>
        </w:rPr>
      </w:pPr>
      <w:r>
        <w:rPr>
          <w:rFonts w:ascii="Arial" w:cs="Arial" w:eastAsia="Arial" w:hAnsi="Arial"/>
          <w:sz w:val="18"/>
          <w:szCs w:val="18"/>
          <w:color w:val="auto"/>
        </w:rPr>
        <w:t>Change in fair value of contingent consideration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 adjusted (non-GAAP)</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Six Months Ended June 30, 2024</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Earnings</w:t>
            </w:r>
          </w:p>
        </w:tc>
        <w:tc>
          <w:tcPr>
            <w:tcW w:w="11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Diluted</w:t>
            </w:r>
          </w:p>
        </w:tc>
      </w:tr>
      <w:tr>
        <w:trPr>
          <w:trHeight w:val="223"/>
        </w:trPr>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Pre-tax</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line="223" w:lineRule="exact"/>
              <w:rPr>
                <w:sz w:val="20"/>
                <w:szCs w:val="20"/>
                <w:color w:val="auto"/>
              </w:rPr>
            </w:pPr>
            <w:r>
              <w:rPr>
                <w:rFonts w:ascii="Arial" w:cs="Arial" w:eastAsia="Arial" w:hAnsi="Arial"/>
                <w:sz w:val="18"/>
                <w:szCs w:val="18"/>
                <w:color w:val="auto"/>
                <w:w w:val="99"/>
              </w:rPr>
              <w:t>After-tax</w:t>
            </w:r>
            <w:r>
              <w:rPr>
                <w:rFonts w:ascii="Arial" w:cs="Arial" w:eastAsia="Arial" w:hAnsi="Arial"/>
                <w:sz w:val="23"/>
                <w:szCs w:val="23"/>
                <w:color w:val="auto"/>
                <w:w w:val="99"/>
                <w:vertAlign w:val="superscript"/>
              </w:rPr>
              <w:t>a</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EPS</w:t>
            </w:r>
          </w:p>
        </w:tc>
      </w:tr>
      <w:tr>
        <w:trPr>
          <w:trHeight w:val="240"/>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3,901</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2,739</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1.53</w:t>
            </w:r>
          </w:p>
        </w:tc>
      </w:tr>
      <w:tr>
        <w:trPr>
          <w:trHeight w:val="436"/>
        </w:trPr>
        <w:tc>
          <w:tcPr>
            <w:tcW w:w="280" w:type="dxa"/>
            <w:vAlign w:val="bottom"/>
          </w:tcPr>
          <w:p>
            <w:pPr>
              <w:spacing w:after="0"/>
              <w:rPr>
                <w:sz w:val="24"/>
                <w:szCs w:val="24"/>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3,838</w:t>
            </w:r>
          </w:p>
        </w:tc>
        <w:tc>
          <w:tcPr>
            <w:tcW w:w="4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3,254</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29"/>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656</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30"/>
        </w:trPr>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2,136</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2,081</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5"/>
        </w:trPr>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10,642</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8,830</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4.96</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sectPr>
          <w:pgSz w:w="11900" w:h="16838" w:orient="portrait"/>
          <w:cols w:equalWidth="0" w:num="2">
            <w:col w:w="5940" w:space="720"/>
            <w:col w:w="4580"/>
          </w:cols>
          <w:pgMar w:left="320" w:top="894" w:right="339" w:bottom="1440" w:gutter="0" w:footer="0" w:header="0"/>
          <w:type w:val="continuous"/>
        </w:sectPr>
      </w:pPr>
    </w:p>
    <w:p>
      <w:pPr>
        <w:ind w:left="180" w:hanging="172"/>
        <w:spacing w:after="0"/>
        <w:tabs>
          <w:tab w:leader="none" w:pos="1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Represents net earnings attributable to AbbVie Inc. Specified items reflect the impact of applicable statutory tax rates.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Acquisition and integration costs primarily reflect costs related to the ImmunoGen acquisition.</w:t>
      </w:r>
    </w:p>
    <w:p>
      <w:pPr>
        <w:spacing w:after="0" w:line="18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Reported GAAP earnings and adjusted non-GAAP earnings for the six months ended June 30, 2024 included acquired IPR&amp;D and milestones expense of $1.1 billion on a pre-tax and after-tax basis, representing an unfavorable impact of $0.60 to both diluted EPS and adjusted diluted EPS.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20" w:type="dxa"/>
            <w:vAlign w:val="bottom"/>
          </w:tcPr>
          <w:p>
            <w:pPr>
              <w:spacing w:after="0"/>
              <w:rPr>
                <w:sz w:val="20"/>
                <w:szCs w:val="20"/>
                <w:color w:val="auto"/>
              </w:rPr>
            </w:pPr>
            <w:r>
              <w:rPr>
                <w:rFonts w:ascii="Arial" w:cs="Arial" w:eastAsia="Arial" w:hAnsi="Arial"/>
                <w:sz w:val="18"/>
                <w:szCs w:val="18"/>
                <w:color w:val="auto"/>
              </w:rPr>
              <w:t>2. The impact of the specified items by line item was as follows:</w:t>
            </w: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w:t>
            </w:r>
          </w:p>
        </w:tc>
        <w:tc>
          <w:tcPr>
            <w:tcW w:w="108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Six Months Ended June 30, 2024</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820" w:type="dxa"/>
            <w:vAlign w:val="bottom"/>
            <w:vMerge w:val="continue"/>
          </w:tcPr>
          <w:p>
            <w:pPr>
              <w:spacing w:after="0"/>
              <w:rPr>
                <w:sz w:val="14"/>
                <w:szCs w:val="14"/>
                <w:color w:val="auto"/>
              </w:rPr>
            </w:pPr>
          </w:p>
        </w:tc>
        <w:tc>
          <w:tcPr>
            <w:tcW w:w="1080" w:type="dxa"/>
            <w:vAlign w:val="bottom"/>
          </w:tcPr>
          <w:p>
            <w:pPr>
              <w:jc w:val="center"/>
              <w:ind w:right="10"/>
              <w:spacing w:after="0" w:line="169" w:lineRule="exact"/>
              <w:rPr>
                <w:sz w:val="20"/>
                <w:szCs w:val="20"/>
                <w:color w:val="auto"/>
              </w:rPr>
            </w:pPr>
            <w:r>
              <w:rPr>
                <w:rFonts w:ascii="Arial" w:cs="Arial" w:eastAsia="Arial" w:hAnsi="Arial"/>
                <w:sz w:val="18"/>
                <w:szCs w:val="18"/>
                <w:color w:val="auto"/>
              </w:rPr>
              <w:t>Cost of</w:t>
            </w: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jc w:val="center"/>
              <w:ind w:left="10"/>
              <w:spacing w:after="0" w:line="169" w:lineRule="exact"/>
              <w:rPr>
                <w:sz w:val="20"/>
                <w:szCs w:val="20"/>
                <w:color w:val="auto"/>
              </w:rPr>
            </w:pPr>
            <w:r>
              <w:rPr>
                <w:rFonts w:ascii="Arial" w:cs="Arial" w:eastAsia="Arial" w:hAnsi="Arial"/>
                <w:sz w:val="18"/>
                <w:szCs w:val="18"/>
                <w:color w:val="auto"/>
                <w:w w:val="99"/>
              </w:rPr>
              <w:t>Interest</w:t>
            </w:r>
          </w:p>
        </w:tc>
        <w:tc>
          <w:tcPr>
            <w:tcW w:w="1060" w:type="dxa"/>
            <w:vAlign w:val="bottom"/>
          </w:tcPr>
          <w:p>
            <w:pPr>
              <w:jc w:val="center"/>
              <w:spacing w:after="0" w:line="169" w:lineRule="exact"/>
              <w:rPr>
                <w:sz w:val="20"/>
                <w:szCs w:val="20"/>
                <w:color w:val="auto"/>
              </w:rPr>
            </w:pPr>
            <w:r>
              <w:rPr>
                <w:rFonts w:ascii="Arial" w:cs="Arial" w:eastAsia="Arial" w:hAnsi="Arial"/>
                <w:sz w:val="18"/>
                <w:szCs w:val="18"/>
                <w:color w:val="auto"/>
                <w:w w:val="97"/>
              </w:rPr>
              <w:t>Other</w:t>
            </w:r>
          </w:p>
        </w:tc>
        <w:tc>
          <w:tcPr>
            <w:tcW w:w="0" w:type="dxa"/>
            <w:vAlign w:val="bottom"/>
          </w:tcPr>
          <w:p>
            <w:pPr>
              <w:spacing w:after="0"/>
              <w:rPr>
                <w:sz w:val="1"/>
                <w:szCs w:val="1"/>
                <w:color w:val="auto"/>
              </w:rPr>
            </w:pPr>
          </w:p>
        </w:tc>
      </w:tr>
      <w:tr>
        <w:trPr>
          <w:trHeight w:val="175"/>
        </w:trPr>
        <w:tc>
          <w:tcPr>
            <w:tcW w:w="5820" w:type="dxa"/>
            <w:vAlign w:val="bottom"/>
          </w:tcPr>
          <w:p>
            <w:pPr>
              <w:spacing w:after="0"/>
              <w:rPr>
                <w:sz w:val="15"/>
                <w:szCs w:val="15"/>
                <w:color w:val="auto"/>
              </w:rPr>
            </w:pPr>
          </w:p>
        </w:tc>
        <w:tc>
          <w:tcPr>
            <w:tcW w:w="1080" w:type="dxa"/>
            <w:vAlign w:val="bottom"/>
          </w:tcPr>
          <w:p>
            <w:pPr>
              <w:jc w:val="center"/>
              <w:ind w:right="10"/>
              <w:spacing w:after="0" w:line="176" w:lineRule="exact"/>
              <w:rPr>
                <w:sz w:val="20"/>
                <w:szCs w:val="20"/>
                <w:color w:val="auto"/>
              </w:rPr>
            </w:pPr>
            <w:r>
              <w:rPr>
                <w:rFonts w:ascii="Arial" w:cs="Arial" w:eastAsia="Arial" w:hAnsi="Arial"/>
                <w:sz w:val="18"/>
                <w:szCs w:val="18"/>
                <w:color w:val="auto"/>
              </w:rPr>
              <w:t>products</w:t>
            </w:r>
          </w:p>
        </w:tc>
        <w:tc>
          <w:tcPr>
            <w:tcW w:w="1100" w:type="dxa"/>
            <w:vAlign w:val="bottom"/>
            <w:vMerge w:val="restart"/>
          </w:tcPr>
          <w:p>
            <w:pPr>
              <w:ind w:left="260"/>
              <w:spacing w:after="0"/>
              <w:rPr>
                <w:sz w:val="20"/>
                <w:szCs w:val="20"/>
                <w:color w:val="auto"/>
              </w:rPr>
            </w:pPr>
            <w:r>
              <w:rPr>
                <w:rFonts w:ascii="Arial" w:cs="Arial" w:eastAsia="Arial" w:hAnsi="Arial"/>
                <w:sz w:val="18"/>
                <w:szCs w:val="18"/>
                <w:color w:val="auto"/>
              </w:rPr>
              <w:t>SG&amp;A</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R&amp;D</w:t>
            </w: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rPr>
              <w:t>expense,</w:t>
            </w:r>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98"/>
              </w:rPr>
              <w:t>expense,</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1"/>
                <w:szCs w:val="21"/>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color w:val="auto"/>
              </w:rPr>
              <w:t>sold</w:t>
            </w:r>
          </w:p>
        </w:tc>
        <w:tc>
          <w:tcPr>
            <w:tcW w:w="110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net</w:t>
            </w:r>
          </w:p>
        </w:tc>
        <w:tc>
          <w:tcPr>
            <w:tcW w:w="1060" w:type="dxa"/>
            <w:vAlign w:val="bottom"/>
          </w:tcPr>
          <w:p>
            <w:pPr>
              <w:jc w:val="center"/>
              <w:spacing w:after="0"/>
              <w:rPr>
                <w:sz w:val="20"/>
                <w:szCs w:val="20"/>
                <w:color w:val="auto"/>
              </w:rPr>
            </w:pPr>
            <w:r>
              <w:rPr>
                <w:rFonts w:ascii="Arial" w:cs="Arial" w:eastAsia="Arial" w:hAnsi="Arial"/>
                <w:sz w:val="18"/>
                <w:szCs w:val="18"/>
                <w:color w:val="auto"/>
                <w:w w:val="95"/>
              </w:rPr>
              <w:t>net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580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8,296</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6,692</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3,887</w:t>
            </w:r>
          </w:p>
        </w:tc>
        <w:tc>
          <w:tcPr>
            <w:tcW w:w="4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959</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1,931</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Adjusted for specified items:</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5800" w:type="dxa"/>
            <w:vAlign w:val="bottom"/>
          </w:tcPr>
          <w:p>
            <w:pPr>
              <w:ind w:left="120"/>
              <w:spacing w:after="0"/>
              <w:rPr>
                <w:sz w:val="20"/>
                <w:szCs w:val="20"/>
                <w:color w:val="auto"/>
              </w:rPr>
            </w:pPr>
            <w:r>
              <w:rPr>
                <w:rFonts w:ascii="Arial" w:cs="Arial" w:eastAsia="Arial" w:hAnsi="Arial"/>
                <w:sz w:val="18"/>
                <w:szCs w:val="18"/>
                <w:color w:val="auto"/>
              </w:rPr>
              <w:t>Intangible asset amortization</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(3,838)</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00" w:type="dxa"/>
            <w:vAlign w:val="bottom"/>
          </w:tcPr>
          <w:p>
            <w:pPr>
              <w:ind w:left="120"/>
              <w:spacing w:after="0"/>
              <w:rPr>
                <w:sz w:val="20"/>
                <w:szCs w:val="20"/>
                <w:color w:val="auto"/>
              </w:rPr>
            </w:pPr>
            <w:r>
              <w:rPr>
                <w:rFonts w:ascii="Arial" w:cs="Arial" w:eastAsia="Arial" w:hAnsi="Arial"/>
                <w:sz w:val="18"/>
                <w:szCs w:val="18"/>
                <w:color w:val="auto"/>
              </w:rPr>
              <w:t>Acquisition and integration costs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ind w:left="120"/>
              <w:spacing w:after="0"/>
              <w:rPr>
                <w:sz w:val="20"/>
                <w:szCs w:val="20"/>
                <w:color w:val="auto"/>
              </w:rPr>
            </w:pPr>
            <w:r>
              <w:rPr>
                <w:rFonts w:ascii="Arial" w:cs="Arial" w:eastAsia="Arial" w:hAnsi="Arial"/>
                <w:sz w:val="18"/>
                <w:szCs w:val="18"/>
                <w:color w:val="auto"/>
              </w:rPr>
              <w:t>Change in fair value of contingent consideration</w:t>
            </w:r>
          </w:p>
        </w:tc>
        <w:tc>
          <w:tcPr>
            <w:tcW w:w="26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(2,136)</w:t>
            </w:r>
          </w:p>
        </w:tc>
      </w:tr>
      <w:tr>
        <w:trPr>
          <w:trHeight w:val="235"/>
        </w:trPr>
        <w:tc>
          <w:tcPr>
            <w:tcW w:w="5800" w:type="dxa"/>
            <w:vAlign w:val="bottom"/>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580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4,243</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6,347</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3,728</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935</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w:t>
            </w:r>
          </w:p>
        </w:tc>
      </w:tr>
      <w:tr>
        <w:trPr>
          <w:trHeight w:val="21"/>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3. The adjusted tax rate for the first six months of 2024 was 17.0 percent, as detailed below:</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(dollars in millions)</w:t>
            </w:r>
          </w:p>
        </w:tc>
        <w:tc>
          <w:tcPr>
            <w:tcW w:w="4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Six Months Ended June 30, 2024</w:t>
            </w:r>
          </w:p>
        </w:tc>
        <w:tc>
          <w:tcPr>
            <w:tcW w:w="0" w:type="dxa"/>
            <w:vAlign w:val="bottom"/>
          </w:tcPr>
          <w:p>
            <w:pPr>
              <w:spacing w:after="0"/>
              <w:rPr>
                <w:sz w:val="1"/>
                <w:szCs w:val="1"/>
                <w:color w:val="auto"/>
              </w:rPr>
            </w:pPr>
          </w:p>
        </w:tc>
      </w:tr>
      <w:tr>
        <w:trPr>
          <w:trHeight w:val="223"/>
        </w:trPr>
        <w:tc>
          <w:tcPr>
            <w:tcW w:w="6540" w:type="dxa"/>
            <w:vAlign w:val="bottom"/>
            <w:vMerge w:val="continue"/>
          </w:tcPr>
          <w:p>
            <w:pPr>
              <w:spacing w:after="0"/>
              <w:rPr>
                <w:sz w:val="19"/>
                <w:szCs w:val="19"/>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Pre-tax earnings</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Income taxes</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Tax rate</w:t>
            </w:r>
          </w:p>
        </w:tc>
        <w:tc>
          <w:tcPr>
            <w:tcW w:w="0" w:type="dxa"/>
            <w:vAlign w:val="bottom"/>
          </w:tcPr>
          <w:p>
            <w:pPr>
              <w:spacing w:after="0"/>
              <w:rPr>
                <w:sz w:val="1"/>
                <w:szCs w:val="1"/>
                <w:color w:val="auto"/>
              </w:rPr>
            </w:pPr>
          </w:p>
        </w:tc>
      </w:tr>
      <w:tr>
        <w:trPr>
          <w:trHeight w:val="218"/>
        </w:trPr>
        <w:tc>
          <w:tcPr>
            <w:tcW w:w="6540" w:type="dxa"/>
            <w:vAlign w:val="bottom"/>
          </w:tcPr>
          <w:p>
            <w:pPr>
              <w:spacing w:after="0"/>
              <w:rPr>
                <w:sz w:val="20"/>
                <w:szCs w:val="20"/>
                <w:color w:val="auto"/>
              </w:rPr>
            </w:pPr>
            <w:r>
              <w:rPr>
                <w:rFonts w:ascii="Arial" w:cs="Arial" w:eastAsia="Arial" w:hAnsi="Arial"/>
                <w:sz w:val="18"/>
                <w:szCs w:val="18"/>
                <w:b w:val="1"/>
                <w:bCs w:val="1"/>
                <w:color w:val="auto"/>
              </w:rPr>
              <w:t>As reported (GAAP)</w:t>
            </w: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3,901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1,156</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29.6 %</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r>
              <w:rPr>
                <w:rFonts w:ascii="Arial" w:cs="Arial" w:eastAsia="Arial" w:hAnsi="Arial"/>
                <w:sz w:val="18"/>
                <w:szCs w:val="18"/>
                <w:color w:val="auto"/>
              </w:rPr>
              <w:t>Specified items</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6,741</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650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As adjusted (non-GAAP)</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10,642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1,806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17.0 %</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w:t>
      </w:r>
    </w:p>
    <w:sectPr>
      <w:pgSz w:w="11900" w:h="16838" w:orient="portrait"/>
      <w:cols w:equalWidth="0" w:num="1">
        <w:col w:w="11240"/>
      </w:cols>
      <w:pgMar w:left="320" w:top="89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
      <w:numFmt w:val="bullet"/>
      <w:start w:val="1"/>
    </w:lvl>
  </w:abstractNum>
  <w:abstractNum w:abstractNumId="3">
    <w:nsid w:val="1F16E9E8"/>
    <w:multiLevelType w:val="hybridMultilevel"/>
    <w:lvl w:ilvl="0">
      <w:lvlJc w:val="left"/>
      <w:lvlText w:val="•"/>
      <w:numFmt w:val="bullet"/>
      <w:start w:val="1"/>
    </w:lvl>
    <w:lvl w:ilvl="1">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a"/>
      <w:numFmt w:val="bullet"/>
      <w:start w:val="1"/>
    </w:lvl>
  </w:abstractNum>
  <w:abstractNum w:abstractNumId="7">
    <w:nsid w:val="3352255A"/>
    <w:multiLevelType w:val="hybridMultilevel"/>
    <w:lvl w:ilvl="0">
      <w:lvlJc w:val="left"/>
      <w:lvlText w:val="b"/>
      <w:numFmt w:val="bullet"/>
      <w:start w:val="1"/>
    </w:lvl>
  </w:abstractNum>
  <w:abstractNum w:abstractNumId="8">
    <w:nsid w:val="109CF92E"/>
    <w:multiLevelType w:val="hybridMultilevel"/>
    <w:lvl w:ilvl="0">
      <w:lvlJc w:val="left"/>
      <w:lvlText w:val="c"/>
      <w:numFmt w:val="bullet"/>
      <w:start w:val="1"/>
    </w:lvl>
  </w:abstractNum>
  <w:abstractNum w:abstractNumId="9">
    <w:nsid w:val="DED7263"/>
    <w:multiLevelType w:val="hybridMultilevel"/>
    <w:lvl w:ilvl="0">
      <w:lvlJc w:val="left"/>
      <w:lvlText w:val="a"/>
      <w:numFmt w:val="bullet"/>
      <w:start w:val="1"/>
    </w:lvl>
  </w:abstractNum>
  <w:abstractNum w:abstractNumId="10">
    <w:nsid w:val="7FDCC233"/>
    <w:multiLevelType w:val="hybridMultilevel"/>
    <w:lvl w:ilvl="0">
      <w:lvlJc w:val="left"/>
      <w:lvlText w:val="c"/>
      <w:numFmt w:val="bullet"/>
      <w:start w:val="1"/>
    </w:lvl>
  </w:abstractNum>
  <w:abstractNum w:abstractNumId="11">
    <w:nsid w:val="1BEFD79F"/>
    <w:multiLevelType w:val="hybridMultilevel"/>
    <w:lvl w:ilvl="0">
      <w:lvlJc w:val="left"/>
      <w:lvlText w:val="a"/>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a"/>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a"/>
      <w:numFmt w:val="bullet"/>
      <w:start w:val="1"/>
    </w:lvl>
  </w:abstractNum>
  <w:abstractNum w:abstractNumId="16">
    <w:nsid w:val="519B500D"/>
    <w:multiLevelType w:val="hybridMultilevel"/>
    <w:lvl w:ilvl="0">
      <w:lvlJc w:val="left"/>
      <w:lvlText w:val="a"/>
      <w:numFmt w:val="bullet"/>
      <w:start w:val="1"/>
    </w:lvl>
  </w:abstractNum>
  <w:abstractNum w:abstractNumId="17">
    <w:nsid w:val="431BD7B7"/>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2025-07-31T06:53:32Z</dcterms:created>
  <dcterms:modified xsi:type="dcterms:W3CDTF">2025-07-31T06:53:32Z</dcterms:modified>
</cp:coreProperties>
</file>