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jc w:val="center"/>
        <w:ind w:right="-39"/>
        <w:spacing w:after="0" w:line="232" w:lineRule="auto"/>
        <w:rPr>
          <w:sz w:val="20"/>
          <w:szCs w:val="20"/>
          <w:color w:val="auto"/>
        </w:rPr>
      </w:pPr>
      <w:r>
        <w:rPr>
          <w:rFonts w:ascii="Calibri" w:cs="Calibri" w:eastAsia="Calibri" w:hAnsi="Calibri"/>
          <w:sz w:val="32"/>
          <w:szCs w:val="32"/>
          <w:b w:val="1"/>
          <w:bCs w:val="1"/>
          <w:color w:val="auto"/>
        </w:rPr>
        <w:t>SECURITIES AND EXCHANGE COMMISSION</w:t>
      </w:r>
    </w:p>
    <w:p>
      <w:pPr>
        <w:spacing w:after="0" w:line="15"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b w:val="1"/>
          <w:bCs w:val="1"/>
          <w:color w:val="auto"/>
        </w:rPr>
        <w:t>Washington, D.C. 20549</w:t>
      </w:r>
    </w:p>
    <w:p>
      <w:pPr>
        <w:ind w:left="3320"/>
        <w:spacing w:after="0" w:line="235" w:lineRule="auto"/>
        <w:rPr>
          <w:sz w:val="20"/>
          <w:szCs w:val="20"/>
          <w:color w:val="auto"/>
        </w:rPr>
      </w:pPr>
      <w:r>
        <w:rPr>
          <w:rFonts w:ascii="Calibri" w:cs="Calibri" w:eastAsia="Calibri" w:hAnsi="Calibri"/>
          <w:sz w:val="18"/>
          <w:szCs w:val="18"/>
          <w:color w:val="auto"/>
        </w:rPr>
        <w:t>_____________________________________________________</w:t>
      </w:r>
    </w:p>
    <w:p>
      <w:pPr>
        <w:jc w:val="center"/>
        <w:ind w:right="-39"/>
        <w:spacing w:after="0" w:line="229" w:lineRule="auto"/>
        <w:rPr>
          <w:sz w:val="20"/>
          <w:szCs w:val="20"/>
          <w:color w:val="auto"/>
        </w:rPr>
      </w:pPr>
      <w:r>
        <w:rPr>
          <w:rFonts w:ascii="Calibri" w:cs="Calibri" w:eastAsia="Calibri" w:hAnsi="Calibri"/>
          <w:sz w:val="32"/>
          <w:szCs w:val="32"/>
          <w:b w:val="1"/>
          <w:bCs w:val="1"/>
          <w:color w:val="auto"/>
        </w:rPr>
        <w:t>FORM 8-K</w:t>
      </w:r>
    </w:p>
    <w:p>
      <w:pPr>
        <w:spacing w:after="0" w:line="178" w:lineRule="exact"/>
        <w:rPr>
          <w:sz w:val="24"/>
          <w:szCs w:val="24"/>
          <w:color w:val="auto"/>
        </w:rPr>
      </w:pPr>
    </w:p>
    <w:p>
      <w:pPr>
        <w:jc w:val="center"/>
        <w:ind w:right="-39"/>
        <w:spacing w:after="0"/>
        <w:rPr>
          <w:sz w:val="20"/>
          <w:szCs w:val="20"/>
          <w:color w:val="auto"/>
        </w:rPr>
      </w:pPr>
      <w:r>
        <w:rPr>
          <w:rFonts w:ascii="Calibri" w:cs="Calibri" w:eastAsia="Calibri" w:hAnsi="Calibri"/>
          <w:sz w:val="22"/>
          <w:szCs w:val="22"/>
          <w:b w:val="1"/>
          <w:bCs w:val="1"/>
          <w:color w:val="auto"/>
        </w:rPr>
        <w:t>CURRENT REPORT</w:t>
      </w:r>
    </w:p>
    <w:p>
      <w:pPr>
        <w:jc w:val="center"/>
        <w:ind w:right="-39"/>
        <w:spacing w:after="0" w:line="231" w:lineRule="auto"/>
        <w:rPr>
          <w:sz w:val="20"/>
          <w:szCs w:val="20"/>
          <w:color w:val="auto"/>
        </w:rPr>
      </w:pPr>
      <w:r>
        <w:rPr>
          <w:rFonts w:ascii="Calibri" w:cs="Calibri" w:eastAsia="Calibri" w:hAnsi="Calibri"/>
          <w:sz w:val="22"/>
          <w:szCs w:val="22"/>
          <w:b w:val="1"/>
          <w:bCs w:val="1"/>
          <w:color w:val="auto"/>
        </w:rPr>
        <w:t>Pursuant to Secton 13 or 15(d) of the</w:t>
      </w:r>
    </w:p>
    <w:p>
      <w:pPr>
        <w:jc w:val="center"/>
        <w:ind w:right="-39"/>
        <w:spacing w:after="0" w:line="229" w:lineRule="auto"/>
        <w:rPr>
          <w:sz w:val="20"/>
          <w:szCs w:val="20"/>
          <w:color w:val="auto"/>
        </w:rPr>
      </w:pPr>
      <w:r>
        <w:rPr>
          <w:rFonts w:ascii="Calibri" w:cs="Calibri" w:eastAsia="Calibri" w:hAnsi="Calibri"/>
          <w:sz w:val="22"/>
          <w:szCs w:val="22"/>
          <w:b w:val="1"/>
          <w:bCs w:val="1"/>
          <w:color w:val="auto"/>
        </w:rPr>
        <w:t>Securites Exchange Act of 1934</w:t>
      </w:r>
    </w:p>
    <w:p>
      <w:pPr>
        <w:spacing w:after="0" w:line="135"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color w:val="auto"/>
        </w:rPr>
        <w:t>Date of Report (Date of earliest event reported): January 6, 2025</w:t>
      </w:r>
    </w:p>
    <w:p>
      <w:pPr>
        <w:spacing w:after="0" w:line="158" w:lineRule="exact"/>
        <w:rPr>
          <w:sz w:val="24"/>
          <w:szCs w:val="24"/>
          <w:color w:val="auto"/>
        </w:rPr>
      </w:pPr>
    </w:p>
    <w:p>
      <w:pPr>
        <w:jc w:val="center"/>
        <w:ind w:right="-39"/>
        <w:spacing w:after="0"/>
        <w:rPr>
          <w:sz w:val="20"/>
          <w:szCs w:val="20"/>
          <w:color w:val="auto"/>
        </w:rPr>
      </w:pPr>
      <w:r>
        <w:rPr>
          <w:rFonts w:ascii="Calibri" w:cs="Calibri" w:eastAsia="Calibri" w:hAnsi="Calibri"/>
          <w:sz w:val="32"/>
          <w:szCs w:val="32"/>
          <w:b w:val="1"/>
          <w:bCs w:val="1"/>
          <w:color w:val="auto"/>
        </w:rPr>
        <w:t>ABBVIE INC.</w:t>
      </w:r>
    </w:p>
    <w:p>
      <w:pPr>
        <w:spacing w:after="0" w:line="14"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color w:val="auto"/>
        </w:rPr>
        <w:t>(Exact name of registrant as specifed in its charter)</w:t>
      </w:r>
    </w:p>
    <w:p>
      <w:pPr>
        <w:sectPr>
          <w:pgSz w:w="11900" w:h="16838" w:orient="portrait"/>
          <w:cols w:equalWidth="0" w:num="1">
            <w:col w:w="11200"/>
          </w:cols>
          <w:pgMar w:left="320" w:top="1179" w:right="379" w:bottom="1440" w:gutter="0" w:footer="0" w:header="0"/>
        </w:sectPr>
      </w:pPr>
    </w:p>
    <w:p>
      <w:pPr>
        <w:spacing w:after="0" w:line="42" w:lineRule="exact"/>
        <w:rPr>
          <w:sz w:val="24"/>
          <w:szCs w:val="24"/>
          <w:color w:val="auto"/>
        </w:rPr>
      </w:pPr>
    </w:p>
    <w:p>
      <w:pPr>
        <w:ind w:left="1380"/>
        <w:spacing w:after="0"/>
        <w:rPr>
          <w:sz w:val="20"/>
          <w:szCs w:val="20"/>
          <w:color w:val="auto"/>
        </w:rPr>
      </w:pPr>
      <w:r>
        <w:rPr>
          <w:rFonts w:ascii="Calibri" w:cs="Calibri" w:eastAsia="Calibri" w:hAnsi="Calibri"/>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2340"/>
        <w:spacing w:after="0"/>
        <w:rPr>
          <w:sz w:val="20"/>
          <w:szCs w:val="20"/>
          <w:color w:val="auto"/>
        </w:rPr>
      </w:pPr>
      <w:r>
        <w:rPr>
          <w:rFonts w:ascii="Calibri" w:cs="Calibri" w:eastAsia="Calibri" w:hAnsi="Calibri"/>
          <w:sz w:val="17"/>
          <w:szCs w:val="17"/>
          <w:b w:val="1"/>
          <w:bCs w:val="1"/>
          <w:color w:val="auto"/>
        </w:rPr>
        <w:t>001-35565</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32-0375147</w:t>
      </w:r>
    </w:p>
    <w:p>
      <w:pPr>
        <w:spacing w:after="0" w:line="17" w:lineRule="exact"/>
        <w:rPr>
          <w:sz w:val="24"/>
          <w:szCs w:val="24"/>
          <w:color w:val="auto"/>
        </w:rPr>
      </w:pPr>
    </w:p>
    <w:p>
      <w:pPr>
        <w:sectPr>
          <w:pgSz w:w="11900" w:h="16838" w:orient="portrait"/>
          <w:cols w:equalWidth="0" w:num="3">
            <w:col w:w="4480" w:space="720"/>
            <w:col w:w="3120" w:space="720"/>
            <w:col w:w="2160"/>
          </w:cols>
          <w:pgMar w:left="320" w:top="1179" w:right="379" w:bottom="1440" w:gutter="0" w:footer="0" w:header="0"/>
          <w:type w:val="continuous"/>
        </w:sectPr>
      </w:pPr>
    </w:p>
    <w:p>
      <w:pPr>
        <w:spacing w:after="0" w:line="5" w:lineRule="exact"/>
        <w:rPr>
          <w:sz w:val="24"/>
          <w:szCs w:val="24"/>
          <w:color w:val="auto"/>
        </w:rPr>
      </w:pPr>
    </w:p>
    <w:p>
      <w:pPr>
        <w:jc w:val="center"/>
        <w:ind w:right="460"/>
        <w:spacing w:after="0"/>
        <w:rPr>
          <w:sz w:val="20"/>
          <w:szCs w:val="20"/>
          <w:color w:val="auto"/>
        </w:rPr>
      </w:pPr>
      <w:r>
        <w:rPr>
          <w:rFonts w:ascii="Calibri" w:cs="Calibri" w:eastAsia="Calibri" w:hAnsi="Calibri"/>
          <w:sz w:val="17"/>
          <w:szCs w:val="17"/>
          <w:color w:val="auto"/>
        </w:rPr>
        <w:t>(State or other Jurisdicton</w:t>
      </w:r>
    </w:p>
    <w:p>
      <w:pPr>
        <w:spacing w:after="0" w:line="17" w:lineRule="exact"/>
        <w:rPr>
          <w:sz w:val="24"/>
          <w:szCs w:val="24"/>
          <w:color w:val="auto"/>
        </w:rPr>
      </w:pPr>
    </w:p>
    <w:p>
      <w:pPr>
        <w:jc w:val="center"/>
        <w:ind w:right="460"/>
        <w:spacing w:after="0"/>
        <w:rPr>
          <w:sz w:val="20"/>
          <w:szCs w:val="20"/>
          <w:color w:val="auto"/>
        </w:rPr>
      </w:pPr>
      <w:r>
        <w:rPr>
          <w:rFonts w:ascii="Calibri" w:cs="Calibri" w:eastAsia="Calibri" w:hAnsi="Calibri"/>
          <w:sz w:val="18"/>
          <w:szCs w:val="18"/>
          <w:color w:val="auto"/>
        </w:rPr>
        <w:t>of Incorporaton)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7"/>
          <w:szCs w:val="17"/>
          <w:color w:val="auto"/>
        </w:rPr>
        <w:t>(Commission 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Calibri" w:cs="Calibri" w:eastAsia="Calibri" w:hAnsi="Calibri"/>
          <w:sz w:val="18"/>
          <w:szCs w:val="18"/>
          <w:color w:val="auto"/>
        </w:rPr>
        <w:t>(IRS Employer</w:t>
      </w:r>
    </w:p>
    <w:p>
      <w:pPr>
        <w:spacing w:after="0" w:line="10" w:lineRule="exact"/>
        <w:rPr>
          <w:sz w:val="24"/>
          <w:szCs w:val="24"/>
          <w:color w:val="auto"/>
        </w:rPr>
      </w:pPr>
    </w:p>
    <w:p>
      <w:pPr>
        <w:jc w:val="center"/>
        <w:ind w:right="1080"/>
        <w:spacing w:after="0"/>
        <w:rPr>
          <w:sz w:val="20"/>
          <w:szCs w:val="20"/>
          <w:color w:val="auto"/>
        </w:rPr>
      </w:pPr>
      <w:r>
        <w:rPr>
          <w:rFonts w:ascii="Calibri" w:cs="Calibri" w:eastAsia="Calibri" w:hAnsi="Calibri"/>
          <w:sz w:val="18"/>
          <w:szCs w:val="18"/>
          <w:color w:val="auto"/>
        </w:rPr>
        <w:t>Identfcaton No.)</w:t>
      </w:r>
    </w:p>
    <w:p>
      <w:pPr>
        <w:spacing w:after="0" w:line="82" w:lineRule="exact"/>
        <w:rPr>
          <w:sz w:val="24"/>
          <w:szCs w:val="24"/>
          <w:color w:val="auto"/>
        </w:rPr>
      </w:pPr>
    </w:p>
    <w:p>
      <w:pPr>
        <w:sectPr>
          <w:pgSz w:w="11900" w:h="16838" w:orient="portrait"/>
          <w:cols w:equalWidth="0" w:num="3">
            <w:col w:w="3920" w:space="720"/>
            <w:col w:w="3460" w:space="720"/>
            <w:col w:w="2380"/>
          </w:cols>
          <w:pgMar w:left="320" w:top="1179" w:right="379" w:bottom="1440" w:gutter="0" w:footer="0" w:header="0"/>
          <w:type w:val="continuous"/>
        </w:sectPr>
      </w:pPr>
    </w:p>
    <w:p>
      <w:pPr>
        <w:jc w:val="center"/>
        <w:ind w:right="-79"/>
        <w:spacing w:after="0"/>
        <w:rPr>
          <w:sz w:val="20"/>
          <w:szCs w:val="20"/>
          <w:color w:val="auto"/>
        </w:rPr>
      </w:pPr>
      <w:r>
        <w:rPr>
          <w:rFonts w:ascii="Calibri" w:cs="Calibri" w:eastAsia="Calibri" w:hAnsi="Calibri"/>
          <w:sz w:val="17"/>
          <w:szCs w:val="17"/>
          <w:color w:val="auto"/>
        </w:rPr>
        <w:t>_____________________________________________________</w:t>
      </w:r>
    </w:p>
    <w:p>
      <w:pPr>
        <w:spacing w:after="0" w:line="4"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b w:val="1"/>
          <w:bCs w:val="1"/>
          <w:color w:val="auto"/>
        </w:rPr>
        <w:t>1 North Waukegan Road</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North Chicago, Illinois 60064-6400</w:t>
      </w:r>
    </w:p>
    <w:p>
      <w:pPr>
        <w:jc w:val="center"/>
        <w:ind w:right="-39"/>
        <w:spacing w:after="0" w:line="236" w:lineRule="auto"/>
        <w:rPr>
          <w:sz w:val="20"/>
          <w:szCs w:val="20"/>
          <w:color w:val="auto"/>
        </w:rPr>
      </w:pPr>
      <w:r>
        <w:rPr>
          <w:rFonts w:ascii="Calibri" w:cs="Calibri" w:eastAsia="Calibri" w:hAnsi="Calibri"/>
          <w:sz w:val="18"/>
          <w:szCs w:val="18"/>
          <w:color w:val="auto"/>
        </w:rPr>
        <w:t>(Address of principal executve ofces)(Zip Code)</w:t>
      </w:r>
    </w:p>
    <w:p>
      <w:pPr>
        <w:sectPr>
          <w:pgSz w:w="11900" w:h="16838" w:orient="portrait"/>
          <w:cols w:equalWidth="0" w:num="1">
            <w:col w:w="11200"/>
          </w:cols>
          <w:pgMar w:left="320" w:top="1179" w:right="379" w:bottom="1440" w:gutter="0" w:footer="0" w:header="0"/>
          <w:type w:val="continuous"/>
        </w:sectPr>
      </w:pPr>
    </w:p>
    <w:p>
      <w:pPr>
        <w:spacing w:after="0" w:line="137" w:lineRule="exact"/>
        <w:rPr>
          <w:sz w:val="24"/>
          <w:szCs w:val="24"/>
          <w:color w:val="auto"/>
        </w:rPr>
      </w:pPr>
    </w:p>
    <w:p>
      <w:pPr>
        <w:ind w:left="3180"/>
        <w:spacing w:after="0"/>
        <w:rPr>
          <w:sz w:val="20"/>
          <w:szCs w:val="20"/>
          <w:color w:val="auto"/>
        </w:rPr>
      </w:pPr>
      <w:r>
        <w:rPr>
          <w:rFonts w:ascii="Calibri" w:cs="Calibri" w:eastAsia="Calibri" w:hAnsi="Calibri"/>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(847) 932-7900</w:t>
      </w:r>
    </w:p>
    <w:p>
      <w:pPr>
        <w:spacing w:after="0" w:line="130" w:lineRule="exact"/>
        <w:rPr>
          <w:sz w:val="24"/>
          <w:szCs w:val="24"/>
          <w:color w:val="auto"/>
        </w:rPr>
      </w:pPr>
    </w:p>
    <w:p>
      <w:pPr>
        <w:sectPr>
          <w:pgSz w:w="11900" w:h="16838" w:orient="portrait"/>
          <w:cols w:equalWidth="0" w:num="2">
            <w:col w:w="6880" w:space="80"/>
            <w:col w:w="4240"/>
          </w:cols>
          <w:pgMar w:left="320" w:top="1179" w:right="379" w:bottom="1440" w:gutter="0" w:footer="0" w:header="0"/>
          <w:type w:val="continuous"/>
        </w:sectPr>
      </w:pPr>
    </w:p>
    <w:p>
      <w:pPr>
        <w:ind w:right="200"/>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w:t>
      </w:r>
    </w:p>
    <w:p>
      <w:pPr>
        <w:spacing w:after="0" w:line="18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122" w:lineRule="exact"/>
        <w:rPr>
          <w:rFonts w:ascii="MS PGothic" w:cs="MS PGothic" w:eastAsia="MS PGothic" w:hAnsi="MS PGothic"/>
          <w:sz w:val="18"/>
          <w:szCs w:val="18"/>
          <w:color w:val="auto"/>
        </w:rPr>
      </w:pPr>
    </w:p>
    <w:p>
      <w:pPr>
        <w:ind w:left="3580" w:right="2920" w:hanging="3572"/>
        <w:spacing w:after="0" w:line="348" w:lineRule="auto"/>
        <w:tabs>
          <w:tab w:leader="none" w:pos="461"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 Securites registered pursuant to Secton 12(b) of the Act:</w:t>
      </w:r>
    </w:p>
    <w:p>
      <w:pPr>
        <w:spacing w:after="0" w:line="40"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b w:val="1"/>
                <w:bCs w:val="1"/>
                <w:color w:val="auto"/>
              </w:rPr>
              <w:t>Title of each class</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b w:val="1"/>
                <w:bCs w:val="1"/>
                <w:color w:val="auto"/>
              </w:rPr>
              <w:t>Trading Symbol(s)</w:t>
            </w:r>
          </w:p>
        </w:tc>
        <w:tc>
          <w:tcPr>
            <w:tcW w:w="3760" w:type="dxa"/>
            <w:vAlign w:val="bottom"/>
          </w:tcPr>
          <w:p>
            <w:pPr>
              <w:jc w:val="center"/>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28"/>
        </w:trPr>
        <w:tc>
          <w:tcPr>
            <w:tcW w:w="3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187"/>
        </w:trPr>
        <w:tc>
          <w:tcPr>
            <w:tcW w:w="3440" w:type="dxa"/>
            <w:vAlign w:val="bottom"/>
          </w:tcPr>
          <w:p>
            <w:pPr>
              <w:jc w:val="center"/>
              <w:spacing w:after="0" w:line="187" w:lineRule="exact"/>
              <w:rPr>
                <w:sz w:val="20"/>
                <w:szCs w:val="20"/>
                <w:color w:val="auto"/>
              </w:rPr>
            </w:pPr>
            <w:r>
              <w:rPr>
                <w:rFonts w:ascii="Calibri" w:cs="Calibri" w:eastAsia="Calibri" w:hAnsi="Calibri"/>
                <w:sz w:val="16"/>
                <w:szCs w:val="16"/>
                <w:color w:val="auto"/>
              </w:rPr>
              <w:t>Common Stock, $0.01 Par Value</w:t>
            </w:r>
          </w:p>
        </w:tc>
        <w:tc>
          <w:tcPr>
            <w:tcW w:w="240" w:type="dxa"/>
            <w:vAlign w:val="bottom"/>
          </w:tcPr>
          <w:p>
            <w:pPr>
              <w:spacing w:after="0"/>
              <w:rPr>
                <w:sz w:val="16"/>
                <w:szCs w:val="16"/>
                <w:color w:val="auto"/>
              </w:rPr>
            </w:pPr>
          </w:p>
        </w:tc>
        <w:tc>
          <w:tcPr>
            <w:tcW w:w="3440" w:type="dxa"/>
            <w:vAlign w:val="bottom"/>
          </w:tcPr>
          <w:p>
            <w:pPr>
              <w:jc w:val="center"/>
              <w:spacing w:after="0" w:line="187" w:lineRule="exact"/>
              <w:rPr>
                <w:sz w:val="20"/>
                <w:szCs w:val="20"/>
                <w:color w:val="auto"/>
              </w:rPr>
            </w:pPr>
            <w:r>
              <w:rPr>
                <w:rFonts w:ascii="Calibri" w:cs="Calibri" w:eastAsia="Calibri" w:hAnsi="Calibri"/>
                <w:sz w:val="16"/>
                <w:szCs w:val="16"/>
                <w:color w:val="auto"/>
              </w:rPr>
              <w:t>ABBV</w:t>
            </w:r>
          </w:p>
        </w:tc>
        <w:tc>
          <w:tcPr>
            <w:tcW w:w="260" w:type="dxa"/>
            <w:vAlign w:val="bottom"/>
          </w:tcPr>
          <w:p>
            <w:pPr>
              <w:spacing w:after="0"/>
              <w:rPr>
                <w:sz w:val="16"/>
                <w:szCs w:val="16"/>
                <w:color w:val="auto"/>
              </w:rPr>
            </w:pPr>
          </w:p>
        </w:tc>
        <w:tc>
          <w:tcPr>
            <w:tcW w:w="3760" w:type="dxa"/>
            <w:vAlign w:val="bottom"/>
          </w:tcPr>
          <w:p>
            <w:pPr>
              <w:jc w:val="center"/>
              <w:spacing w:after="0" w:line="187" w:lineRule="exact"/>
              <w:rPr>
                <w:sz w:val="20"/>
                <w:szCs w:val="20"/>
                <w:color w:val="auto"/>
              </w:rPr>
            </w:pPr>
            <w:r>
              <w:rPr>
                <w:rFonts w:ascii="Calibri" w:cs="Calibri" w:eastAsia="Calibri" w:hAnsi="Calibri"/>
                <w:sz w:val="16"/>
                <w:szCs w:val="16"/>
                <w:color w:val="auto"/>
                <w:w w:val="99"/>
              </w:rPr>
              <w:t>New York Stock Exchange</w:t>
            </w:r>
          </w:p>
        </w:tc>
      </w:tr>
      <w:tr>
        <w:trPr>
          <w:trHeight w:val="211"/>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Calibri" w:cs="Calibri" w:eastAsia="Calibri" w:hAnsi="Calibri"/>
                <w:sz w:val="16"/>
                <w:szCs w:val="16"/>
                <w:color w:val="auto"/>
              </w:rPr>
              <w:t>Chicago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0.750% Senior Notes due 2027</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ABBV27</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2.125% Senior Notes due 2028</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ABBV28</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2.625% Senior Notes due 2028</w:t>
            </w:r>
          </w:p>
        </w:tc>
        <w:tc>
          <w:tcPr>
            <w:tcW w:w="3700" w:type="dxa"/>
            <w:vAlign w:val="bottom"/>
            <w:gridSpan w:val="2"/>
          </w:tcPr>
          <w:p>
            <w:pPr>
              <w:jc w:val="center"/>
              <w:ind w:right="280"/>
              <w:spacing w:after="0"/>
              <w:rPr>
                <w:sz w:val="20"/>
                <w:szCs w:val="20"/>
                <w:color w:val="auto"/>
              </w:rPr>
            </w:pPr>
            <w:r>
              <w:rPr>
                <w:rFonts w:ascii="Calibri" w:cs="Calibri" w:eastAsia="Calibri" w:hAnsi="Calibri"/>
                <w:sz w:val="16"/>
                <w:szCs w:val="16"/>
                <w:color w:val="auto"/>
              </w:rPr>
              <w:t>ABBV28B</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2.125% Senior Notes due 2029</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ABBV29</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1.250% Senior Notes due 2031</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ABBV31</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bl>
    <w:p>
      <w:pPr>
        <w:spacing w:after="0" w:line="181" w:lineRule="exact"/>
        <w:rPr>
          <w:sz w:val="24"/>
          <w:szCs w:val="24"/>
          <w:color w:val="auto"/>
        </w:rPr>
      </w:pPr>
    </w:p>
    <w:p>
      <w:pPr>
        <w:ind w:right="6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(§230.405 of this chapter) or Rule 12b-2 of the Securites Exchange Act of 1934 (§240.12b-2 of this chapter).</w:t>
      </w:r>
    </w:p>
    <w:p>
      <w:pPr>
        <w:spacing w:after="0" w:line="73" w:lineRule="exact"/>
        <w:rPr>
          <w:sz w:val="24"/>
          <w:szCs w:val="24"/>
          <w:color w:val="auto"/>
        </w:rPr>
      </w:pPr>
    </w:p>
    <w:p>
      <w:pPr>
        <w:spacing w:after="0" w:line="220" w:lineRule="exact"/>
        <w:rPr>
          <w:sz w:val="20"/>
          <w:szCs w:val="20"/>
          <w:color w:val="auto"/>
        </w:rPr>
      </w:pPr>
      <w:r>
        <w:rPr>
          <w:rFonts w:ascii="Calibri" w:cs="Calibri" w:eastAsia="Calibri" w:hAnsi="Calibri"/>
          <w:sz w:val="18"/>
          <w:szCs w:val="18"/>
          <w:color w:val="auto"/>
        </w:rPr>
        <w:t xml:space="preserve">Emerging growth company </w:t>
      </w:r>
      <w:r>
        <w:rPr>
          <w:rFonts w:ascii="MS PGothic" w:cs="MS PGothic" w:eastAsia="MS PGothic" w:hAnsi="MS PGothic"/>
          <w:sz w:val="18"/>
          <w:szCs w:val="18"/>
          <w:color w:val="auto"/>
        </w:rPr>
        <w:t>☐</w:t>
      </w:r>
    </w:p>
    <w:p>
      <w:pPr>
        <w:spacing w:after="0" w:line="154" w:lineRule="exact"/>
        <w:rPr>
          <w:sz w:val="24"/>
          <w:szCs w:val="24"/>
          <w:color w:val="auto"/>
        </w:rPr>
      </w:pPr>
    </w:p>
    <w:p>
      <w:pPr>
        <w:ind w:right="60"/>
        <w:spacing w:after="0" w:line="241"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1179" w:right="37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20"/>
          <w:szCs w:val="20"/>
          <w:b w:val="1"/>
          <w:bCs w:val="1"/>
          <w:color w:val="auto"/>
        </w:rPr>
        <w:t>Item 2.02 Results of Operatons and Financial Conditon</w:t>
      </w:r>
    </w:p>
    <w:p>
      <w:pPr>
        <w:spacing w:after="0" w:line="225" w:lineRule="exact"/>
        <w:rPr>
          <w:sz w:val="20"/>
          <w:szCs w:val="20"/>
          <w:color w:val="auto"/>
        </w:rPr>
      </w:pPr>
    </w:p>
    <w:p>
      <w:pPr>
        <w:ind w:right="100"/>
        <w:spacing w:after="0" w:line="221" w:lineRule="auto"/>
        <w:rPr>
          <w:sz w:val="20"/>
          <w:szCs w:val="20"/>
          <w:color w:val="auto"/>
        </w:rPr>
      </w:pPr>
      <w:r>
        <w:rPr>
          <w:rFonts w:ascii="Calibri" w:cs="Calibri" w:eastAsia="Calibri" w:hAnsi="Calibri"/>
          <w:sz w:val="20"/>
          <w:szCs w:val="20"/>
          <w:color w:val="auto"/>
        </w:rPr>
        <w:t>Reported GAAP earnings and adjusted non-GAAP earnings for the fourth quarter of 2024 are expected to include acquired IPR&amp;D and milestones expense of $1.6 billion on a pre-tax basis, representng an unfavorable impact of $0.88 to both GAAP diluted earnings per share and adjusted non-GAAP diluted earnings per share. Results for the quarter ended December 31, 2024 have not been fnalized and are subject to our fnancial statement closing procedures. There can be no assurance that our fnal results will not difer from these preliminary estmates.</w:t>
      </w:r>
    </w:p>
    <w:p>
      <w:pPr>
        <w:spacing w:after="0" w:line="226" w:lineRule="exact"/>
        <w:rPr>
          <w:sz w:val="20"/>
          <w:szCs w:val="20"/>
          <w:color w:val="auto"/>
        </w:rPr>
      </w:pPr>
    </w:p>
    <w:p>
      <w:pPr>
        <w:ind w:right="80"/>
        <w:spacing w:after="0" w:line="220" w:lineRule="auto"/>
        <w:rPr>
          <w:sz w:val="20"/>
          <w:szCs w:val="20"/>
          <w:color w:val="auto"/>
        </w:rPr>
      </w:pPr>
      <w:r>
        <w:rPr>
          <w:rFonts w:ascii="Calibri" w:cs="Calibri" w:eastAsia="Calibri" w:hAnsi="Calibri"/>
          <w:sz w:val="20"/>
          <w:szCs w:val="20"/>
          <w:color w:val="auto"/>
        </w:rPr>
        <w:t>While acquired IPR&amp;D and milestones expense may be incurred upon executon of collaboratons, licensing agreements, and other asset acquisitons, AbbVie does not forecast acquired IPR&amp;D and milestones expense due to uncertainty of the future occurrence and tming of these transactons. Adjusted diluted earnings per share guidance for 2024 previously announced on October 30, 2024 excluded the impact of acquired IPR&amp;D and milestones expense that may be incurred beyond the third quarter of 2024. AbbVie’s full-year 2024 adjusted diluted earnings per share guidance range, including the impact of fourth quarter 2024 acquired IPR&amp;D and milestones expense, is $10.02 - $10.06. AbbVie’s fourth quarter 2024 adjusted diluted earnings per share guidance range, including the impact of fourth quarter 2024 acquired IPR&amp;D and milestones expense, is $2.06 - $2.10.</w:t>
      </w:r>
    </w:p>
    <w:p>
      <w:pPr>
        <w:spacing w:after="0" w:line="229" w:lineRule="exact"/>
        <w:rPr>
          <w:sz w:val="20"/>
          <w:szCs w:val="20"/>
          <w:color w:val="auto"/>
        </w:rPr>
      </w:pPr>
    </w:p>
    <w:p>
      <w:pPr>
        <w:ind w:right="380"/>
        <w:spacing w:after="0" w:line="228" w:lineRule="auto"/>
        <w:rPr>
          <w:sz w:val="20"/>
          <w:szCs w:val="20"/>
          <w:color w:val="auto"/>
        </w:rPr>
      </w:pPr>
      <w:r>
        <w:rPr>
          <w:rFonts w:ascii="Calibri" w:cs="Calibri" w:eastAsia="Calibri" w:hAnsi="Calibri"/>
          <w:sz w:val="20"/>
          <w:szCs w:val="20"/>
          <w:color w:val="auto"/>
        </w:rPr>
        <w:t>Furnished as Exhibit 99.1 to this Current Report on Form 8-K and incorporated herein by reference is guidance for 2024 including the estmated acquired IPR&amp;D and milestones expense incurred during the fourth quarter of 2024.</w:t>
      </w:r>
    </w:p>
    <w:p>
      <w:pPr>
        <w:spacing w:after="0" w:line="238" w:lineRule="exact"/>
        <w:rPr>
          <w:sz w:val="20"/>
          <w:szCs w:val="20"/>
          <w:color w:val="auto"/>
        </w:rPr>
      </w:pPr>
    </w:p>
    <w:p>
      <w:pPr>
        <w:ind w:right="240"/>
        <w:spacing w:after="0" w:line="233" w:lineRule="auto"/>
        <w:rPr>
          <w:sz w:val="20"/>
          <w:szCs w:val="20"/>
          <w:color w:val="auto"/>
        </w:rPr>
      </w:pPr>
      <w:r>
        <w:rPr>
          <w:rFonts w:ascii="Calibri" w:cs="Calibri" w:eastAsia="Calibri" w:hAnsi="Calibri"/>
          <w:sz w:val="20"/>
          <w:szCs w:val="20"/>
          <w:color w:val="auto"/>
        </w:rPr>
        <w:t>The informaton set forth in this Current Report on Form 8-K, including Exhibit 99.1, shall not be deemed "Filed" for the purpose of Secton 18 of the Securites Exchange Act of 1934, as amended (the "Exchange Act"), or otherwise subject to the liabilites thereof, nor shall it be incorporated by reference into future flings by AbbVie Inc. under the Exchange Act or under the Securites Act of 1933, as amended, except to the extent specifcally provided in any such fling.</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w:t>
      </w:r>
    </w:p>
    <w:p>
      <w:pPr>
        <w:spacing w:after="0" w:line="252" w:lineRule="exact"/>
        <w:rPr>
          <w:sz w:val="20"/>
          <w:szCs w:val="20"/>
          <w:color w:val="auto"/>
        </w:rPr>
      </w:pPr>
    </w:p>
    <w:p>
      <w:pPr>
        <w:ind w:right="40"/>
        <w:spacing w:after="0" w:line="233" w:lineRule="auto"/>
        <w:rPr>
          <w:sz w:val="20"/>
          <w:szCs w:val="20"/>
          <w:color w:val="auto"/>
        </w:rPr>
      </w:pPr>
      <w:r>
        <w:rPr>
          <w:rFonts w:ascii="Calibri" w:cs="Calibri" w:eastAsia="Calibri" w:hAnsi="Calibri"/>
          <w:sz w:val="20"/>
          <w:szCs w:val="20"/>
          <w:color w:val="auto"/>
        </w:rPr>
        <w:t>Some statements in this Current Report on Form 8-K are, or may be considered, forward-looking statements for purposes of the Private Securites Litgaton Reform Act of 1995. The words "believe," "expect," "antcipate," "project" and similar expressions and uses of future or conditonal verbs, generally identfy forward-looking statements. AbbVie cautons that these forward-looking statements are subject to risks and uncertaintes that may cause actual results to difer materially from those expressed or implied in the forward-looking statements. Such risks and uncertaintes include, but are not limited to challenges to intellectual property, competton from other products, difcultes inherent in the research and development process, adverse litgaton or government acton, and changes to laws and regulatons applicable to our industry. Additonal informaton about the economic, compettve, governmental, technological and other factors that may afect AbbVie's operatons is set forth in Item 1A, "Risk Factors," of AbbVie's 2023 Annual Report on Form 10-K, which has been fled with the Securites and Exchange Commission, as updated by its Quarterly Reports on Form 10-Q and in other documents that AbbVie subsequently fles with the Securites and Exchange Commission that update, supplement or supersede such informaton. AbbVie undertakes no obligaton, and specifcally declines, to release publicly any revisions to forward-looking statements as a result of subsequent events or developments, except as required by law.</w:t>
      </w:r>
    </w:p>
    <w:p>
      <w:pPr>
        <w:spacing w:after="0" w:line="23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9.01 Financial Statements and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920" w:type="dxa"/>
            <w:vAlign w:val="bottom"/>
            <w:gridSpan w:val="4"/>
          </w:tcPr>
          <w:p>
            <w:pPr>
              <w:spacing w:after="0"/>
              <w:rPr>
                <w:sz w:val="20"/>
                <w:szCs w:val="20"/>
                <w:color w:val="auto"/>
              </w:rPr>
            </w:pPr>
            <w:r>
              <w:rPr>
                <w:rFonts w:ascii="Calibri" w:cs="Calibri" w:eastAsia="Calibri" w:hAnsi="Calibri"/>
                <w:sz w:val="20"/>
                <w:szCs w:val="20"/>
                <w:color w:val="auto"/>
              </w:rPr>
              <w:t>(d) Exhibits</w:t>
            </w:r>
          </w:p>
        </w:tc>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Calibri" w:cs="Calibri" w:eastAsia="Calibri" w:hAnsi="Calibri"/>
                <w:sz w:val="20"/>
                <w:szCs w:val="20"/>
                <w:b w:val="1"/>
                <w:bCs w:val="1"/>
                <w:color w:val="auto"/>
              </w:rPr>
              <w:t>Exhibit No.</w:t>
            </w:r>
          </w:p>
        </w:tc>
        <w:tc>
          <w:tcPr>
            <w:tcW w:w="2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Calibri" w:cs="Calibri" w:eastAsia="Calibri" w:hAnsi="Calibri"/>
                <w:sz w:val="20"/>
                <w:szCs w:val="20"/>
                <w:b w:val="1"/>
                <w:bCs w:val="1"/>
                <w:color w:val="auto"/>
              </w:rPr>
              <w:t>Exhibit</w:t>
            </w:r>
          </w:p>
        </w:tc>
        <w:tc>
          <w:tcPr>
            <w:tcW w:w="0" w:type="dxa"/>
            <w:vAlign w:val="bottom"/>
          </w:tcPr>
          <w:p>
            <w:pPr>
              <w:spacing w:after="0"/>
              <w:rPr>
                <w:sz w:val="1"/>
                <w:szCs w:val="1"/>
                <w:color w:val="auto"/>
              </w:rPr>
            </w:pPr>
          </w:p>
        </w:tc>
      </w:tr>
      <w:tr>
        <w:trPr>
          <w:trHeight w:val="47"/>
        </w:trPr>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20" w:type="dxa"/>
            <w:vAlign w:val="bottom"/>
            <w:vMerge w:val="restart"/>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12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Pr>
          <w:p>
            <w:pPr>
              <w:spacing w:after="0" w:line="169" w:lineRule="exact"/>
              <w:rPr>
                <w:sz w:val="20"/>
                <w:szCs w:val="20"/>
                <w:color w:val="auto"/>
              </w:rPr>
            </w:pPr>
            <w:r>
              <w:rPr>
                <w:rFonts w:ascii="Calibri" w:cs="Calibri" w:eastAsia="Calibri" w:hAnsi="Calibri"/>
                <w:sz w:val="18"/>
                <w:szCs w:val="18"/>
                <w:color w:val="3051F2"/>
              </w:rPr>
              <w:t>99.</w:t>
            </w:r>
            <w:r>
              <w:rPr>
                <w:rFonts w:ascii="Calibri" w:cs="Calibri" w:eastAsia="Calibri" w:hAnsi="Calibri"/>
                <w:sz w:val="18"/>
                <w:szCs w:val="18"/>
                <w:u w:val="single" w:color="auto"/>
                <w:color w:val="3051F2"/>
              </w:rPr>
              <w:t>1</w:t>
            </w:r>
          </w:p>
        </w:tc>
        <w:tc>
          <w:tcPr>
            <w:tcW w:w="10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gridSpan w:val="2"/>
          </w:tcPr>
          <w:p>
            <w:pPr>
              <w:spacing w:after="0" w:line="169" w:lineRule="exact"/>
              <w:rPr>
                <w:sz w:val="20"/>
                <w:szCs w:val="20"/>
                <w:color w:val="auto"/>
              </w:rPr>
            </w:pPr>
            <w:r>
              <w:rPr>
                <w:rFonts w:ascii="Calibri" w:cs="Calibri" w:eastAsia="Calibri" w:hAnsi="Calibri"/>
                <w:sz w:val="18"/>
                <w:szCs w:val="18"/>
                <w:color w:val="3051F2"/>
              </w:rPr>
              <w:t>Guidance including the impact of acquired IPR&amp;D and milestones expense.</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shd w:val="clear" w:color="auto" w:fill="3051F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Calibri" w:cs="Calibri" w:eastAsia="Calibri" w:hAnsi="Calibri"/>
                <w:sz w:val="20"/>
                <w:szCs w:val="20"/>
                <w:color w:val="auto"/>
              </w:rPr>
              <w:t>104</w:t>
            </w: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00" w:type="dxa"/>
            <w:vAlign w:val="bottom"/>
            <w:gridSpan w:val="3"/>
          </w:tcPr>
          <w:p>
            <w:pPr>
              <w:spacing w:after="0"/>
              <w:rPr>
                <w:sz w:val="20"/>
                <w:szCs w:val="20"/>
                <w:color w:val="auto"/>
              </w:rPr>
            </w:pPr>
            <w:r>
              <w:rPr>
                <w:rFonts w:ascii="Calibri" w:cs="Calibri" w:eastAsia="Calibri" w:hAnsi="Calibri"/>
                <w:sz w:val="20"/>
                <w:szCs w:val="20"/>
                <w:color w:val="auto"/>
              </w:rPr>
              <w:t>The cover page from this Current Report on Form 8-K formated in Inline XBRL (included as Exhibit 101).</w:t>
            </w:r>
          </w:p>
        </w:tc>
        <w:tc>
          <w:tcPr>
            <w:tcW w:w="0" w:type="dxa"/>
            <w:vAlign w:val="bottom"/>
          </w:tcPr>
          <w:p>
            <w:pPr>
              <w:spacing w:after="0"/>
              <w:rPr>
                <w:sz w:val="1"/>
                <w:szCs w:val="1"/>
                <w:color w:val="auto"/>
              </w:rPr>
            </w:pPr>
          </w:p>
        </w:tc>
      </w:tr>
      <w:tr>
        <w:trPr>
          <w:trHeight w:val="1026"/>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 w:name="page3"/>
    <w:bookmarkEnd w:id="2"/>
    <w:p>
      <w:pPr>
        <w:jc w:val="center"/>
        <w:ind w:right="-39"/>
        <w:spacing w:after="0"/>
        <w:rPr>
          <w:sz w:val="20"/>
          <w:szCs w:val="20"/>
          <w:color w:val="auto"/>
        </w:rPr>
      </w:pPr>
      <w:r>
        <w:rPr>
          <w:rFonts w:ascii="Calibri" w:cs="Calibri" w:eastAsia="Calibri" w:hAnsi="Calibri"/>
          <w:sz w:val="20"/>
          <w:szCs w:val="20"/>
          <w:b w:val="1"/>
          <w:bCs w:val="1"/>
          <w:color w:val="auto"/>
        </w:rPr>
        <w:t>SIGNATURE</w:t>
      </w:r>
    </w:p>
    <w:p>
      <w:pPr>
        <w:spacing w:after="0" w:line="238"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Pursuant to the requirements of the Securites Exchange Act of 1934, the registrant has duly caused this report to be signed on its behalf by the undersigned hereunto duly authorized.</w:t>
      </w:r>
    </w:p>
    <w:p>
      <w:pPr>
        <w:spacing w:after="0" w:line="351" w:lineRule="exact"/>
        <w:rPr>
          <w:sz w:val="20"/>
          <w:szCs w:val="20"/>
          <w:color w:val="auto"/>
        </w:rPr>
      </w:pPr>
    </w:p>
    <w:p>
      <w:pPr>
        <w:ind w:left="5580"/>
        <w:spacing w:after="0"/>
        <w:rPr>
          <w:sz w:val="20"/>
          <w:szCs w:val="20"/>
          <w:color w:val="auto"/>
        </w:rPr>
      </w:pPr>
      <w:r>
        <w:rPr>
          <w:rFonts w:ascii="Calibri" w:cs="Calibri" w:eastAsia="Calibri" w:hAnsi="Calibri"/>
          <w:sz w:val="20"/>
          <w:szCs w:val="20"/>
          <w:b w:val="1"/>
          <w:bCs w:val="1"/>
          <w:color w:val="auto"/>
        </w:rPr>
        <w:t>ABBVIE INC.</w:t>
      </w:r>
    </w:p>
    <w:p>
      <w:pPr>
        <w:spacing w:after="0" w:line="269" w:lineRule="exact"/>
        <w:rPr>
          <w:sz w:val="20"/>
          <w:szCs w:val="20"/>
          <w:color w:val="auto"/>
        </w:rPr>
      </w:pPr>
    </w:p>
    <w:p>
      <w:pPr>
        <w:ind w:left="20"/>
        <w:spacing w:after="0"/>
        <w:tabs>
          <w:tab w:leader="none" w:pos="660" w:val="left"/>
          <w:tab w:leader="none" w:pos="4980" w:val="left"/>
          <w:tab w:leader="none" w:pos="5560" w:val="left"/>
        </w:tabs>
        <w:rPr>
          <w:sz w:val="20"/>
          <w:szCs w:val="20"/>
          <w:color w:val="auto"/>
        </w:rPr>
      </w:pPr>
      <w:r>
        <w:rPr>
          <w:rFonts w:ascii="Calibri" w:cs="Calibri" w:eastAsia="Calibri" w:hAnsi="Calibri"/>
          <w:sz w:val="20"/>
          <w:szCs w:val="20"/>
          <w:color w:val="auto"/>
        </w:rPr>
        <w:t>Date:</w:t>
        <w:tab/>
        <w:t>January 6, 2025</w:t>
      </w:r>
      <w:r>
        <w:rPr>
          <w:sz w:val="20"/>
          <w:szCs w:val="20"/>
          <w:color w:val="auto"/>
        </w:rPr>
        <w:tab/>
      </w:r>
      <w:r>
        <w:rPr>
          <w:rFonts w:ascii="Calibri" w:cs="Calibri" w:eastAsia="Calibri" w:hAnsi="Calibri"/>
          <w:sz w:val="20"/>
          <w:szCs w:val="20"/>
          <w:color w:val="auto"/>
        </w:rPr>
        <w:t>By:</w:t>
      </w:r>
      <w:r>
        <w:rPr>
          <w:sz w:val="20"/>
          <w:szCs w:val="20"/>
          <w:color w:val="auto"/>
        </w:rPr>
        <w:tab/>
      </w:r>
      <w:r>
        <w:rPr>
          <w:rFonts w:ascii="Calibri" w:cs="Calibri" w:eastAsia="Calibri" w:hAnsi="Calibri"/>
          <w:sz w:val="20"/>
          <w:szCs w:val="20"/>
          <w:color w:val="auto"/>
        </w:rPr>
        <w:t>/s/ Scot T. Reents</w:t>
      </w:r>
    </w:p>
    <w:p>
      <w:pPr>
        <w:spacing w:after="0" w:line="26" w:lineRule="exact"/>
        <w:rPr>
          <w:sz w:val="20"/>
          <w:szCs w:val="20"/>
          <w:color w:val="auto"/>
        </w:rPr>
      </w:pPr>
    </w:p>
    <w:p>
      <w:pPr>
        <w:ind w:left="5580"/>
        <w:spacing w:after="0"/>
        <w:rPr>
          <w:sz w:val="20"/>
          <w:szCs w:val="20"/>
          <w:color w:val="auto"/>
        </w:rPr>
      </w:pPr>
      <w:r>
        <w:rPr>
          <w:rFonts w:ascii="Calibri" w:cs="Calibri" w:eastAsia="Calibri" w:hAnsi="Calibri"/>
          <w:sz w:val="20"/>
          <w:szCs w:val="20"/>
          <w:color w:val="auto"/>
        </w:rPr>
        <w:t>Scot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-141605</wp:posOffset>
            </wp:positionV>
            <wp:extent cx="3600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ind w:left="5580"/>
        <w:spacing w:after="0"/>
        <w:rPr>
          <w:sz w:val="20"/>
          <w:szCs w:val="20"/>
          <w:color w:val="auto"/>
        </w:rPr>
      </w:pPr>
      <w:r>
        <w:rPr>
          <w:rFonts w:ascii="Calibri" w:cs="Calibri" w:eastAsia="Calibri" w:hAnsi="Calibri"/>
          <w:sz w:val="20"/>
          <w:szCs w:val="20"/>
          <w:color w:val="auto"/>
        </w:rPr>
        <w:t>Executve Vice President,</w:t>
      </w:r>
    </w:p>
    <w:p>
      <w:pPr>
        <w:spacing w:after="0" w:line="12" w:lineRule="exact"/>
        <w:rPr>
          <w:sz w:val="20"/>
          <w:szCs w:val="20"/>
          <w:color w:val="auto"/>
        </w:rPr>
      </w:pPr>
    </w:p>
    <w:p>
      <w:pPr>
        <w:ind w:left="5580"/>
        <w:spacing w:after="0"/>
        <w:rPr>
          <w:sz w:val="20"/>
          <w:szCs w:val="20"/>
          <w:color w:val="auto"/>
        </w:rPr>
      </w:pPr>
      <w:r>
        <w:rPr>
          <w:rFonts w:ascii="Calibri" w:cs="Calibri" w:eastAsia="Calibri" w:hAnsi="Calibri"/>
          <w:sz w:val="20"/>
          <w:szCs w:val="20"/>
          <w:color w:val="auto"/>
        </w:rPr>
        <w:t>Chief Financial Ofcer</w:t>
      </w:r>
    </w:p>
    <w:p>
      <w:pPr>
        <w:sectPr>
          <w:pgSz w:w="11900" w:h="16838" w:orient="portrait"/>
          <w:cols w:equalWidth="0" w:num="1">
            <w:col w:w="11200"/>
          </w:cols>
          <w:pgMar w:left="320" w:top="875" w:right="379" w:bottom="1440" w:gutter="0" w:footer="0" w:header="0"/>
        </w:sectPr>
      </w:pPr>
    </w:p>
    <w:bookmarkStart w:id="3" w:name="page4"/>
    <w:bookmarkEnd w:id="3"/>
    <w:p>
      <w:pPr>
        <w:ind w:left="5120"/>
        <w:spacing w:after="0"/>
        <w:rPr>
          <w:sz w:val="20"/>
          <w:szCs w:val="20"/>
          <w:color w:val="auto"/>
        </w:rPr>
      </w:pPr>
      <w:r>
        <w:rPr>
          <w:rFonts w:ascii="Calibri" w:cs="Calibri" w:eastAsia="Calibri" w:hAnsi="Calibri"/>
          <w:sz w:val="20"/>
          <w:szCs w:val="20"/>
          <w:b w:val="1"/>
          <w:bCs w:val="1"/>
          <w:color w:val="auto"/>
        </w:rPr>
        <w:t>AbbVie Inc.</w:t>
      </w:r>
    </w:p>
    <w:p>
      <w:pPr>
        <w:ind w:left="2480"/>
        <w:spacing w:after="0" w:line="238" w:lineRule="auto"/>
        <w:rPr>
          <w:sz w:val="20"/>
          <w:szCs w:val="20"/>
          <w:color w:val="auto"/>
        </w:rPr>
      </w:pPr>
      <w:r>
        <w:rPr>
          <w:rFonts w:ascii="Calibri" w:cs="Calibri" w:eastAsia="Calibri" w:hAnsi="Calibri"/>
          <w:sz w:val="20"/>
          <w:szCs w:val="20"/>
          <w:b w:val="1"/>
          <w:bCs w:val="1"/>
          <w:color w:val="auto"/>
        </w:rPr>
        <w:t>Guidance Including the Impact of Acquired IPR&amp;D and Milestones Expense</w:t>
      </w:r>
    </w:p>
    <w:p>
      <w:pPr>
        <w:jc w:val="center"/>
        <w:ind w:right="20"/>
        <w:spacing w:after="0" w:line="226" w:lineRule="auto"/>
        <w:rPr>
          <w:sz w:val="20"/>
          <w:szCs w:val="20"/>
          <w:color w:val="auto"/>
        </w:rPr>
      </w:pPr>
      <w:r>
        <w:rPr>
          <w:rFonts w:ascii="Calibri" w:cs="Calibri" w:eastAsia="Calibri" w:hAnsi="Calibri"/>
          <w:sz w:val="20"/>
          <w:szCs w:val="20"/>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20"/>
                <w:szCs w:val="20"/>
                <w:color w:val="auto"/>
              </w:rPr>
            </w:pPr>
            <w:r>
              <w:rPr>
                <w:rFonts w:ascii="Calibri" w:cs="Calibri" w:eastAsia="Calibri" w:hAnsi="Calibri"/>
                <w:sz w:val="18"/>
                <w:szCs w:val="18"/>
                <w:b w:val="1"/>
                <w:bCs w:val="1"/>
                <w:color w:val="auto"/>
              </w:rPr>
              <w:t>(in millions, except per share data)</w:t>
            </w:r>
          </w:p>
        </w:tc>
        <w:tc>
          <w:tcPr>
            <w:tcW w:w="140" w:type="dxa"/>
            <w:vAlign w:val="bottom"/>
          </w:tcPr>
          <w:p>
            <w:pPr>
              <w:spacing w:after="0"/>
              <w:rPr>
                <w:sz w:val="19"/>
                <w:szCs w:val="19"/>
                <w:color w:val="auto"/>
              </w:rPr>
            </w:pPr>
          </w:p>
        </w:tc>
        <w:tc>
          <w:tcPr>
            <w:tcW w:w="3720" w:type="dxa"/>
            <w:vAlign w:val="bottom"/>
            <w:gridSpan w:val="6"/>
          </w:tcPr>
          <w:p>
            <w:pPr>
              <w:jc w:val="center"/>
              <w:ind w:right="260"/>
              <w:spacing w:after="0"/>
              <w:rPr>
                <w:sz w:val="20"/>
                <w:szCs w:val="20"/>
                <w:color w:val="auto"/>
              </w:rPr>
            </w:pPr>
            <w:r>
              <w:rPr>
                <w:rFonts w:ascii="Calibri" w:cs="Calibri" w:eastAsia="Calibri" w:hAnsi="Calibri"/>
                <w:sz w:val="18"/>
                <w:szCs w:val="18"/>
                <w:b w:val="1"/>
                <w:bCs w:val="1"/>
                <w:color w:val="auto"/>
                <w:w w:val="96"/>
              </w:rPr>
              <w:t>Quarter Ended December 31, 2024</w:t>
            </w:r>
          </w:p>
        </w:tc>
        <w:tc>
          <w:tcPr>
            <w:tcW w:w="140" w:type="dxa"/>
            <w:vAlign w:val="bottom"/>
          </w:tcPr>
          <w:p>
            <w:pPr>
              <w:spacing w:after="0"/>
              <w:rPr>
                <w:sz w:val="19"/>
                <w:szCs w:val="19"/>
                <w:color w:val="auto"/>
              </w:rPr>
            </w:pPr>
          </w:p>
        </w:tc>
        <w:tc>
          <w:tcPr>
            <w:tcW w:w="3660" w:type="dxa"/>
            <w:vAlign w:val="bottom"/>
            <w:gridSpan w:val="5"/>
          </w:tcPr>
          <w:p>
            <w:pPr>
              <w:jc w:val="center"/>
              <w:ind w:right="50"/>
              <w:spacing w:after="0"/>
              <w:rPr>
                <w:sz w:val="20"/>
                <w:szCs w:val="20"/>
                <w:color w:val="auto"/>
              </w:rPr>
            </w:pPr>
            <w:r>
              <w:rPr>
                <w:rFonts w:ascii="Calibri" w:cs="Calibri" w:eastAsia="Calibri" w:hAnsi="Calibri"/>
                <w:sz w:val="18"/>
                <w:szCs w:val="18"/>
                <w:b w:val="1"/>
                <w:bCs w:val="1"/>
                <w:color w:val="auto"/>
                <w:w w:val="96"/>
              </w:rPr>
              <w:t>Full-Year Ended December 31, 2024</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151"/>
              <w:spacing w:after="0"/>
              <w:rPr>
                <w:sz w:val="20"/>
                <w:szCs w:val="20"/>
                <w:color w:val="auto"/>
              </w:rPr>
            </w:pPr>
            <w:r>
              <w:rPr>
                <w:rFonts w:ascii="Calibri" w:cs="Calibri" w:eastAsia="Calibri" w:hAnsi="Calibri"/>
                <w:sz w:val="18"/>
                <w:szCs w:val="18"/>
                <w:b w:val="1"/>
                <w:bCs w:val="1"/>
                <w:color w:val="auto"/>
                <w:w w:val="97"/>
              </w:rPr>
              <w:t>Acquired</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151"/>
              <w:spacing w:after="0"/>
              <w:rPr>
                <w:sz w:val="20"/>
                <w:szCs w:val="20"/>
                <w:color w:val="auto"/>
              </w:rPr>
            </w:pPr>
            <w:r>
              <w:rPr>
                <w:rFonts w:ascii="Calibri" w:cs="Calibri" w:eastAsia="Calibri" w:hAnsi="Calibri"/>
                <w:sz w:val="18"/>
                <w:szCs w:val="18"/>
                <w:b w:val="1"/>
                <w:bCs w:val="1"/>
                <w:color w:val="auto"/>
                <w:w w:val="97"/>
              </w:rPr>
              <w:t>Acquired</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151"/>
              <w:spacing w:after="0" w:line="175" w:lineRule="exact"/>
              <w:rPr>
                <w:sz w:val="20"/>
                <w:szCs w:val="20"/>
                <w:color w:val="auto"/>
              </w:rPr>
            </w:pPr>
            <w:r>
              <w:rPr>
                <w:rFonts w:ascii="Calibri" w:cs="Calibri" w:eastAsia="Calibri" w:hAnsi="Calibri"/>
                <w:sz w:val="18"/>
                <w:szCs w:val="18"/>
                <w:b w:val="1"/>
                <w:bCs w:val="1"/>
                <w:color w:val="auto"/>
                <w:w w:val="96"/>
              </w:rPr>
              <w:t>IPR&amp;D and</w:t>
            </w:r>
          </w:p>
        </w:tc>
        <w:tc>
          <w:tcPr>
            <w:tcW w:w="180" w:type="dxa"/>
            <w:vAlign w:val="bottom"/>
          </w:tcPr>
          <w:p>
            <w:pPr>
              <w:spacing w:after="0"/>
              <w:rPr>
                <w:sz w:val="15"/>
                <w:szCs w:val="15"/>
                <w:color w:val="auto"/>
              </w:rPr>
            </w:pPr>
          </w:p>
        </w:tc>
        <w:tc>
          <w:tcPr>
            <w:tcW w:w="2400" w:type="dxa"/>
            <w:vAlign w:val="bottom"/>
            <w:gridSpan w:val="4"/>
            <w:vMerge w:val="restart"/>
          </w:tcPr>
          <w:p>
            <w:pPr>
              <w:ind w:left="60"/>
              <w:spacing w:after="0"/>
              <w:rPr>
                <w:sz w:val="20"/>
                <w:szCs w:val="20"/>
                <w:color w:val="auto"/>
              </w:rPr>
            </w:pPr>
            <w:r>
              <w:rPr>
                <w:rFonts w:ascii="Calibri" w:cs="Calibri" w:eastAsia="Calibri" w:hAnsi="Calibri"/>
                <w:sz w:val="18"/>
                <w:szCs w:val="18"/>
                <w:b w:val="1"/>
                <w:bCs w:val="1"/>
                <w:color w:val="auto"/>
              </w:rPr>
              <w:t>Adjusted Diluted EPS Range</w:t>
            </w:r>
          </w:p>
        </w:tc>
        <w:tc>
          <w:tcPr>
            <w:tcW w:w="140" w:type="dxa"/>
            <w:vAlign w:val="bottom"/>
          </w:tcPr>
          <w:p>
            <w:pPr>
              <w:spacing w:after="0"/>
              <w:rPr>
                <w:sz w:val="15"/>
                <w:szCs w:val="15"/>
                <w:color w:val="auto"/>
              </w:rPr>
            </w:pPr>
          </w:p>
        </w:tc>
        <w:tc>
          <w:tcPr>
            <w:tcW w:w="1140" w:type="dxa"/>
            <w:vAlign w:val="bottom"/>
          </w:tcPr>
          <w:p>
            <w:pPr>
              <w:jc w:val="center"/>
              <w:ind w:right="151"/>
              <w:spacing w:after="0" w:line="175" w:lineRule="exact"/>
              <w:rPr>
                <w:sz w:val="20"/>
                <w:szCs w:val="20"/>
                <w:color w:val="auto"/>
              </w:rPr>
            </w:pPr>
            <w:r>
              <w:rPr>
                <w:rFonts w:ascii="Calibri" w:cs="Calibri" w:eastAsia="Calibri" w:hAnsi="Calibri"/>
                <w:sz w:val="18"/>
                <w:szCs w:val="18"/>
                <w:b w:val="1"/>
                <w:bCs w:val="1"/>
                <w:color w:val="auto"/>
                <w:w w:val="96"/>
              </w:rPr>
              <w:t>IPR&amp;D and</w:t>
            </w:r>
          </w:p>
        </w:tc>
        <w:tc>
          <w:tcPr>
            <w:tcW w:w="180" w:type="dxa"/>
            <w:vAlign w:val="bottom"/>
          </w:tcPr>
          <w:p>
            <w:pPr>
              <w:spacing w:after="0"/>
              <w:rPr>
                <w:sz w:val="15"/>
                <w:szCs w:val="15"/>
                <w:color w:val="auto"/>
              </w:rPr>
            </w:pPr>
          </w:p>
        </w:tc>
        <w:tc>
          <w:tcPr>
            <w:tcW w:w="2340" w:type="dxa"/>
            <w:vAlign w:val="bottom"/>
            <w:gridSpan w:val="3"/>
            <w:vMerge w:val="restart"/>
          </w:tcPr>
          <w:p>
            <w:pPr>
              <w:ind w:left="80"/>
              <w:spacing w:after="0"/>
              <w:rPr>
                <w:sz w:val="20"/>
                <w:szCs w:val="20"/>
                <w:color w:val="auto"/>
              </w:rPr>
            </w:pPr>
            <w:r>
              <w:rPr>
                <w:rFonts w:ascii="Calibri" w:cs="Calibri" w:eastAsia="Calibri" w:hAnsi="Calibri"/>
                <w:sz w:val="18"/>
                <w:szCs w:val="18"/>
                <w:b w:val="1"/>
                <w:bCs w:val="1"/>
                <w:color w:val="auto"/>
              </w:rPr>
              <w:t>Adjusted Diluted EPS Range</w:t>
            </w: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center"/>
              <w:ind w:right="171"/>
              <w:spacing w:after="0" w:line="151" w:lineRule="exact"/>
              <w:rPr>
                <w:sz w:val="20"/>
                <w:szCs w:val="20"/>
                <w:color w:val="auto"/>
              </w:rPr>
            </w:pPr>
            <w:r>
              <w:rPr>
                <w:rFonts w:ascii="Calibri" w:cs="Calibri" w:eastAsia="Calibri" w:hAnsi="Calibri"/>
                <w:sz w:val="16"/>
                <w:szCs w:val="16"/>
                <w:b w:val="1"/>
                <w:bCs w:val="1"/>
                <w:color w:val="auto"/>
              </w:rPr>
              <w:t>Milestones</w:t>
            </w:r>
          </w:p>
        </w:tc>
        <w:tc>
          <w:tcPr>
            <w:tcW w:w="180" w:type="dxa"/>
            <w:vAlign w:val="bottom"/>
          </w:tcPr>
          <w:p>
            <w:pPr>
              <w:spacing w:after="0"/>
              <w:rPr>
                <w:sz w:val="11"/>
                <w:szCs w:val="11"/>
                <w:color w:val="auto"/>
              </w:rPr>
            </w:pPr>
          </w:p>
        </w:tc>
        <w:tc>
          <w:tcPr>
            <w:tcW w:w="240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center"/>
              <w:ind w:right="171"/>
              <w:spacing w:after="0" w:line="151" w:lineRule="exact"/>
              <w:rPr>
                <w:sz w:val="20"/>
                <w:szCs w:val="20"/>
                <w:color w:val="auto"/>
              </w:rPr>
            </w:pPr>
            <w:r>
              <w:rPr>
                <w:rFonts w:ascii="Calibri" w:cs="Calibri" w:eastAsia="Calibri" w:hAnsi="Calibri"/>
                <w:sz w:val="16"/>
                <w:szCs w:val="16"/>
                <w:b w:val="1"/>
                <w:bCs w:val="1"/>
                <w:color w:val="auto"/>
              </w:rPr>
              <w:t>Milestones</w:t>
            </w:r>
          </w:p>
        </w:tc>
        <w:tc>
          <w:tcPr>
            <w:tcW w:w="180" w:type="dxa"/>
            <w:vAlign w:val="bottom"/>
          </w:tcPr>
          <w:p>
            <w:pPr>
              <w:spacing w:after="0"/>
              <w:rPr>
                <w:sz w:val="11"/>
                <w:szCs w:val="11"/>
                <w:color w:val="auto"/>
              </w:rPr>
            </w:pPr>
          </w:p>
        </w:tc>
        <w:tc>
          <w:tcPr>
            <w:tcW w:w="23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1"/>
              <w:spacing w:after="0" w:line="213" w:lineRule="exact"/>
              <w:rPr>
                <w:sz w:val="20"/>
                <w:szCs w:val="20"/>
                <w:color w:val="auto"/>
              </w:rPr>
            </w:pPr>
            <w:r>
              <w:rPr>
                <w:rFonts w:ascii="Calibri" w:cs="Calibri" w:eastAsia="Calibri" w:hAnsi="Calibri"/>
                <w:sz w:val="18"/>
                <w:szCs w:val="18"/>
                <w:b w:val="1"/>
                <w:bCs w:val="1"/>
                <w:color w:val="auto"/>
                <w:w w:val="97"/>
              </w:rPr>
              <w:t>Expense</w:t>
            </w:r>
          </w:p>
        </w:tc>
        <w:tc>
          <w:tcPr>
            <w:tcW w:w="180" w:type="dxa"/>
            <w:vAlign w:val="bottom"/>
          </w:tcPr>
          <w:p>
            <w:pPr>
              <w:spacing w:after="0"/>
              <w:rPr>
                <w:sz w:val="18"/>
                <w:szCs w:val="18"/>
                <w:color w:val="auto"/>
              </w:rPr>
            </w:pPr>
          </w:p>
        </w:tc>
        <w:tc>
          <w:tcPr>
            <w:tcW w:w="1060" w:type="dxa"/>
            <w:vAlign w:val="bottom"/>
          </w:tcPr>
          <w:p>
            <w:pPr>
              <w:jc w:val="center"/>
              <w:ind w:right="150"/>
              <w:spacing w:after="0" w:line="213" w:lineRule="exact"/>
              <w:rPr>
                <w:sz w:val="20"/>
                <w:szCs w:val="20"/>
                <w:color w:val="auto"/>
              </w:rPr>
            </w:pPr>
            <w:r>
              <w:rPr>
                <w:rFonts w:ascii="Calibri" w:cs="Calibri" w:eastAsia="Calibri" w:hAnsi="Calibri"/>
                <w:sz w:val="18"/>
                <w:szCs w:val="18"/>
                <w:b w:val="1"/>
                <w:bCs w:val="1"/>
                <w:color w:val="auto"/>
                <w:w w:val="97"/>
              </w:rPr>
              <w:t>Low</w:t>
            </w:r>
          </w:p>
        </w:tc>
        <w:tc>
          <w:tcPr>
            <w:tcW w:w="320" w:type="dxa"/>
            <w:vAlign w:val="bottom"/>
          </w:tcPr>
          <w:p>
            <w:pPr>
              <w:spacing w:after="0"/>
              <w:rPr>
                <w:sz w:val="18"/>
                <w:szCs w:val="18"/>
                <w:color w:val="auto"/>
              </w:rPr>
            </w:pPr>
          </w:p>
        </w:tc>
        <w:tc>
          <w:tcPr>
            <w:tcW w:w="1020" w:type="dxa"/>
            <w:vAlign w:val="bottom"/>
            <w:gridSpan w:val="2"/>
          </w:tcPr>
          <w:p>
            <w:pPr>
              <w:ind w:left="160"/>
              <w:spacing w:after="0" w:line="213" w:lineRule="exact"/>
              <w:rPr>
                <w:sz w:val="20"/>
                <w:szCs w:val="20"/>
                <w:color w:val="auto"/>
              </w:rPr>
            </w:pPr>
            <w:r>
              <w:rPr>
                <w:rFonts w:ascii="Calibri" w:cs="Calibri" w:eastAsia="Calibri" w:hAnsi="Calibri"/>
                <w:sz w:val="18"/>
                <w:szCs w:val="18"/>
                <w:b w:val="1"/>
                <w:bCs w:val="1"/>
                <w:color w:val="auto"/>
              </w:rPr>
              <w:t>High</w:t>
            </w:r>
          </w:p>
        </w:tc>
        <w:tc>
          <w:tcPr>
            <w:tcW w:w="140" w:type="dxa"/>
            <w:vAlign w:val="bottom"/>
          </w:tcPr>
          <w:p>
            <w:pPr>
              <w:spacing w:after="0"/>
              <w:rPr>
                <w:sz w:val="18"/>
                <w:szCs w:val="18"/>
                <w:color w:val="auto"/>
              </w:rPr>
            </w:pPr>
          </w:p>
        </w:tc>
        <w:tc>
          <w:tcPr>
            <w:tcW w:w="1140" w:type="dxa"/>
            <w:vAlign w:val="bottom"/>
          </w:tcPr>
          <w:p>
            <w:pPr>
              <w:jc w:val="center"/>
              <w:ind w:right="171"/>
              <w:spacing w:after="0" w:line="213" w:lineRule="exact"/>
              <w:rPr>
                <w:sz w:val="20"/>
                <w:szCs w:val="20"/>
                <w:color w:val="auto"/>
              </w:rPr>
            </w:pPr>
            <w:r>
              <w:rPr>
                <w:rFonts w:ascii="Calibri" w:cs="Calibri" w:eastAsia="Calibri" w:hAnsi="Calibri"/>
                <w:sz w:val="18"/>
                <w:szCs w:val="18"/>
                <w:b w:val="1"/>
                <w:bCs w:val="1"/>
                <w:color w:val="auto"/>
                <w:w w:val="97"/>
              </w:rPr>
              <w:t>Expense</w:t>
            </w:r>
          </w:p>
        </w:tc>
        <w:tc>
          <w:tcPr>
            <w:tcW w:w="180" w:type="dxa"/>
            <w:vAlign w:val="bottom"/>
          </w:tcPr>
          <w:p>
            <w:pPr>
              <w:spacing w:after="0"/>
              <w:rPr>
                <w:sz w:val="18"/>
                <w:szCs w:val="18"/>
                <w:color w:val="auto"/>
              </w:rPr>
            </w:pPr>
          </w:p>
        </w:tc>
        <w:tc>
          <w:tcPr>
            <w:tcW w:w="1080" w:type="dxa"/>
            <w:vAlign w:val="bottom"/>
          </w:tcPr>
          <w:p>
            <w:pPr>
              <w:jc w:val="center"/>
              <w:ind w:right="130"/>
              <w:spacing w:after="0" w:line="213" w:lineRule="exact"/>
              <w:rPr>
                <w:sz w:val="20"/>
                <w:szCs w:val="20"/>
                <w:color w:val="auto"/>
              </w:rPr>
            </w:pPr>
            <w:r>
              <w:rPr>
                <w:rFonts w:ascii="Calibri" w:cs="Calibri" w:eastAsia="Calibri" w:hAnsi="Calibri"/>
                <w:sz w:val="18"/>
                <w:szCs w:val="18"/>
                <w:b w:val="1"/>
                <w:bCs w:val="1"/>
                <w:color w:val="auto"/>
                <w:w w:val="97"/>
              </w:rPr>
              <w:t>Low</w:t>
            </w:r>
          </w:p>
        </w:tc>
        <w:tc>
          <w:tcPr>
            <w:tcW w:w="340" w:type="dxa"/>
            <w:vAlign w:val="bottom"/>
          </w:tcPr>
          <w:p>
            <w:pPr>
              <w:spacing w:after="0"/>
              <w:rPr>
                <w:sz w:val="18"/>
                <w:szCs w:val="18"/>
                <w:color w:val="auto"/>
              </w:rPr>
            </w:pPr>
          </w:p>
        </w:tc>
        <w:tc>
          <w:tcPr>
            <w:tcW w:w="920" w:type="dxa"/>
            <w:vAlign w:val="bottom"/>
          </w:tcPr>
          <w:p>
            <w:pPr>
              <w:ind w:left="160"/>
              <w:spacing w:after="0" w:line="213" w:lineRule="exact"/>
              <w:rPr>
                <w:sz w:val="20"/>
                <w:szCs w:val="20"/>
                <w:color w:val="auto"/>
              </w:rPr>
            </w:pPr>
            <w:r>
              <w:rPr>
                <w:rFonts w:ascii="Calibri" w:cs="Calibri" w:eastAsia="Calibri" w:hAnsi="Calibri"/>
                <w:sz w:val="18"/>
                <w:szCs w:val="18"/>
                <w:b w:val="1"/>
                <w:bCs w:val="1"/>
                <w:color w:val="auto"/>
              </w:rPr>
              <w:t>High</w:t>
            </w:r>
          </w:p>
        </w:tc>
        <w:tc>
          <w:tcPr>
            <w:tcW w:w="0" w:type="dxa"/>
            <w:vAlign w:val="bottom"/>
          </w:tcPr>
          <w:p>
            <w:pPr>
              <w:spacing w:after="0"/>
              <w:rPr>
                <w:sz w:val="1"/>
                <w:szCs w:val="1"/>
                <w:color w:val="auto"/>
              </w:rPr>
            </w:pPr>
          </w:p>
        </w:tc>
      </w:tr>
      <w:tr>
        <w:trPr>
          <w:trHeight w:val="23"/>
        </w:trPr>
        <w:tc>
          <w:tcPr>
            <w:tcW w:w="3560" w:type="dxa"/>
            <w:vAlign w:val="bottom"/>
            <w:vMerge w:val="restart"/>
          </w:tcPr>
          <w:p>
            <w:pPr>
              <w:spacing w:after="0" w:line="204" w:lineRule="exact"/>
              <w:rPr>
                <w:sz w:val="20"/>
                <w:szCs w:val="20"/>
                <w:color w:val="auto"/>
              </w:rPr>
            </w:pPr>
            <w:r>
              <w:rPr>
                <w:rFonts w:ascii="Calibri" w:cs="Calibri" w:eastAsia="Calibri" w:hAnsi="Calibri"/>
                <w:sz w:val="18"/>
                <w:szCs w:val="18"/>
                <w:b w:val="1"/>
                <w:bCs w:val="1"/>
                <w:color w:val="auto"/>
              </w:rPr>
              <w:t>Previously announced guidance excluding Q4</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5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560" w:type="dxa"/>
            <w:vAlign w:val="bottom"/>
          </w:tcPr>
          <w:p>
            <w:pPr>
              <w:spacing w:after="0" w:line="215" w:lineRule="exact"/>
              <w:rPr>
                <w:sz w:val="20"/>
                <w:szCs w:val="20"/>
                <w:color w:val="auto"/>
              </w:rPr>
            </w:pPr>
            <w:r>
              <w:rPr>
                <w:rFonts w:ascii="Calibri" w:cs="Calibri" w:eastAsia="Calibri" w:hAnsi="Calibri"/>
                <w:sz w:val="18"/>
                <w:szCs w:val="18"/>
                <w:b w:val="1"/>
                <w:bCs w:val="1"/>
                <w:color w:val="auto"/>
              </w:rPr>
              <w:t>2024 acquired IPR&amp;D and milestones expense</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ind w:right="71"/>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center"/>
              <w:ind w:left="410"/>
              <w:spacing w:after="0" w:line="215" w:lineRule="exact"/>
              <w:rPr>
                <w:sz w:val="20"/>
                <w:szCs w:val="20"/>
                <w:color w:val="auto"/>
              </w:rPr>
            </w:pPr>
            <w:r>
              <w:rPr>
                <w:rFonts w:ascii="Calibri" w:cs="Calibri" w:eastAsia="Calibri" w:hAnsi="Calibri"/>
                <w:sz w:val="18"/>
                <w:szCs w:val="18"/>
                <w:color w:val="auto"/>
              </w:rPr>
              <w:t>2.94</w:t>
            </w:r>
          </w:p>
        </w:tc>
        <w:tc>
          <w:tcPr>
            <w:tcW w:w="32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center"/>
              <w:ind w:left="370"/>
              <w:spacing w:after="0" w:line="215" w:lineRule="exact"/>
              <w:rPr>
                <w:sz w:val="20"/>
                <w:szCs w:val="20"/>
                <w:color w:val="auto"/>
              </w:rPr>
            </w:pPr>
            <w:r>
              <w:rPr>
                <w:rFonts w:ascii="Calibri" w:cs="Calibri" w:eastAsia="Calibri" w:hAnsi="Calibri"/>
                <w:sz w:val="18"/>
                <w:szCs w:val="18"/>
                <w:color w:val="auto"/>
              </w:rPr>
              <w:t>2.98</w:t>
            </w:r>
          </w:p>
        </w:tc>
        <w:tc>
          <w:tcPr>
            <w:tcW w:w="12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ind w:right="71"/>
              <w:spacing w:after="0" w:line="215" w:lineRule="exact"/>
              <w:rPr>
                <w:sz w:val="20"/>
                <w:szCs w:val="20"/>
                <w:color w:val="auto"/>
              </w:rPr>
            </w:pPr>
            <w:r>
              <w:rPr>
                <w:rFonts w:ascii="Calibri" w:cs="Calibri" w:eastAsia="Calibri" w:hAnsi="Calibri"/>
                <w:sz w:val="18"/>
                <w:szCs w:val="18"/>
                <w:color w:val="auto"/>
              </w:rPr>
              <w:t>1,183</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ind w:left="560"/>
              <w:spacing w:after="0" w:line="215" w:lineRule="exact"/>
              <w:rPr>
                <w:sz w:val="20"/>
                <w:szCs w:val="20"/>
                <w:color w:val="auto"/>
              </w:rPr>
            </w:pPr>
            <w:r>
              <w:rPr>
                <w:rFonts w:ascii="Calibri" w:cs="Calibri" w:eastAsia="Calibri" w:hAnsi="Calibri"/>
                <w:sz w:val="18"/>
                <w:szCs w:val="18"/>
                <w:color w:val="auto"/>
              </w:rPr>
              <w:t>10.90</w:t>
            </w:r>
          </w:p>
        </w:tc>
        <w:tc>
          <w:tcPr>
            <w:tcW w:w="3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ind w:left="460"/>
              <w:spacing w:after="0" w:line="215" w:lineRule="exact"/>
              <w:rPr>
                <w:sz w:val="20"/>
                <w:szCs w:val="20"/>
                <w:color w:val="auto"/>
              </w:rPr>
            </w:pPr>
            <w:r>
              <w:rPr>
                <w:rFonts w:ascii="Calibri" w:cs="Calibri" w:eastAsia="Calibri" w:hAnsi="Calibri"/>
                <w:sz w:val="18"/>
                <w:szCs w:val="18"/>
                <w:color w:val="auto"/>
              </w:rPr>
              <w:t>10.94</w:t>
            </w:r>
          </w:p>
        </w:tc>
        <w:tc>
          <w:tcPr>
            <w:tcW w:w="0" w:type="dxa"/>
            <w:vAlign w:val="bottom"/>
          </w:tcPr>
          <w:p>
            <w:pPr>
              <w:spacing w:after="0"/>
              <w:rPr>
                <w:sz w:val="1"/>
                <w:szCs w:val="1"/>
                <w:color w:val="auto"/>
              </w:rPr>
            </w:pPr>
          </w:p>
        </w:tc>
      </w:tr>
      <w:tr>
        <w:trPr>
          <w:trHeight w:val="204"/>
        </w:trPr>
        <w:tc>
          <w:tcPr>
            <w:tcW w:w="3560" w:type="dxa"/>
            <w:vAlign w:val="bottom"/>
          </w:tcPr>
          <w:p>
            <w:pPr>
              <w:ind w:left="120"/>
              <w:spacing w:after="0" w:line="204" w:lineRule="exact"/>
              <w:rPr>
                <w:sz w:val="20"/>
                <w:szCs w:val="20"/>
                <w:color w:val="auto"/>
              </w:rPr>
            </w:pPr>
            <w:r>
              <w:rPr>
                <w:rFonts w:ascii="Calibri" w:cs="Calibri" w:eastAsia="Calibri" w:hAnsi="Calibri"/>
                <w:sz w:val="18"/>
                <w:szCs w:val="18"/>
                <w:color w:val="auto"/>
              </w:rPr>
              <w:t>Q4 2024 acquired IPR&amp;D and milestones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560" w:type="dxa"/>
            <w:vAlign w:val="bottom"/>
          </w:tcPr>
          <w:p>
            <w:pPr>
              <w:ind w:left="120"/>
              <w:spacing w:after="0" w:line="215" w:lineRule="exact"/>
              <w:rPr>
                <w:sz w:val="20"/>
                <w:szCs w:val="20"/>
                <w:color w:val="auto"/>
              </w:rPr>
            </w:pPr>
            <w:r>
              <w:rPr>
                <w:rFonts w:ascii="Calibri" w:cs="Calibri" w:eastAsia="Calibri" w:hAnsi="Calibri"/>
                <w:sz w:val="18"/>
                <w:szCs w:val="18"/>
                <w:color w:val="auto"/>
              </w:rPr>
              <w:t>expense</w:t>
            </w:r>
          </w:p>
        </w:tc>
        <w:tc>
          <w:tcPr>
            <w:tcW w:w="140" w:type="dxa"/>
            <w:vAlign w:val="bottom"/>
          </w:tcPr>
          <w:p>
            <w:pPr>
              <w:spacing w:after="0"/>
              <w:rPr>
                <w:sz w:val="18"/>
                <w:szCs w:val="18"/>
                <w:color w:val="auto"/>
              </w:rPr>
            </w:pPr>
          </w:p>
        </w:tc>
        <w:tc>
          <w:tcPr>
            <w:tcW w:w="1140" w:type="dxa"/>
            <w:vAlign w:val="bottom"/>
          </w:tcPr>
          <w:p>
            <w:pPr>
              <w:jc w:val="right"/>
              <w:ind w:right="71"/>
              <w:spacing w:after="0" w:line="215" w:lineRule="exact"/>
              <w:rPr>
                <w:sz w:val="20"/>
                <w:szCs w:val="20"/>
                <w:color w:val="auto"/>
              </w:rPr>
            </w:pPr>
            <w:r>
              <w:rPr>
                <w:rFonts w:ascii="Calibri" w:cs="Calibri" w:eastAsia="Calibri" w:hAnsi="Calibri"/>
                <w:sz w:val="18"/>
                <w:szCs w:val="18"/>
                <w:color w:val="auto"/>
              </w:rPr>
              <w:t>1,574</w:t>
            </w:r>
          </w:p>
        </w:tc>
        <w:tc>
          <w:tcPr>
            <w:tcW w:w="180" w:type="dxa"/>
            <w:vAlign w:val="bottom"/>
          </w:tcPr>
          <w:p>
            <w:pPr>
              <w:spacing w:after="0"/>
              <w:rPr>
                <w:sz w:val="18"/>
                <w:szCs w:val="18"/>
                <w:color w:val="auto"/>
              </w:rPr>
            </w:pPr>
          </w:p>
        </w:tc>
        <w:tc>
          <w:tcPr>
            <w:tcW w:w="1060" w:type="dxa"/>
            <w:vAlign w:val="bottom"/>
          </w:tcPr>
          <w:p>
            <w:pPr>
              <w:jc w:val="center"/>
              <w:ind w:left="390"/>
              <w:spacing w:after="0" w:line="215" w:lineRule="exact"/>
              <w:rPr>
                <w:sz w:val="20"/>
                <w:szCs w:val="20"/>
                <w:color w:val="auto"/>
              </w:rPr>
            </w:pPr>
            <w:r>
              <w:rPr>
                <w:rFonts w:ascii="Calibri" w:cs="Calibri" w:eastAsia="Calibri" w:hAnsi="Calibri"/>
                <w:sz w:val="18"/>
                <w:szCs w:val="18"/>
                <w:color w:val="auto"/>
                <w:w w:val="97"/>
              </w:rPr>
              <w:t>(0.88)</w:t>
            </w:r>
          </w:p>
        </w:tc>
        <w:tc>
          <w:tcPr>
            <w:tcW w:w="320" w:type="dxa"/>
            <w:vAlign w:val="bottom"/>
          </w:tcPr>
          <w:p>
            <w:pPr>
              <w:spacing w:after="0"/>
              <w:rPr>
                <w:sz w:val="18"/>
                <w:szCs w:val="18"/>
                <w:color w:val="auto"/>
              </w:rPr>
            </w:pPr>
          </w:p>
        </w:tc>
        <w:tc>
          <w:tcPr>
            <w:tcW w:w="900" w:type="dxa"/>
            <w:vAlign w:val="bottom"/>
          </w:tcPr>
          <w:p>
            <w:pPr>
              <w:jc w:val="center"/>
              <w:ind w:left="350"/>
              <w:spacing w:after="0" w:line="215" w:lineRule="exact"/>
              <w:rPr>
                <w:sz w:val="20"/>
                <w:szCs w:val="20"/>
                <w:color w:val="auto"/>
              </w:rPr>
            </w:pPr>
            <w:r>
              <w:rPr>
                <w:rFonts w:ascii="Calibri" w:cs="Calibri" w:eastAsia="Calibri" w:hAnsi="Calibri"/>
                <w:sz w:val="18"/>
                <w:szCs w:val="18"/>
                <w:color w:val="auto"/>
                <w:w w:val="97"/>
              </w:rPr>
              <w:t>(0.88)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1"/>
              <w:spacing w:after="0" w:line="215" w:lineRule="exact"/>
              <w:rPr>
                <w:sz w:val="20"/>
                <w:szCs w:val="20"/>
                <w:color w:val="auto"/>
              </w:rPr>
            </w:pPr>
            <w:r>
              <w:rPr>
                <w:rFonts w:ascii="Calibri" w:cs="Calibri" w:eastAsia="Calibri" w:hAnsi="Calibri"/>
                <w:sz w:val="18"/>
                <w:szCs w:val="18"/>
                <w:color w:val="auto"/>
              </w:rPr>
              <w:t>1,574</w:t>
            </w:r>
          </w:p>
        </w:tc>
        <w:tc>
          <w:tcPr>
            <w:tcW w:w="180" w:type="dxa"/>
            <w:vAlign w:val="bottom"/>
          </w:tcPr>
          <w:p>
            <w:pPr>
              <w:spacing w:after="0"/>
              <w:rPr>
                <w:sz w:val="18"/>
                <w:szCs w:val="18"/>
                <w:color w:val="auto"/>
              </w:rPr>
            </w:pPr>
          </w:p>
        </w:tc>
        <w:tc>
          <w:tcPr>
            <w:tcW w:w="1080" w:type="dxa"/>
            <w:vAlign w:val="bottom"/>
          </w:tcPr>
          <w:p>
            <w:pPr>
              <w:ind w:left="580"/>
              <w:spacing w:after="0" w:line="215" w:lineRule="exact"/>
              <w:rPr>
                <w:sz w:val="20"/>
                <w:szCs w:val="20"/>
                <w:color w:val="auto"/>
              </w:rPr>
            </w:pPr>
            <w:r>
              <w:rPr>
                <w:rFonts w:ascii="Calibri" w:cs="Calibri" w:eastAsia="Calibri" w:hAnsi="Calibri"/>
                <w:sz w:val="18"/>
                <w:szCs w:val="18"/>
                <w:color w:val="auto"/>
              </w:rPr>
              <w:t>(0.88)</w:t>
            </w:r>
          </w:p>
        </w:tc>
        <w:tc>
          <w:tcPr>
            <w:tcW w:w="340" w:type="dxa"/>
            <w:vAlign w:val="bottom"/>
          </w:tcPr>
          <w:p>
            <w:pPr>
              <w:spacing w:after="0"/>
              <w:rPr>
                <w:sz w:val="18"/>
                <w:szCs w:val="18"/>
                <w:color w:val="auto"/>
              </w:rPr>
            </w:pPr>
          </w:p>
        </w:tc>
        <w:tc>
          <w:tcPr>
            <w:tcW w:w="920" w:type="dxa"/>
            <w:vAlign w:val="bottom"/>
          </w:tcPr>
          <w:p>
            <w:pPr>
              <w:ind w:left="480"/>
              <w:spacing w:after="0" w:line="215" w:lineRule="exact"/>
              <w:rPr>
                <w:sz w:val="20"/>
                <w:szCs w:val="20"/>
                <w:color w:val="auto"/>
              </w:rPr>
            </w:pPr>
            <w:r>
              <w:rPr>
                <w:rFonts w:ascii="Calibri" w:cs="Calibri" w:eastAsia="Calibri" w:hAnsi="Calibri"/>
                <w:sz w:val="18"/>
                <w:szCs w:val="18"/>
                <w:color w:val="auto"/>
                <w:w w:val="97"/>
              </w:rPr>
              <w:t>(0.88)</w:t>
            </w:r>
          </w:p>
        </w:tc>
        <w:tc>
          <w:tcPr>
            <w:tcW w:w="0" w:type="dxa"/>
            <w:vAlign w:val="bottom"/>
          </w:tcPr>
          <w:p>
            <w:pPr>
              <w:spacing w:after="0"/>
              <w:rPr>
                <w:sz w:val="1"/>
                <w:szCs w:val="1"/>
                <w:color w:val="auto"/>
              </w:rPr>
            </w:pPr>
          </w:p>
        </w:tc>
      </w:tr>
      <w:tr>
        <w:trPr>
          <w:trHeight w:val="23"/>
        </w:trPr>
        <w:tc>
          <w:tcPr>
            <w:tcW w:w="3560" w:type="dxa"/>
            <w:vAlign w:val="bottom"/>
            <w:vMerge w:val="restart"/>
          </w:tcPr>
          <w:p>
            <w:pPr>
              <w:spacing w:after="0" w:line="204" w:lineRule="exact"/>
              <w:rPr>
                <w:sz w:val="20"/>
                <w:szCs w:val="20"/>
                <w:color w:val="auto"/>
              </w:rPr>
            </w:pPr>
            <w:r>
              <w:rPr>
                <w:rFonts w:ascii="Calibri" w:cs="Calibri" w:eastAsia="Calibri" w:hAnsi="Calibri"/>
                <w:sz w:val="18"/>
                <w:szCs w:val="18"/>
                <w:b w:val="1"/>
                <w:bCs w:val="1"/>
                <w:color w:val="auto"/>
              </w:rPr>
              <w:t>Guidance including Q4 2024 Acquired IPR&amp;D</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560" w:type="dxa"/>
            <w:vAlign w:val="bottom"/>
            <w:vMerge w:val="continue"/>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Calibri" w:cs="Calibri" w:eastAsia="Calibri" w:hAnsi="Calibri"/>
                <w:sz w:val="18"/>
                <w:szCs w:val="18"/>
                <w:color w:val="auto"/>
                <w:w w:val="87"/>
              </w:rPr>
              <w:t>$</w:t>
            </w:r>
          </w:p>
        </w:tc>
        <w:tc>
          <w:tcPr>
            <w:tcW w:w="1140" w:type="dxa"/>
            <w:vAlign w:val="bottom"/>
            <w:vMerge w:val="restart"/>
          </w:tcPr>
          <w:p>
            <w:pPr>
              <w:jc w:val="right"/>
              <w:ind w:right="71"/>
              <w:spacing w:after="0"/>
              <w:rPr>
                <w:sz w:val="20"/>
                <w:szCs w:val="20"/>
                <w:color w:val="auto"/>
              </w:rPr>
            </w:pPr>
            <w:r>
              <w:rPr>
                <w:rFonts w:ascii="Calibri" w:cs="Calibri" w:eastAsia="Calibri" w:hAnsi="Calibri"/>
                <w:sz w:val="18"/>
                <w:szCs w:val="18"/>
                <w:color w:val="auto"/>
              </w:rPr>
              <w:t>1,574</w:t>
            </w:r>
          </w:p>
        </w:tc>
        <w:tc>
          <w:tcPr>
            <w:tcW w:w="18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060" w:type="dxa"/>
            <w:vAlign w:val="bottom"/>
            <w:vMerge w:val="restart"/>
          </w:tcPr>
          <w:p>
            <w:pPr>
              <w:jc w:val="center"/>
              <w:ind w:left="410"/>
              <w:spacing w:after="0"/>
              <w:rPr>
                <w:sz w:val="20"/>
                <w:szCs w:val="20"/>
                <w:color w:val="auto"/>
              </w:rPr>
            </w:pPr>
            <w:r>
              <w:rPr>
                <w:rFonts w:ascii="Calibri" w:cs="Calibri" w:eastAsia="Calibri" w:hAnsi="Calibri"/>
                <w:sz w:val="18"/>
                <w:szCs w:val="18"/>
                <w:color w:val="auto"/>
              </w:rPr>
              <w:t>2.06</w:t>
            </w:r>
          </w:p>
        </w:tc>
        <w:tc>
          <w:tcPr>
            <w:tcW w:w="320" w:type="dxa"/>
            <w:vAlign w:val="bottom"/>
            <w:vMerge w:val="restart"/>
          </w:tcPr>
          <w:p>
            <w:pPr>
              <w:jc w:val="right"/>
              <w:ind w:right="70"/>
              <w:spacing w:after="0"/>
              <w:rPr>
                <w:sz w:val="20"/>
                <w:szCs w:val="20"/>
                <w:color w:val="auto"/>
              </w:rPr>
            </w:pPr>
            <w:r>
              <w:rPr>
                <w:rFonts w:ascii="Calibri" w:cs="Calibri" w:eastAsia="Calibri" w:hAnsi="Calibri"/>
                <w:sz w:val="18"/>
                <w:szCs w:val="18"/>
                <w:color w:val="auto"/>
              </w:rPr>
              <w:t>$</w:t>
            </w:r>
          </w:p>
        </w:tc>
        <w:tc>
          <w:tcPr>
            <w:tcW w:w="900" w:type="dxa"/>
            <w:vAlign w:val="bottom"/>
            <w:vMerge w:val="restart"/>
          </w:tcPr>
          <w:p>
            <w:pPr>
              <w:jc w:val="center"/>
              <w:ind w:left="370"/>
              <w:spacing w:after="0"/>
              <w:rPr>
                <w:sz w:val="20"/>
                <w:szCs w:val="20"/>
                <w:color w:val="auto"/>
              </w:rPr>
            </w:pPr>
            <w:r>
              <w:rPr>
                <w:rFonts w:ascii="Calibri" w:cs="Calibri" w:eastAsia="Calibri" w:hAnsi="Calibri"/>
                <w:sz w:val="18"/>
                <w:szCs w:val="18"/>
                <w:color w:val="auto"/>
              </w:rPr>
              <w:t>2.10</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Calibri" w:cs="Calibri" w:eastAsia="Calibri" w:hAnsi="Calibri"/>
                <w:sz w:val="18"/>
                <w:szCs w:val="18"/>
                <w:color w:val="auto"/>
                <w:w w:val="87"/>
              </w:rPr>
              <w:t>$</w:t>
            </w:r>
          </w:p>
        </w:tc>
        <w:tc>
          <w:tcPr>
            <w:tcW w:w="1140" w:type="dxa"/>
            <w:vAlign w:val="bottom"/>
            <w:vMerge w:val="restart"/>
          </w:tcPr>
          <w:p>
            <w:pPr>
              <w:jc w:val="right"/>
              <w:ind w:right="71"/>
              <w:spacing w:after="0"/>
              <w:rPr>
                <w:sz w:val="20"/>
                <w:szCs w:val="20"/>
                <w:color w:val="auto"/>
              </w:rPr>
            </w:pPr>
            <w:r>
              <w:rPr>
                <w:rFonts w:ascii="Calibri" w:cs="Calibri" w:eastAsia="Calibri" w:hAnsi="Calibri"/>
                <w:sz w:val="18"/>
                <w:szCs w:val="18"/>
                <w:color w:val="auto"/>
              </w:rPr>
              <w:t>2,757</w:t>
            </w:r>
          </w:p>
        </w:tc>
        <w:tc>
          <w:tcPr>
            <w:tcW w:w="18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vMerge w:val="restart"/>
          </w:tcPr>
          <w:p>
            <w:pPr>
              <w:ind w:left="560"/>
              <w:spacing w:after="0"/>
              <w:rPr>
                <w:sz w:val="20"/>
                <w:szCs w:val="20"/>
                <w:color w:val="auto"/>
              </w:rPr>
            </w:pPr>
            <w:r>
              <w:rPr>
                <w:rFonts w:ascii="Calibri" w:cs="Calibri" w:eastAsia="Calibri" w:hAnsi="Calibri"/>
                <w:sz w:val="18"/>
                <w:szCs w:val="18"/>
                <w:color w:val="auto"/>
              </w:rPr>
              <w:t>10.02</w:t>
            </w:r>
          </w:p>
        </w:tc>
        <w:tc>
          <w:tcPr>
            <w:tcW w:w="340" w:type="dxa"/>
            <w:vAlign w:val="bottom"/>
            <w:vMerge w:val="restart"/>
          </w:tcPr>
          <w:p>
            <w:pPr>
              <w:jc w:val="right"/>
              <w:ind w:right="90"/>
              <w:spacing w:after="0"/>
              <w:rPr>
                <w:sz w:val="20"/>
                <w:szCs w:val="20"/>
                <w:color w:val="auto"/>
              </w:rPr>
            </w:pPr>
            <w:r>
              <w:rPr>
                <w:rFonts w:ascii="Calibri" w:cs="Calibri" w:eastAsia="Calibri" w:hAnsi="Calibri"/>
                <w:sz w:val="18"/>
                <w:szCs w:val="18"/>
                <w:color w:val="auto"/>
              </w:rPr>
              <w:t>$</w:t>
            </w:r>
          </w:p>
        </w:tc>
        <w:tc>
          <w:tcPr>
            <w:tcW w:w="920" w:type="dxa"/>
            <w:vAlign w:val="bottom"/>
            <w:vMerge w:val="restart"/>
          </w:tcPr>
          <w:p>
            <w:pPr>
              <w:ind w:left="460"/>
              <w:spacing w:after="0"/>
              <w:rPr>
                <w:sz w:val="20"/>
                <w:szCs w:val="20"/>
                <w:color w:val="auto"/>
              </w:rPr>
            </w:pPr>
            <w:r>
              <w:rPr>
                <w:rFonts w:ascii="Calibri" w:cs="Calibri" w:eastAsia="Calibri" w:hAnsi="Calibri"/>
                <w:sz w:val="18"/>
                <w:szCs w:val="18"/>
                <w:color w:val="auto"/>
              </w:rPr>
              <w:t>10.06</w:t>
            </w:r>
          </w:p>
        </w:tc>
        <w:tc>
          <w:tcPr>
            <w:tcW w:w="0" w:type="dxa"/>
            <w:vAlign w:val="bottom"/>
          </w:tcPr>
          <w:p>
            <w:pPr>
              <w:spacing w:after="0"/>
              <w:rPr>
                <w:sz w:val="1"/>
                <w:szCs w:val="1"/>
                <w:color w:val="auto"/>
              </w:rPr>
            </w:pPr>
          </w:p>
        </w:tc>
      </w:tr>
      <w:tr>
        <w:trPr>
          <w:trHeight w:val="216"/>
        </w:trPr>
        <w:tc>
          <w:tcPr>
            <w:tcW w:w="3560" w:type="dxa"/>
            <w:vAlign w:val="bottom"/>
          </w:tcPr>
          <w:p>
            <w:pPr>
              <w:spacing w:after="0" w:line="211" w:lineRule="exact"/>
              <w:rPr>
                <w:sz w:val="20"/>
                <w:szCs w:val="20"/>
                <w:color w:val="auto"/>
              </w:rPr>
            </w:pPr>
            <w:r>
              <w:rPr>
                <w:rFonts w:ascii="Calibri" w:cs="Calibri" w:eastAsia="Calibri" w:hAnsi="Calibri"/>
                <w:sz w:val="18"/>
                <w:szCs w:val="18"/>
                <w:b w:val="1"/>
                <w:bCs w:val="1"/>
                <w:color w:val="auto"/>
              </w:rPr>
              <w:t>and milestones expense</w:t>
            </w:r>
          </w:p>
        </w:tc>
        <w:tc>
          <w:tcPr>
            <w:tcW w:w="1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120"/>
        <w:spacing w:after="0"/>
        <w:rPr>
          <w:sz w:val="20"/>
          <w:szCs w:val="20"/>
          <w:color w:val="auto"/>
        </w:rPr>
      </w:pPr>
      <w:r>
        <w:rPr>
          <w:rFonts w:ascii="Calibri" w:cs="Calibri" w:eastAsia="Calibri" w:hAnsi="Calibri"/>
          <w:sz w:val="19"/>
          <w:szCs w:val="19"/>
          <w:color w:val="auto"/>
        </w:rPr>
        <w:t>1</w:t>
      </w:r>
    </w:p>
    <w:sectPr>
      <w:pgSz w:w="11900" w:h="16838" w:orient="portrait"/>
      <w:cols w:equalWidth="0" w:num="1">
        <w:col w:w="11220"/>
      </w:cols>
      <w:pgMar w:left="34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2025-01-06T15:11:31Z</dcterms:created>
  <dcterms:modified xsi:type="dcterms:W3CDTF">2025-01-06T15:11:31Z</dcterms:modified>
</cp:coreProperties>
</file>