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16, 2018</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220" w:type="dxa"/>
            <w:vAlign w:val="bottom"/>
          </w:tcPr>
          <w:p>
            <w:pPr>
              <w:jc w:val="center"/>
              <w:ind w:left="352"/>
              <w:spacing w:after="0"/>
              <w:rPr>
                <w:sz w:val="20"/>
                <w:szCs w:val="20"/>
                <w:color w:val="auto"/>
              </w:rPr>
            </w:pPr>
            <w:r>
              <w:rPr>
                <w:rFonts w:ascii="Arial" w:cs="Arial" w:eastAsia="Arial" w:hAnsi="Arial"/>
                <w:sz w:val="22"/>
                <w:szCs w:val="22"/>
                <w:b w:val="1"/>
                <w:bCs w:val="1"/>
                <w:color w:val="auto"/>
                <w:w w:val="99"/>
              </w:rPr>
              <w:t>Delaware</w:t>
            </w:r>
          </w:p>
        </w:tc>
        <w:tc>
          <w:tcPr>
            <w:tcW w:w="5200" w:type="dxa"/>
            <w:vAlign w:val="bottom"/>
          </w:tcPr>
          <w:p>
            <w:pPr>
              <w:jc w:val="center"/>
              <w:ind w:right="72"/>
              <w:spacing w:after="0"/>
              <w:rPr>
                <w:sz w:val="20"/>
                <w:szCs w:val="20"/>
                <w:color w:val="auto"/>
              </w:rPr>
            </w:pPr>
            <w:r>
              <w:rPr>
                <w:rFonts w:ascii="Arial" w:cs="Arial" w:eastAsia="Arial" w:hAnsi="Arial"/>
                <w:sz w:val="22"/>
                <w:szCs w:val="22"/>
                <w:b w:val="1"/>
                <w:bCs w:val="1"/>
                <w:color w:val="auto"/>
                <w:w w:val="96"/>
              </w:rPr>
              <w:t>001-35565</w:t>
            </w:r>
          </w:p>
        </w:tc>
        <w:tc>
          <w:tcPr>
            <w:tcW w:w="3000" w:type="dxa"/>
            <w:vAlign w:val="bottom"/>
          </w:tcPr>
          <w:p>
            <w:pPr>
              <w:jc w:val="center"/>
              <w:ind w:right="532"/>
              <w:spacing w:after="0"/>
              <w:rPr>
                <w:sz w:val="20"/>
                <w:szCs w:val="20"/>
                <w:color w:val="auto"/>
              </w:rPr>
            </w:pPr>
            <w:r>
              <w:rPr>
                <w:rFonts w:ascii="Arial" w:cs="Arial" w:eastAsia="Arial" w:hAnsi="Arial"/>
                <w:sz w:val="22"/>
                <w:szCs w:val="22"/>
                <w:b w:val="1"/>
                <w:bCs w:val="1"/>
                <w:color w:val="auto"/>
                <w:w w:val="98"/>
              </w:rPr>
              <w:t>32-0375147</w:t>
            </w:r>
          </w:p>
        </w:tc>
      </w:tr>
      <w:tr>
        <w:trPr>
          <w:trHeight w:val="257"/>
        </w:trPr>
        <w:tc>
          <w:tcPr>
            <w:tcW w:w="3220" w:type="dxa"/>
            <w:vAlign w:val="bottom"/>
          </w:tcPr>
          <w:p>
            <w:pPr>
              <w:jc w:val="center"/>
              <w:ind w:left="352"/>
              <w:spacing w:after="0"/>
              <w:rPr>
                <w:sz w:val="20"/>
                <w:szCs w:val="20"/>
                <w:color w:val="auto"/>
              </w:rPr>
            </w:pPr>
            <w:r>
              <w:rPr>
                <w:rFonts w:ascii="Arial" w:cs="Arial" w:eastAsia="Arial" w:hAnsi="Arial"/>
                <w:sz w:val="22"/>
                <w:szCs w:val="22"/>
                <w:color w:val="auto"/>
                <w:w w:val="98"/>
              </w:rPr>
              <w:t>(State or other Jurisdiction</w:t>
            </w:r>
          </w:p>
        </w:tc>
        <w:tc>
          <w:tcPr>
            <w:tcW w:w="5200" w:type="dxa"/>
            <w:vAlign w:val="bottom"/>
          </w:tcPr>
          <w:p>
            <w:pPr>
              <w:jc w:val="center"/>
              <w:ind w:right="72"/>
              <w:spacing w:after="0"/>
              <w:rPr>
                <w:sz w:val="20"/>
                <w:szCs w:val="20"/>
                <w:color w:val="auto"/>
              </w:rPr>
            </w:pPr>
            <w:r>
              <w:rPr>
                <w:rFonts w:ascii="Arial" w:cs="Arial" w:eastAsia="Arial" w:hAnsi="Arial"/>
                <w:sz w:val="22"/>
                <w:szCs w:val="22"/>
                <w:color w:val="auto"/>
                <w:w w:val="98"/>
              </w:rPr>
              <w:t>(Commission File Number)</w:t>
            </w:r>
          </w:p>
        </w:tc>
        <w:tc>
          <w:tcPr>
            <w:tcW w:w="3000" w:type="dxa"/>
            <w:vAlign w:val="bottom"/>
          </w:tcPr>
          <w:p>
            <w:pPr>
              <w:jc w:val="center"/>
              <w:ind w:right="532"/>
              <w:spacing w:after="0"/>
              <w:rPr>
                <w:sz w:val="20"/>
                <w:szCs w:val="20"/>
                <w:color w:val="auto"/>
              </w:rPr>
            </w:pPr>
            <w:r>
              <w:rPr>
                <w:rFonts w:ascii="Arial" w:cs="Arial" w:eastAsia="Arial" w:hAnsi="Arial"/>
                <w:sz w:val="22"/>
                <w:szCs w:val="22"/>
                <w:color w:val="auto"/>
                <w:w w:val="97"/>
              </w:rPr>
              <w:t>(IRS Employer</w:t>
            </w:r>
          </w:p>
        </w:tc>
      </w:tr>
      <w:tr>
        <w:trPr>
          <w:trHeight w:val="260"/>
        </w:trPr>
        <w:tc>
          <w:tcPr>
            <w:tcW w:w="3220" w:type="dxa"/>
            <w:vAlign w:val="bottom"/>
          </w:tcPr>
          <w:p>
            <w:pPr>
              <w:jc w:val="center"/>
              <w:ind w:left="352"/>
              <w:spacing w:after="0"/>
              <w:rPr>
                <w:sz w:val="20"/>
                <w:szCs w:val="20"/>
                <w:color w:val="auto"/>
              </w:rPr>
            </w:pPr>
            <w:r>
              <w:rPr>
                <w:rFonts w:ascii="Arial" w:cs="Arial" w:eastAsia="Arial" w:hAnsi="Arial"/>
                <w:sz w:val="22"/>
                <w:szCs w:val="22"/>
                <w:color w:val="auto"/>
                <w:w w:val="97"/>
              </w:rPr>
              <w:t>of Incorporation)</w:t>
            </w:r>
          </w:p>
        </w:tc>
        <w:tc>
          <w:tcPr>
            <w:tcW w:w="5200" w:type="dxa"/>
            <w:vAlign w:val="bottom"/>
          </w:tcPr>
          <w:p>
            <w:pPr>
              <w:spacing w:after="0"/>
              <w:rPr>
                <w:sz w:val="22"/>
                <w:szCs w:val="22"/>
                <w:color w:val="auto"/>
              </w:rPr>
            </w:pPr>
          </w:p>
        </w:tc>
        <w:tc>
          <w:tcPr>
            <w:tcW w:w="3000" w:type="dxa"/>
            <w:vAlign w:val="bottom"/>
          </w:tcPr>
          <w:p>
            <w:pPr>
              <w:jc w:val="center"/>
              <w:ind w:right="532"/>
              <w:spacing w:after="0"/>
              <w:rPr>
                <w:sz w:val="20"/>
                <w:szCs w:val="20"/>
                <w:color w:val="auto"/>
              </w:rPr>
            </w:pPr>
            <w:r>
              <w:rPr>
                <w:rFonts w:ascii="Arial" w:cs="Arial" w:eastAsia="Arial" w:hAnsi="Arial"/>
                <w:sz w:val="22"/>
                <w:szCs w:val="22"/>
                <w:color w:val="auto"/>
                <w:w w:val="98"/>
              </w:rPr>
              <w:t>Identification No.)</w:t>
            </w:r>
          </w:p>
        </w:tc>
      </w:tr>
      <w:tr>
        <w:trPr>
          <w:trHeight w:val="193"/>
        </w:trPr>
        <w:tc>
          <w:tcPr>
            <w:tcW w:w="322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r>
      <w:tr>
        <w:trPr>
          <w:trHeight w:val="339"/>
        </w:trPr>
        <w:tc>
          <w:tcPr>
            <w:tcW w:w="3220" w:type="dxa"/>
            <w:vAlign w:val="bottom"/>
          </w:tcPr>
          <w:p>
            <w:pPr>
              <w:spacing w:after="0"/>
              <w:rPr>
                <w:sz w:val="24"/>
                <w:szCs w:val="24"/>
                <w:color w:val="auto"/>
              </w:rPr>
            </w:pPr>
          </w:p>
        </w:tc>
        <w:tc>
          <w:tcPr>
            <w:tcW w:w="5200" w:type="dxa"/>
            <w:vAlign w:val="bottom"/>
          </w:tcPr>
          <w:p>
            <w:pPr>
              <w:jc w:val="center"/>
              <w:ind w:right="112"/>
              <w:spacing w:after="0"/>
              <w:rPr>
                <w:sz w:val="20"/>
                <w:szCs w:val="20"/>
                <w:color w:val="auto"/>
              </w:rPr>
            </w:pPr>
            <w:r>
              <w:rPr>
                <w:rFonts w:ascii="Arial" w:cs="Arial" w:eastAsia="Arial" w:hAnsi="Arial"/>
                <w:sz w:val="22"/>
                <w:szCs w:val="22"/>
                <w:b w:val="1"/>
                <w:bCs w:val="1"/>
                <w:color w:val="auto"/>
                <w:w w:val="98"/>
              </w:rPr>
              <w:t>1 North Waukegan Road</w:t>
            </w:r>
          </w:p>
        </w:tc>
        <w:tc>
          <w:tcPr>
            <w:tcW w:w="3000" w:type="dxa"/>
            <w:vAlign w:val="bottom"/>
          </w:tcPr>
          <w:p>
            <w:pPr>
              <w:spacing w:after="0"/>
              <w:rPr>
                <w:sz w:val="24"/>
                <w:szCs w:val="24"/>
                <w:color w:val="auto"/>
              </w:rPr>
            </w:pPr>
          </w:p>
        </w:tc>
      </w:tr>
      <w:tr>
        <w:trPr>
          <w:trHeight w:val="286"/>
        </w:trPr>
        <w:tc>
          <w:tcPr>
            <w:tcW w:w="3220" w:type="dxa"/>
            <w:vAlign w:val="bottom"/>
          </w:tcPr>
          <w:p>
            <w:pPr>
              <w:spacing w:after="0"/>
              <w:rPr>
                <w:sz w:val="24"/>
                <w:szCs w:val="24"/>
                <w:color w:val="auto"/>
              </w:rPr>
            </w:pPr>
          </w:p>
        </w:tc>
        <w:tc>
          <w:tcPr>
            <w:tcW w:w="5200" w:type="dxa"/>
            <w:vAlign w:val="bottom"/>
          </w:tcPr>
          <w:p>
            <w:pPr>
              <w:jc w:val="center"/>
              <w:ind w:right="112"/>
              <w:spacing w:after="0"/>
              <w:rPr>
                <w:sz w:val="20"/>
                <w:szCs w:val="20"/>
                <w:color w:val="auto"/>
              </w:rPr>
            </w:pPr>
            <w:r>
              <w:rPr>
                <w:rFonts w:ascii="Arial" w:cs="Arial" w:eastAsia="Arial" w:hAnsi="Arial"/>
                <w:sz w:val="22"/>
                <w:szCs w:val="22"/>
                <w:b w:val="1"/>
                <w:bCs w:val="1"/>
                <w:color w:val="auto"/>
                <w:w w:val="98"/>
              </w:rPr>
              <w:t>North Chicago, Illinois 60064-6400</w:t>
            </w:r>
          </w:p>
        </w:tc>
        <w:tc>
          <w:tcPr>
            <w:tcW w:w="3000" w:type="dxa"/>
            <w:vAlign w:val="bottom"/>
          </w:tcPr>
          <w:p>
            <w:pPr>
              <w:spacing w:after="0"/>
              <w:rPr>
                <w:sz w:val="24"/>
                <w:szCs w:val="24"/>
                <w:color w:val="auto"/>
              </w:rPr>
            </w:pPr>
          </w:p>
        </w:tc>
      </w:tr>
      <w:tr>
        <w:trPr>
          <w:trHeight w:val="284"/>
        </w:trPr>
        <w:tc>
          <w:tcPr>
            <w:tcW w:w="3220" w:type="dxa"/>
            <w:vAlign w:val="bottom"/>
          </w:tcPr>
          <w:p>
            <w:pPr>
              <w:spacing w:after="0"/>
              <w:rPr>
                <w:sz w:val="24"/>
                <w:szCs w:val="24"/>
                <w:color w:val="auto"/>
              </w:rPr>
            </w:pPr>
          </w:p>
        </w:tc>
        <w:tc>
          <w:tcPr>
            <w:tcW w:w="5200" w:type="dxa"/>
            <w:vAlign w:val="bottom"/>
          </w:tcPr>
          <w:p>
            <w:pPr>
              <w:jc w:val="center"/>
              <w:ind w:right="112"/>
              <w:spacing w:after="0"/>
              <w:rPr>
                <w:sz w:val="20"/>
                <w:szCs w:val="20"/>
                <w:color w:val="auto"/>
              </w:rPr>
            </w:pPr>
            <w:r>
              <w:rPr>
                <w:rFonts w:ascii="Arial" w:cs="Arial" w:eastAsia="Arial" w:hAnsi="Arial"/>
                <w:sz w:val="22"/>
                <w:szCs w:val="22"/>
                <w:color w:val="auto"/>
                <w:w w:val="98"/>
              </w:rPr>
              <w:t>(Address of principal executive offices) (Zip Code)</w:t>
            </w:r>
          </w:p>
        </w:tc>
        <w:tc>
          <w:tcPr>
            <w:tcW w:w="3000" w:type="dxa"/>
            <w:vAlign w:val="bottom"/>
          </w:tcPr>
          <w:p>
            <w:pPr>
              <w:spacing w:after="0"/>
              <w:rPr>
                <w:sz w:val="24"/>
                <w:szCs w:val="24"/>
                <w:color w:val="auto"/>
              </w:rPr>
            </w:pP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(847) 932-7900</w:t>
      </w:r>
    </w:p>
    <w:p>
      <w:pPr>
        <w:spacing w:after="0" w:line="219" w:lineRule="exact"/>
        <w:rPr>
          <w:sz w:val="24"/>
          <w:szCs w:val="24"/>
          <w:color w:val="auto"/>
        </w:rPr>
      </w:pPr>
    </w:p>
    <w:p>
      <w:pPr>
        <w:ind w:right="30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22"/>
          <w:szCs w:val="22"/>
          <w:color w:val="auto"/>
        </w:rPr>
        <w:t>Written communications pursuant to Rule 425 under the Securities Act (17 CFR 230.425)</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22"/>
          <w:szCs w:val="22"/>
          <w:color w:val="auto"/>
        </w:rPr>
        <w:t>Soliciting material pursuant to Rule 14a-12 under the Exchange Act (17 CFR 240.14a-12)</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Pre-commencement communications pursuant to Rule 14d-2(b) under the Exchange Act (17 CFR 240.14d-2(b))</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Pre-commencement communications pursuant to Rule 13e-4(c) under the Exchange Act (17 CFR 240.13e-4(c))</w:t>
      </w:r>
    </w:p>
    <w:p>
      <w:pPr>
        <w:spacing w:after="0" w:line="85" w:lineRule="exact"/>
        <w:rPr>
          <w:sz w:val="24"/>
          <w:szCs w:val="24"/>
          <w:color w:val="auto"/>
        </w:rPr>
      </w:pPr>
    </w:p>
    <w:p>
      <w:pPr>
        <w:ind w:right="120"/>
        <w:spacing w:after="0" w:line="238" w:lineRule="auto"/>
        <w:rPr>
          <w:sz w:val="20"/>
          <w:szCs w:val="20"/>
          <w:color w:val="auto"/>
        </w:rPr>
      </w:pPr>
      <w:r>
        <w:rPr>
          <w:rFonts w:ascii="Arial" w:cs="Arial" w:eastAsia="Arial" w:hAnsi="Arial"/>
          <w:sz w:val="22"/>
          <w:szCs w:val="22"/>
          <w:color w:val="211D1E"/>
        </w:rPr>
        <w:t>Indicate by check mark whether the registrant is an emerging growth company as defined in Rule 405 of the Securities Act of 1933 (</w:t>
      </w:r>
      <w:r>
        <w:rPr>
          <w:rFonts w:ascii="Arial" w:cs="Arial" w:eastAsia="Arial" w:hAnsi="Arial"/>
          <w:sz w:val="22"/>
          <w:szCs w:val="22"/>
          <w:color w:val="000000"/>
        </w:rPr>
        <w:t>17 CFR</w:t>
      </w:r>
      <w:r>
        <w:rPr>
          <w:rFonts w:ascii="Arial" w:cs="Arial" w:eastAsia="Arial" w:hAnsi="Arial"/>
          <w:sz w:val="22"/>
          <w:szCs w:val="22"/>
          <w:color w:val="211D1E"/>
        </w:rPr>
        <w:t xml:space="preserve"> 230.405) or Rule 12b-2 of the Securities Exchange Act of 1934 (</w:t>
      </w:r>
      <w:r>
        <w:rPr>
          <w:rFonts w:ascii="Arial" w:cs="Arial" w:eastAsia="Arial" w:hAnsi="Arial"/>
          <w:sz w:val="22"/>
          <w:szCs w:val="22"/>
          <w:color w:val="000000"/>
        </w:rPr>
        <w:t>17 CFR</w:t>
      </w:r>
      <w:r>
        <w:rPr>
          <w:rFonts w:ascii="Arial" w:cs="Arial" w:eastAsia="Arial" w:hAnsi="Arial"/>
          <w:sz w:val="22"/>
          <w:szCs w:val="22"/>
          <w:color w:val="211D1E"/>
        </w:rPr>
        <w:t xml:space="preserve"> 240.12b-2).</w:t>
      </w:r>
    </w:p>
    <w:p>
      <w:pPr>
        <w:spacing w:after="0" w:line="71" w:lineRule="exact"/>
        <w:rPr>
          <w:sz w:val="24"/>
          <w:szCs w:val="24"/>
          <w:color w:val="auto"/>
        </w:rPr>
      </w:pPr>
    </w:p>
    <w:p>
      <w:pPr>
        <w:ind w:left="6980"/>
        <w:spacing w:after="0"/>
        <w:tabs>
          <w:tab w:leader="none" w:pos="9800" w:val="left"/>
        </w:tabs>
        <w:rPr>
          <w:sz w:val="20"/>
          <w:szCs w:val="20"/>
          <w:color w:val="auto"/>
        </w:rPr>
      </w:pPr>
      <w:r>
        <w:rPr>
          <w:rFonts w:ascii="Arial" w:cs="Arial" w:eastAsia="Arial" w:hAnsi="Arial"/>
          <w:sz w:val="22"/>
          <w:szCs w:val="22"/>
          <w:color w:val="211D1E"/>
        </w:rPr>
        <w:t>Emerging growth company</w:t>
      </w:r>
      <w:r>
        <w:rPr>
          <w:sz w:val="20"/>
          <w:szCs w:val="20"/>
          <w:color w:val="auto"/>
        </w:rPr>
        <w:tab/>
      </w:r>
      <w:r>
        <w:rPr>
          <w:rFonts w:ascii="Arial" w:cs="Arial" w:eastAsia="Arial" w:hAnsi="Arial"/>
          <w:sz w:val="17"/>
          <w:szCs w:val="17"/>
          <w:color w:val="211D1E"/>
        </w:rPr>
        <w:t>o</w:t>
      </w:r>
    </w:p>
    <w:p>
      <w:pPr>
        <w:spacing w:after="0" w:line="93" w:lineRule="exact"/>
        <w:rPr>
          <w:sz w:val="24"/>
          <w:szCs w:val="24"/>
          <w:color w:val="auto"/>
        </w:rPr>
      </w:pPr>
    </w:p>
    <w:p>
      <w:pPr>
        <w:ind w:right="180"/>
        <w:spacing w:after="0" w:line="241" w:lineRule="auto"/>
        <w:rPr>
          <w:sz w:val="20"/>
          <w:szCs w:val="20"/>
          <w:color w:val="auto"/>
        </w:rPr>
      </w:pPr>
      <w:r>
        <w:rPr>
          <w:rFonts w:ascii="Arial" w:cs="Arial" w:eastAsia="Arial" w:hAnsi="Arial"/>
          <w:sz w:val="21"/>
          <w:szCs w:val="21"/>
          <w:color w:val="211D1E"/>
        </w:rPr>
        <w:t>If an emerging growth company, indicate by check mark if the registrant has elected not to use the extended transition period for complying with any new or revised financial accounting standards provided pursuant to Section 13(a) of the</w:t>
      </w:r>
    </w:p>
    <w:p>
      <w:pPr>
        <w:spacing w:after="0" w:line="1" w:lineRule="exact"/>
        <w:rPr>
          <w:sz w:val="24"/>
          <w:szCs w:val="24"/>
          <w:color w:val="auto"/>
        </w:rPr>
      </w:pPr>
    </w:p>
    <w:p>
      <w:pPr>
        <w:spacing w:after="0"/>
        <w:tabs>
          <w:tab w:leader="none" w:pos="3060" w:val="left"/>
        </w:tabs>
        <w:rPr>
          <w:sz w:val="20"/>
          <w:szCs w:val="20"/>
          <w:color w:val="auto"/>
        </w:rPr>
      </w:pPr>
      <w:r>
        <w:rPr>
          <w:rFonts w:ascii="Arial" w:cs="Arial" w:eastAsia="Arial" w:hAnsi="Arial"/>
          <w:sz w:val="22"/>
          <w:szCs w:val="22"/>
          <w:color w:val="211D1E"/>
        </w:rPr>
        <w:t>Exchange Act.</w:t>
      </w:r>
      <w:r>
        <w:rPr>
          <w:sz w:val="20"/>
          <w:szCs w:val="20"/>
          <w:color w:val="auto"/>
        </w:rPr>
        <w:tab/>
      </w:r>
      <w:r>
        <w:rPr>
          <w:rFonts w:ascii="Arial" w:cs="Arial" w:eastAsia="Arial" w:hAnsi="Arial"/>
          <w:sz w:val="17"/>
          <w:szCs w:val="17"/>
          <w:color w:val="211D1E"/>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 w:name="page2"/>
    <w:bookmarkEnd w:id="1"/>
    <w:p>
      <w:pPr>
        <w:ind w:right="80"/>
        <w:spacing w:after="0" w:line="261" w:lineRule="auto"/>
        <w:rPr>
          <w:sz w:val="20"/>
          <w:szCs w:val="20"/>
          <w:color w:val="auto"/>
        </w:rPr>
      </w:pPr>
      <w:r>
        <w:rPr>
          <w:rFonts w:ascii="Arial" w:cs="Arial" w:eastAsia="Arial" w:hAnsi="Arial"/>
          <w:sz w:val="22"/>
          <w:szCs w:val="22"/>
          <w:b w:val="1"/>
          <w:bCs w:val="1"/>
          <w:color w:val="auto"/>
        </w:rPr>
        <w:t>Item 5.02 — Departure of Directors or Certain Officers; Election of Directors; Appointment of Certain Officers; Compensatory Arrangements of Certain Officers.</w:t>
      </w:r>
    </w:p>
    <w:p>
      <w:pPr>
        <w:spacing w:after="0" w:line="165"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William J. Chase, Executive Vice President, Chief Financial Officer, informed AbbVie that he plans to retire from the company in mid-2019. Effective October 19, 2018, Mr. Chase has been appointed Executive Vice President, Finance and Administration, and Robert A. Michael has been appointed Senior Vice President, Chief Financial Officer, and Mr. Michael will continue to report to Mr. Chase in his new role.</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Mr. Michael, 48, has been AbbVie’s Vice President, Controller, since March 1, 2017 and served as AbbVie’s Vice President, Treasurer from 2015 to 2016, and as Vice President, Controller, Commercial Operations from 2013 to 2015. He joined Abbott Laboratories in 1993 and held numerous positions in the finance organization.</w:t>
      </w:r>
    </w:p>
    <w:p>
      <w:pPr>
        <w:spacing w:after="0" w:line="189" w:lineRule="exact"/>
        <w:rPr>
          <w:sz w:val="20"/>
          <w:szCs w:val="20"/>
          <w:color w:val="auto"/>
        </w:rPr>
      </w:pPr>
    </w:p>
    <w:p>
      <w:pPr>
        <w:jc w:val="both"/>
        <w:ind w:right="240"/>
        <w:spacing w:after="0" w:line="235" w:lineRule="auto"/>
        <w:rPr>
          <w:sz w:val="20"/>
          <w:szCs w:val="20"/>
          <w:color w:val="auto"/>
        </w:rPr>
      </w:pPr>
      <w:r>
        <w:rPr>
          <w:rFonts w:ascii="Arial" w:cs="Arial" w:eastAsia="Arial" w:hAnsi="Arial"/>
          <w:sz w:val="22"/>
          <w:szCs w:val="22"/>
          <w:color w:val="auto"/>
        </w:rPr>
        <w:t>Brian L. Durkin, 58, has been appointed Vice President, Controller, effective October 19, 2018. Mr. Durkin has been AbbVie’s Vice President, Internal Audit since 2016. Previously, he served as Vice President of Finance and Division Controller for Abbott’s Vision Care business from 2009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21"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20" w:type="dxa"/>
            <w:vAlign w:val="bottom"/>
          </w:tcPr>
          <w:p>
            <w:pPr>
              <w:spacing w:after="0"/>
              <w:rPr>
                <w:sz w:val="24"/>
                <w:szCs w:val="24"/>
                <w:color w:val="auto"/>
              </w:rPr>
            </w:pPr>
          </w:p>
        </w:tc>
        <w:tc>
          <w:tcPr>
            <w:tcW w:w="7800" w:type="dxa"/>
            <w:vAlign w:val="bottom"/>
            <w:gridSpan w:val="2"/>
          </w:tcPr>
          <w:p>
            <w:pPr>
              <w:ind w:left="1260"/>
              <w:spacing w:after="0"/>
              <w:rPr>
                <w:sz w:val="20"/>
                <w:szCs w:val="20"/>
                <w:color w:val="auto"/>
              </w:rPr>
            </w:pPr>
            <w:r>
              <w:rPr>
                <w:rFonts w:ascii="Arial" w:cs="Arial" w:eastAsia="Arial" w:hAnsi="Arial"/>
                <w:sz w:val="22"/>
                <w:szCs w:val="22"/>
                <w:b w:val="1"/>
                <w:bCs w:val="1"/>
                <w:color w:val="auto"/>
              </w:rPr>
              <w:t>ABBVIE INC.</w:t>
            </w:r>
          </w:p>
        </w:tc>
        <w:tc>
          <w:tcPr>
            <w:tcW w:w="40" w:type="dxa"/>
            <w:vAlign w:val="bottom"/>
          </w:tcPr>
          <w:p>
            <w:pPr>
              <w:spacing w:after="0"/>
              <w:rPr>
                <w:sz w:val="24"/>
                <w:szCs w:val="24"/>
                <w:color w:val="auto"/>
              </w:rPr>
            </w:pPr>
          </w:p>
        </w:tc>
      </w:tr>
      <w:tr>
        <w:trPr>
          <w:trHeight w:val="719"/>
        </w:trPr>
        <w:tc>
          <w:tcPr>
            <w:tcW w:w="3620" w:type="dxa"/>
            <w:vAlign w:val="bottom"/>
          </w:tcPr>
          <w:p>
            <w:pPr>
              <w:spacing w:after="0"/>
              <w:rPr>
                <w:sz w:val="20"/>
                <w:szCs w:val="20"/>
                <w:color w:val="auto"/>
              </w:rPr>
            </w:pPr>
            <w:r>
              <w:rPr>
                <w:rFonts w:ascii="Arial" w:cs="Arial" w:eastAsia="Arial" w:hAnsi="Arial"/>
                <w:sz w:val="22"/>
                <w:szCs w:val="22"/>
                <w:color w:val="auto"/>
              </w:rPr>
              <w:t>Date:  October 19, 2018</w:t>
            </w:r>
          </w:p>
        </w:tc>
        <w:tc>
          <w:tcPr>
            <w:tcW w:w="7800" w:type="dxa"/>
            <w:vAlign w:val="bottom"/>
            <w:gridSpan w:val="2"/>
          </w:tcPr>
          <w:p>
            <w:pPr>
              <w:ind w:left="1260"/>
              <w:spacing w:after="0"/>
              <w:rPr>
                <w:sz w:val="20"/>
                <w:szCs w:val="20"/>
                <w:color w:val="auto"/>
              </w:rPr>
            </w:pPr>
            <w:r>
              <w:rPr>
                <w:rFonts w:ascii="Arial" w:cs="Arial" w:eastAsia="Arial" w:hAnsi="Arial"/>
                <w:sz w:val="22"/>
                <w:szCs w:val="22"/>
                <w:color w:val="auto"/>
              </w:rPr>
              <w:t>By:   /s/ Timothy J. Richmond</w:t>
            </w:r>
          </w:p>
        </w:tc>
        <w:tc>
          <w:tcPr>
            <w:tcW w:w="4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8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Timothy J. Richmond</w:t>
            </w:r>
          </w:p>
        </w:tc>
        <w:tc>
          <w:tcPr>
            <w:tcW w:w="40" w:type="dxa"/>
            <w:vAlign w:val="bottom"/>
          </w:tcPr>
          <w:p>
            <w:pPr>
              <w:spacing w:after="0"/>
              <w:rPr>
                <w:sz w:val="20"/>
                <w:szCs w:val="20"/>
                <w:color w:val="auto"/>
              </w:rPr>
            </w:pPr>
          </w:p>
        </w:tc>
      </w:tr>
      <w:tr>
        <w:trPr>
          <w:trHeight w:val="260"/>
        </w:trPr>
        <w:tc>
          <w:tcPr>
            <w:tcW w:w="36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880" w:type="dxa"/>
            <w:vAlign w:val="bottom"/>
          </w:tcPr>
          <w:p>
            <w:pPr>
              <w:spacing w:after="0"/>
              <w:rPr>
                <w:sz w:val="20"/>
                <w:szCs w:val="20"/>
                <w:color w:val="auto"/>
              </w:rPr>
            </w:pPr>
            <w:r>
              <w:rPr>
                <w:rFonts w:ascii="Arial" w:cs="Arial" w:eastAsia="Arial" w:hAnsi="Arial"/>
                <w:sz w:val="22"/>
                <w:szCs w:val="22"/>
                <w:color w:val="auto"/>
              </w:rPr>
              <w:t>Executive Vice President, Chief Human Resources Officer</w:t>
            </w:r>
          </w:p>
        </w:tc>
        <w:tc>
          <w:tcPr>
            <w:tcW w:w="40" w:type="dxa"/>
            <w:vAlign w:val="bottom"/>
          </w:tcPr>
          <w:p>
            <w:pPr>
              <w:spacing w:after="0"/>
              <w:rPr>
                <w:sz w:val="22"/>
                <w:szCs w:val="22"/>
                <w:color w:val="auto"/>
              </w:rPr>
            </w:pPr>
          </w:p>
        </w:tc>
      </w:tr>
      <w:tr>
        <w:trPr>
          <w:trHeight w:val="324"/>
        </w:trPr>
        <w:tc>
          <w:tcPr>
            <w:tcW w:w="36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1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2019-12-08T02:40:32Z</dcterms:created>
  <dcterms:modified xsi:type="dcterms:W3CDTF">2019-12-08T02:40:32Z</dcterms:modified>
</cp:coreProperties>
</file>