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106680</wp:posOffset>
            </wp:positionH>
            <wp:positionV relativeFrom="page">
              <wp:posOffset>106680</wp:posOffset>
            </wp:positionV>
            <wp:extent cx="733806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38060" cy="34290"/>
                    </a:xfrm>
                    <a:prstGeom prst="rect">
                      <a:avLst/>
                    </a:prstGeom>
                    <a:noFill/>
                  </pic:spPr>
                </pic:pic>
              </a:graphicData>
            </a:graphic>
          </wp:anchor>
        </w:drawing>
        <w:drawing>
          <wp:anchor simplePos="0" relativeHeight="251657728" behindDoc="1" locked="0" layoutInCell="0" allowOverlap="1">
            <wp:simplePos x="0" y="0"/>
            <wp:positionH relativeFrom="page">
              <wp:posOffset>106680</wp:posOffset>
            </wp:positionH>
            <wp:positionV relativeFrom="page">
              <wp:posOffset>175260</wp:posOffset>
            </wp:positionV>
            <wp:extent cx="73380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38060" cy="8255"/>
                    </a:xfrm>
                    <a:prstGeom prst="rect">
                      <a:avLst/>
                    </a:prstGeom>
                    <a:noFill/>
                  </pic:spPr>
                </pic:pic>
              </a:graphicData>
            </a:graphic>
          </wp:anchor>
        </w:drawing>
        <w:t>UNITED STATES</w:t>
      </w:r>
    </w:p>
    <w:p>
      <w:pPr>
        <w:spacing w:after="0" w:line="33"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27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4, 2019</w:t>
      </w:r>
    </w:p>
    <w:p>
      <w:pPr>
        <w:spacing w:after="0" w:line="202"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ABBVIE INC.</w:t>
      </w:r>
    </w:p>
    <w:p>
      <w:pPr>
        <w:spacing w:after="0" w:line="39"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160" w:top="464" w:right="439" w:bottom="1440" w:gutter="0" w:footer="0" w:header="0"/>
        </w:sectPr>
      </w:pPr>
    </w:p>
    <w:p>
      <w:pPr>
        <w:spacing w:after="0" w:line="205"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001-35565</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32-0375147</w:t>
      </w:r>
    </w:p>
    <w:p>
      <w:pPr>
        <w:spacing w:after="0" w:line="27" w:lineRule="exact"/>
        <w:rPr>
          <w:sz w:val="24"/>
          <w:szCs w:val="24"/>
          <w:color w:val="auto"/>
        </w:rPr>
      </w:pPr>
    </w:p>
    <w:p>
      <w:pPr>
        <w:jc w:val="center"/>
        <w:ind w:right="9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80" w:space="720"/>
            <w:col w:w="3540" w:space="720"/>
            <w:col w:w="2240"/>
          </w:cols>
          <w:pgMar w:left="160" w:top="464" w:right="439" w:bottom="1440" w:gutter="0" w:footer="0" w:header="0"/>
          <w:type w:val="continuous"/>
        </w:sectPr>
      </w:pPr>
    </w:p>
    <w:p>
      <w:pPr>
        <w:spacing w:after="0" w:line="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1 North Waukegan Road</w:t>
      </w:r>
    </w:p>
    <w:p>
      <w:pPr>
        <w:spacing w:after="0" w:line="2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North Chicago, Illinois 60064-6400</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27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(847) 932-7900</w:t>
      </w:r>
    </w:p>
    <w:p>
      <w:pPr>
        <w:sectPr>
          <w:pgSz w:w="11900" w:h="16838" w:orient="portrait"/>
          <w:cols w:equalWidth="0" w:num="1">
            <w:col w:w="11300"/>
          </w:cols>
          <w:pgMar w:left="160" w:top="464" w:right="439" w:bottom="1440" w:gutter="0" w:footer="0" w:header="0"/>
          <w:type w:val="continuous"/>
        </w:sectPr>
      </w:pP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w:t>
      </w:r>
      <w:r>
        <w:rPr>
          <w:rFonts w:ascii="Arial" w:cs="Arial" w:eastAsia="Arial" w:hAnsi="Arial"/>
          <w:sz w:val="17"/>
          <w:szCs w:val="17"/>
          <w:color w:val="auto"/>
        </w:rPr>
        <w:t>17 CFR</w:t>
      </w:r>
      <w:r>
        <w:rPr>
          <w:rFonts w:ascii="Arial" w:cs="Arial" w:eastAsia="Arial" w:hAnsi="Arial"/>
          <w:sz w:val="18"/>
          <w:szCs w:val="18"/>
          <w:color w:val="auto"/>
        </w:rPr>
        <w:t xml:space="preserve"> 230.405) or Rule 12b-2 of the Securities Exchange Act of 1934 (17 CFR 240.12b-2).</w:t>
      </w:r>
    </w:p>
    <w:p>
      <w:pPr>
        <w:spacing w:after="0" w:line="170" w:lineRule="exact"/>
        <w:rPr>
          <w:sz w:val="24"/>
          <w:szCs w:val="24"/>
          <w:color w:val="auto"/>
        </w:rPr>
      </w:pPr>
    </w:p>
    <w:p>
      <w:pPr>
        <w:ind w:left="8160"/>
        <w:spacing w:after="0"/>
        <w:tabs>
          <w:tab w:leader="none" w:pos="104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3"/>
          <w:szCs w:val="13"/>
          <w:color w:val="auto"/>
        </w:rPr>
        <w:t>o</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3380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380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33806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3806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35901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300"/>
          </w:cols>
          <w:pgMar w:left="160" w:top="464"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2.06. Material Impairments</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On January 4, 2019, AbbVie determined that it will record an impairment charge on intangible assets acquired as part of AbbVie’s 2016 acquisition of Stemcentrx, Inc. (Stemcentrx).</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December 5, 2018, AbbVie announced the decision to stop enrollment for the TAHOE trial, a Phase 3 study evaluating rovalpituzumab tesirine (Rova-T), an investigational antibody-drug conjugate targeting the cancer-stem cell-associated delta-like protein 3, as a second-line therapy for advanced small-cell lung cancer. Following this decision, AbbVie began an evaluation of the Stemcentrx-related intangible assets for impairment. The estimated net impact of this impairment and the related adjustment to contingent consideration liabilities is approximately $4 billion.</w:t>
      </w:r>
    </w:p>
    <w:p>
      <w:pPr>
        <w:spacing w:after="0" w:line="171" w:lineRule="exact"/>
        <w:rPr>
          <w:sz w:val="20"/>
          <w:szCs w:val="20"/>
          <w:color w:val="auto"/>
        </w:rPr>
      </w:pPr>
    </w:p>
    <w:p>
      <w:pPr>
        <w:ind w:right="1200"/>
        <w:spacing w:after="0" w:line="277" w:lineRule="auto"/>
        <w:rPr>
          <w:sz w:val="20"/>
          <w:szCs w:val="20"/>
          <w:color w:val="auto"/>
        </w:rPr>
      </w:pPr>
      <w:r>
        <w:rPr>
          <w:rFonts w:ascii="Arial" w:cs="Arial" w:eastAsia="Arial" w:hAnsi="Arial"/>
          <w:sz w:val="18"/>
          <w:szCs w:val="18"/>
          <w:color w:val="auto"/>
        </w:rPr>
        <w:t>AbbVie continues to evaluate information with respect to the Stemcentrx-related clinical development programs and will monitor the remaining $1 billion of intangible assets for further impairment.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35901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560"/>
          </w:cols>
          <w:pgMar w:left="160" w:top="257" w:right="17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860" w:type="dxa"/>
            <w:vAlign w:val="bottom"/>
            <w:gridSpan w:val="2"/>
          </w:tcPr>
          <w:p>
            <w:pPr>
              <w:ind w:left="2200"/>
              <w:spacing w:after="0"/>
              <w:rPr>
                <w:sz w:val="20"/>
                <w:szCs w:val="20"/>
                <w:color w:val="auto"/>
              </w:rPr>
            </w:pPr>
            <w:r>
              <w:rPr>
                <w:rFonts w:ascii="Arial" w:cs="Arial" w:eastAsia="Arial" w:hAnsi="Arial"/>
                <w:sz w:val="18"/>
                <w:szCs w:val="18"/>
                <w:b w:val="1"/>
                <w:bCs w:val="1"/>
                <w:color w:val="auto"/>
              </w:rPr>
              <w:t>ABBVIE INC.</w:t>
            </w:r>
          </w:p>
        </w:tc>
        <w:tc>
          <w:tcPr>
            <w:tcW w:w="40" w:type="dxa"/>
            <w:vAlign w:val="bottom"/>
          </w:tcPr>
          <w:p>
            <w:pPr>
              <w:spacing w:after="0"/>
              <w:rPr>
                <w:sz w:val="20"/>
                <w:szCs w:val="20"/>
                <w:color w:val="auto"/>
              </w:rPr>
            </w:pPr>
          </w:p>
        </w:tc>
      </w:tr>
      <w:tr>
        <w:trPr>
          <w:trHeight w:val="648"/>
        </w:trPr>
        <w:tc>
          <w:tcPr>
            <w:tcW w:w="3700" w:type="dxa"/>
            <w:vAlign w:val="bottom"/>
          </w:tcPr>
          <w:p>
            <w:pPr>
              <w:spacing w:after="0"/>
              <w:rPr>
                <w:sz w:val="20"/>
                <w:szCs w:val="20"/>
                <w:color w:val="auto"/>
              </w:rPr>
            </w:pPr>
            <w:r>
              <w:rPr>
                <w:rFonts w:ascii="Arial" w:cs="Arial" w:eastAsia="Arial" w:hAnsi="Arial"/>
                <w:sz w:val="18"/>
                <w:szCs w:val="18"/>
                <w:color w:val="auto"/>
              </w:rPr>
              <w:t>Date:  January 4, 2019</w:t>
            </w:r>
          </w:p>
        </w:tc>
        <w:tc>
          <w:tcPr>
            <w:tcW w:w="7860" w:type="dxa"/>
            <w:vAlign w:val="bottom"/>
            <w:gridSpan w:val="2"/>
          </w:tcPr>
          <w:p>
            <w:pPr>
              <w:ind w:left="2200"/>
              <w:spacing w:after="0"/>
              <w:rPr>
                <w:sz w:val="20"/>
                <w:szCs w:val="20"/>
                <w:color w:val="auto"/>
              </w:rPr>
            </w:pPr>
            <w:r>
              <w:rPr>
                <w:rFonts w:ascii="Arial" w:cs="Arial" w:eastAsia="Arial" w:hAnsi="Arial"/>
                <w:sz w:val="18"/>
                <w:szCs w:val="18"/>
                <w:color w:val="auto"/>
              </w:rPr>
              <w:t>By:   /s/ Robert A. Michael</w:t>
            </w:r>
          </w:p>
        </w:tc>
        <w:tc>
          <w:tcPr>
            <w:tcW w:w="40" w:type="dxa"/>
            <w:vAlign w:val="bottom"/>
          </w:tcPr>
          <w:p>
            <w:pPr>
              <w:spacing w:after="0"/>
              <w:rPr>
                <w:sz w:val="24"/>
                <w:szCs w:val="24"/>
                <w:color w:val="auto"/>
              </w:rPr>
            </w:pPr>
          </w:p>
        </w:tc>
      </w:tr>
      <w:tr>
        <w:trPr>
          <w:trHeight w:val="195"/>
        </w:trPr>
        <w:tc>
          <w:tcPr>
            <w:tcW w:w="37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A. Michael</w:t>
            </w:r>
          </w:p>
        </w:tc>
        <w:tc>
          <w:tcPr>
            <w:tcW w:w="40" w:type="dxa"/>
            <w:vAlign w:val="bottom"/>
          </w:tcPr>
          <w:p>
            <w:pPr>
              <w:spacing w:after="0"/>
              <w:rPr>
                <w:sz w:val="16"/>
                <w:szCs w:val="16"/>
                <w:color w:val="auto"/>
              </w:rPr>
            </w:pPr>
          </w:p>
        </w:tc>
      </w:tr>
      <w:tr>
        <w:trPr>
          <w:trHeight w:val="230"/>
        </w:trPr>
        <w:tc>
          <w:tcPr>
            <w:tcW w:w="37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Senior Vice President, Chief Financial Officer</w:t>
            </w:r>
          </w:p>
        </w:tc>
        <w:tc>
          <w:tcPr>
            <w:tcW w:w="40" w:type="dxa"/>
            <w:vAlign w:val="bottom"/>
          </w:tcPr>
          <w:p>
            <w:pPr>
              <w:spacing w:after="0"/>
              <w:rPr>
                <w:sz w:val="20"/>
                <w:szCs w:val="20"/>
                <w:color w:val="auto"/>
              </w:rPr>
            </w:pPr>
          </w:p>
        </w:tc>
      </w:tr>
      <w:tr>
        <w:trPr>
          <w:trHeight w:val="432"/>
        </w:trPr>
        <w:tc>
          <w:tcPr>
            <w:tcW w:w="3700" w:type="dxa"/>
            <w:vAlign w:val="bottom"/>
          </w:tcPr>
          <w:p>
            <w:pPr>
              <w:spacing w:after="0"/>
              <w:rPr>
                <w:sz w:val="24"/>
                <w:szCs w:val="24"/>
                <w:color w:val="auto"/>
              </w:rPr>
            </w:pPr>
          </w:p>
        </w:tc>
        <w:tc>
          <w:tcPr>
            <w:tcW w:w="2680" w:type="dxa"/>
            <w:vAlign w:val="bottom"/>
          </w:tcPr>
          <w:p>
            <w:pPr>
              <w:jc w:val="right"/>
              <w:ind w:right="450"/>
              <w:spacing w:after="0"/>
              <w:rPr>
                <w:sz w:val="20"/>
                <w:szCs w:val="20"/>
                <w:color w:val="auto"/>
              </w:rPr>
            </w:pPr>
            <w:r>
              <w:rPr>
                <w:rFonts w:ascii="Arial" w:cs="Arial" w:eastAsia="Arial" w:hAnsi="Arial"/>
                <w:sz w:val="18"/>
                <w:szCs w:val="18"/>
                <w:color w:val="auto"/>
              </w:rPr>
              <w:t>3</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00" w:type="dxa"/>
            <w:vAlign w:val="bottom"/>
            <w:tcBorders>
              <w:bottom w:val="single" w:sz="8" w:color="808080"/>
            </w:tcBorders>
          </w:tcPr>
          <w:p>
            <w:pPr>
              <w:spacing w:after="0"/>
              <w:rPr>
                <w:sz w:val="11"/>
                <w:szCs w:val="11"/>
                <w:color w:val="auto"/>
              </w:rPr>
            </w:pPr>
          </w:p>
        </w:tc>
        <w:tc>
          <w:tcPr>
            <w:tcW w:w="2680" w:type="dxa"/>
            <w:vAlign w:val="bottom"/>
            <w:tcBorders>
              <w:bottom w:val="single" w:sz="8" w:color="808080"/>
            </w:tcBorders>
          </w:tcPr>
          <w:p>
            <w:pPr>
              <w:spacing w:after="0"/>
              <w:rPr>
                <w:sz w:val="11"/>
                <w:szCs w:val="11"/>
                <w:color w:val="auto"/>
              </w:rPr>
            </w:pPr>
          </w:p>
        </w:tc>
        <w:tc>
          <w:tcPr>
            <w:tcW w:w="51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7349490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600"/>
      </w:cols>
      <w:pgMar w:left="160" w:top="257"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2019-12-15T16:58:28Z</dcterms:created>
  <dcterms:modified xsi:type="dcterms:W3CDTF">2019-12-15T16:58:28Z</dcterms:modified>
</cp:coreProperties>
</file>