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15,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88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1610"/>
              <w:spacing w:after="0"/>
              <w:rPr>
                <w:sz w:val="20"/>
                <w:szCs w:val="20"/>
                <w:color w:val="auto"/>
              </w:rPr>
            </w:pPr>
            <w:r>
              <w:rPr>
                <w:rFonts w:ascii="Arial" w:cs="Arial" w:eastAsia="Arial" w:hAnsi="Arial"/>
                <w:sz w:val="18"/>
                <w:szCs w:val="18"/>
                <w:b w:val="1"/>
                <w:bCs w:val="1"/>
                <w:color w:val="auto"/>
              </w:rPr>
              <w:t>001-35565</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406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4"/>
              </w:rPr>
              <w:t>of Incorporation)</w:t>
            </w:r>
          </w:p>
        </w:tc>
        <w:tc>
          <w:tcPr>
            <w:tcW w:w="406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640" w:firstLine="8"/>
        <w:spacing w:after="0" w:line="291" w:lineRule="auto"/>
        <w:tabs>
          <w:tab w:leader="none" w:pos="293"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jc w:val="both"/>
        <w:ind w:right="3040"/>
        <w:spacing w:after="0" w:line="323" w:lineRule="auto"/>
        <w:rPr>
          <w:rFonts w:ascii="Arial" w:cs="Arial" w:eastAsia="Arial" w:hAnsi="Arial"/>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377825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On October 15, 2014, AbbVie Inc. (“AbbVie”) issued a press release announcing that AbbVie’s board of directors has withdrawn its previous recommendation to AbbVie stockholders in favor of the proposed transaction with Shire plc (“Shire”). The AbbVie board of directors now recommends AbbVie stockholders vote against the Shire transaction.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by reference into this Item 8.01.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jc w:val="right"/>
              <w:ind w:right="4736"/>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10080" w:type="dxa"/>
            <w:vAlign w:val="bottom"/>
            <w:tcBorders>
              <w:top w:val="single" w:sz="8" w:color="auto"/>
            </w:tcBorders>
          </w:tcPr>
          <w:p>
            <w:pPr>
              <w:jc w:val="right"/>
              <w:ind w:right="7236"/>
              <w:spacing w:after="0"/>
              <w:rPr>
                <w:sz w:val="20"/>
                <w:szCs w:val="20"/>
                <w:color w:val="auto"/>
              </w:rPr>
            </w:pPr>
            <w:r>
              <w:rPr>
                <w:rFonts w:ascii="Arial" w:cs="Arial" w:eastAsia="Arial" w:hAnsi="Arial"/>
                <w:sz w:val="18"/>
                <w:szCs w:val="18"/>
                <w:color w:val="auto"/>
                <w:w w:val="86"/>
              </w:rPr>
              <w:t>Press Release, dated October 15, 2014</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ABBVIE INC.</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October 15, 2014</w:t>
            </w:r>
          </w:p>
        </w:tc>
        <w:tc>
          <w:tcPr>
            <w:tcW w:w="7720" w:type="dxa"/>
            <w:vAlign w:val="bottom"/>
            <w:gridSpan w:val="2"/>
          </w:tcPr>
          <w:p>
            <w:pPr>
              <w:ind w:left="2020"/>
              <w:spacing w:after="0"/>
              <w:rPr>
                <w:sz w:val="20"/>
                <w:szCs w:val="20"/>
                <w:color w:val="auto"/>
              </w:rPr>
            </w:pPr>
            <w:r>
              <w:rPr>
                <w:rFonts w:ascii="Arial" w:cs="Arial" w:eastAsia="Arial" w:hAnsi="Arial"/>
                <w:sz w:val="18"/>
                <w:szCs w:val="18"/>
                <w:color w:val="auto"/>
              </w:rPr>
              <w:t>By:   /s/ LAURA J. SCHUMACHER</w:t>
            </w:r>
          </w:p>
        </w:tc>
      </w:tr>
      <w:tr>
        <w:trPr>
          <w:trHeight w:val="224"/>
        </w:trPr>
        <w:tc>
          <w:tcPr>
            <w:tcW w:w="3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J. Schumacher</w:t>
            </w:r>
          </w:p>
        </w:tc>
      </w:tr>
    </w:tbl>
    <w:p>
      <w:pPr>
        <w:sectPr>
          <w:pgSz w:w="11900" w:h="16858" w:orient="portrait"/>
          <w:cols w:equalWidth="0" w:num="1">
            <w:col w:w="11460"/>
          </w:cols>
          <w:pgMar w:left="240" w:top="544" w:right="1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2"/>
          </w:tcPr>
          <w:p>
            <w:pPr>
              <w:ind w:left="4860"/>
              <w:spacing w:after="0"/>
              <w:rPr>
                <w:sz w:val="20"/>
                <w:szCs w:val="20"/>
                <w:color w:val="auto"/>
              </w:rPr>
            </w:pPr>
            <w:r>
              <w:rPr>
                <w:rFonts w:ascii="Arial" w:cs="Arial" w:eastAsia="Arial" w:hAnsi="Arial"/>
                <w:sz w:val="18"/>
                <w:szCs w:val="18"/>
                <w:color w:val="auto"/>
                <w:w w:val="93"/>
              </w:rPr>
              <w:t>Executive Vice President, Business Development, External Affairs and</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20" w:type="dxa"/>
            <w:vAlign w:val="bottom"/>
            <w:gridSpan w:val="2"/>
          </w:tcPr>
          <w:p>
            <w:pPr>
              <w:ind w:left="4860"/>
              <w:spacing w:after="0"/>
              <w:rPr>
                <w:sz w:val="20"/>
                <w:szCs w:val="20"/>
                <w:color w:val="auto"/>
              </w:rPr>
            </w:pPr>
            <w:r>
              <w:rPr>
                <w:rFonts w:ascii="Arial" w:cs="Arial" w:eastAsia="Arial" w:hAnsi="Arial"/>
                <w:sz w:val="18"/>
                <w:szCs w:val="18"/>
                <w:color w:val="auto"/>
              </w:rPr>
              <w:t>General Counsel</w:t>
            </w: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tcPr>
          <w:p>
            <w:pPr>
              <w:jc w:val="center"/>
              <w:ind w:right="1253"/>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20" w:type="dxa"/>
            <w:vAlign w:val="bottom"/>
            <w:gridSpan w:val="2"/>
          </w:tcPr>
          <w:p>
            <w:pPr>
              <w:ind w:left="4800"/>
              <w:spacing w:after="0"/>
              <w:rPr>
                <w:sz w:val="20"/>
                <w:szCs w:val="20"/>
                <w:color w:val="auto"/>
              </w:rPr>
            </w:pPr>
            <w:r>
              <w:rPr>
                <w:rFonts w:ascii="Arial" w:cs="Arial" w:eastAsia="Arial" w:hAnsi="Arial"/>
                <w:sz w:val="14"/>
                <w:szCs w:val="14"/>
                <w:b w:val="1"/>
                <w:bCs w:val="1"/>
                <w:color w:val="auto"/>
              </w:rPr>
              <w:t>Exhibit</w:t>
            </w:r>
          </w:p>
        </w:tc>
      </w:tr>
      <w:tr>
        <w:trPr>
          <w:trHeight w:val="224"/>
        </w:trPr>
        <w:tc>
          <w:tcPr>
            <w:tcW w:w="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15, 2014</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tcPr>
          <w:p>
            <w:pPr>
              <w:jc w:val="center"/>
              <w:ind w:right="1253"/>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ABBVIE BOARD RECOMMENDS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VOTE AGAINST SHIRE TRANSACTION</w:t>
      </w:r>
    </w:p>
    <w:p>
      <w:pPr>
        <w:spacing w:after="0" w:line="21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NOT FOR RELEASE, PUBLICATION OR DISTRIBUTION, IN WHOLE OR IN PART, DIRECTLY OR INDIRECTLY, IN, INTO OR FROM ANY JURISDICTION WHERE TO DO SO WOULD CONSTITUTE A VIOLATION OF THE RELEVANT LAWS OR REGULATIONS OF SUCH JURISDICTION</w:t>
      </w:r>
    </w:p>
    <w:p>
      <w:pPr>
        <w:spacing w:after="0" w:line="181" w:lineRule="exact"/>
        <w:rPr>
          <w:sz w:val="20"/>
          <w:szCs w:val="20"/>
          <w:color w:val="auto"/>
        </w:rPr>
      </w:pPr>
    </w:p>
    <w:p>
      <w:pPr>
        <w:spacing w:after="0"/>
        <w:tabs>
          <w:tab w:leader="none" w:pos="10140" w:val="left"/>
        </w:tabs>
        <w:rPr>
          <w:sz w:val="20"/>
          <w:szCs w:val="20"/>
          <w:color w:val="auto"/>
        </w:rPr>
      </w:pPr>
      <w:r>
        <w:rPr>
          <w:rFonts w:ascii="Arial" w:cs="Arial" w:eastAsia="Arial" w:hAnsi="Arial"/>
          <w:sz w:val="18"/>
          <w:szCs w:val="18"/>
          <w:color w:val="auto"/>
        </w:rPr>
        <w:t>For immediate release</w:t>
      </w:r>
      <w:r>
        <w:rPr>
          <w:sz w:val="20"/>
          <w:szCs w:val="20"/>
          <w:color w:val="auto"/>
        </w:rPr>
        <w:tab/>
      </w:r>
      <w:r>
        <w:rPr>
          <w:rFonts w:ascii="Arial" w:cs="Arial" w:eastAsia="Arial" w:hAnsi="Arial"/>
          <w:sz w:val="16"/>
          <w:szCs w:val="16"/>
          <w:color w:val="auto"/>
        </w:rPr>
        <w:t>October 15, 2014</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Following Shire plc’s (“Shire”) waiver of the three-day notice period, AbbVie Inc. (“AbbVie”) announces today its Board of Directors’ withdraws its recommendation made on July 18, 2014 regarding the proposed Shire transaction and recommends that stockholders vote against the transaction.</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AbbVie and its Board of Directors made this determination following a detailed consideration of the impact of the U.S. Department of Treasury’s unilateral changes to the tax rules, as issued on September 22, 2014. The breadth and scope of the changes, including the unexpected nature of the exercise of administrative authority to impact longstanding tax principles, and to target specifically a subset of companies that would be treated differently than either other inverted companies or foreign domiciled entities, introduced an unacceptable level of uncertainty to the transaction. Additionally, the changes eliminated certain of the financial benefits of the transaction, most notably the ability to access current and future global cash flows in a tax efficient manner as originally contemplated in the transaction. This fundamentally changed the implied value of Shire to AbbVie in a significant manner.</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conditions of AbbVie’s offer and the terms of the Co-operation Agreement, the withdrawal of the recommendation alone will not cause a lapse of AbbVie’s offer or terminate the Co-operation Agreement between AbbVie and Shire. Unless Shire and the U.K. Takeover Panel agree otherwise, AbbVie must convene an AbbVie stockholder meeting to consider the adoption of the U.S. merger agreement. AbbVie’s offer will lapse if the company’s stockholders do not adopt the agreement. Assuming Shire provides the requisite cooperation and consents, a pre-effective amendment to the registration statement filed by AbbVie Private Limited in connection with the combination is expected to be filed with the United States Securities and Exchange Commission as soon as practicable..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withdrawal of the recommendation, AbbVie’s Chairman and Chief Executive Officer, Richard A. Gonzalez said:</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“AbbVie has always been financially disciplined and we have rigorous standards in place to ensure transactions are financially sound and deliver compelling stockholder returns. Although the strategic rationale of combining our two companies remains strong, the agreed upon valuation is no longer supported as a result of the changes to the tax rules and we did not believe it was in the best interests of our stockholders to proceed.”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Co-operation Agreement, following the withdrawal of the AbbVie Board of Directors’ recommendation, a break fee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US$1.635 billion will be payable to Shire if either:</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AbbVie stockholders do not approve the adoption of the US merger agreement at an AbbVie stockholder meeting;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 meeting does not occur by December 14, 2014.</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accordance with the Co-operation Agreement (section 7.4), in the event that such break fee becomes payable, Shire’s right to receive the break fee will be Shire’s sole and exclusive remedy for all losses and damages in connection with the transaction.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Rule 30.4 of the Code, a copy of this announcement can be found on AbbVie ‘s website at http://www.abbvieinvestor.com/phoenix.zhtml? c=251551&amp;p=irol-disclaimer-documents.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further announcement will be made as appropriate.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AbbVie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Larry Peepo (Tel: +1 847 935 6722)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Liz Shea (Tel: +1 847 935 6722)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AbbVie 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Smoter (Tel: +1 847 935 8865)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Adelle Infante (Tel: +1 847 938 8745)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(Financial Adviser)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Hoffman / Henry Gosebruch / Ben Wallace (New York, Tel: +1 212 270 6000)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Laurence Hollingworth / Dwayne Lysaght / James Robinson (London, Tel: +44 207 742 4000)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Richard Jacques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Brunswick Group, U.K.</w:t>
      </w:r>
    </w:p>
    <w:p>
      <w:pPr>
        <w:spacing w:after="0" w:line="9" w:lineRule="exact"/>
        <w:rPr>
          <w:sz w:val="20"/>
          <w:szCs w:val="20"/>
          <w:color w:val="auto"/>
        </w:rPr>
      </w:pPr>
    </w:p>
    <w:p>
      <w:pPr>
        <w:ind w:right="10060" w:firstLine="8"/>
        <w:spacing w:after="0" w:line="554" w:lineRule="auto"/>
        <w:tabs>
          <w:tab w:leader="none" w:pos="147" w:val="left"/>
        </w:tabs>
        <w:numPr>
          <w:ilvl w:val="0"/>
          <w:numId w:val="3"/>
        </w:numPr>
        <w:rPr>
          <w:rFonts w:ascii="Arial" w:cs="Arial" w:eastAsia="Arial" w:hAnsi="Arial"/>
          <w:sz w:val="16"/>
          <w:szCs w:val="16"/>
          <w:color w:val="auto"/>
        </w:rPr>
      </w:pPr>
      <w:r>
        <w:rPr>
          <w:rFonts w:ascii="Arial" w:cs="Arial" w:eastAsia="Arial" w:hAnsi="Arial"/>
          <w:sz w:val="16"/>
          <w:szCs w:val="16"/>
          <w:color w:val="auto"/>
        </w:rPr>
        <w:t>44 207 404 5959 About AbbVie</w:t>
      </w:r>
    </w:p>
    <w:p>
      <w:pPr>
        <w:spacing w:after="0" w:line="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AbbVie is a global, research-based biopharmaceutical company formed in January 2013 following separation from Abbott Laboratories. The company’s mission is to use its expertise, dedicated people and approach to innovation to develop and market advanced therapies that address some of the world’s most</w:t>
      </w:r>
    </w:p>
    <w:p>
      <w:pPr>
        <w:sectPr>
          <w:pgSz w:w="11900" w:h="16838" w:orient="portrait"/>
          <w:cols w:equalWidth="0" w:num="1">
            <w:col w:w="11420"/>
          </w:cols>
          <w:pgMar w:left="240" w:top="121" w:right="239" w:bottom="0" w:gutter="0" w:footer="0" w:header="0"/>
        </w:sectPr>
      </w:pPr>
    </w:p>
    <w:bookmarkStart w:id="3" w:name="page4"/>
    <w:bookmarkEnd w:id="3"/>
    <w:p>
      <w:pPr>
        <w:ind w:right="60"/>
        <w:spacing w:after="0" w:line="308" w:lineRule="auto"/>
        <w:rPr>
          <w:sz w:val="20"/>
          <w:szCs w:val="20"/>
          <w:color w:val="auto"/>
        </w:rPr>
      </w:pPr>
      <w:r>
        <w:rPr>
          <w:rFonts w:ascii="Arial" w:cs="Arial" w:eastAsia="Arial" w:hAnsi="Arial"/>
          <w:sz w:val="17"/>
          <w:szCs w:val="17"/>
          <w:color w:val="auto"/>
        </w:rPr>
        <w:t>complex and serious diseases. AbbVie employs approximately 25,000 people worldwide and markets medicines in more than 170 countries. AbbVie is traded on the New York Stock Exchange under “ABBV”. Additional information is available on the company’s website at www.AbbVie.com.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J.P. Morgan Securities LLC, together with its affiliate J.P. Morgan Limited (which conducts its U.K. investment banking business as J.P. Morgan Cazenove and which is authorised and regulated by the Financial Conduct Authority in the United Kingdom) (collectively, “J.P. Morgan”), is acting exclusively for AbbVie and no one else in connection with the transaction and will not be responsible to anyone other than AbbVie for providing the protections afforded to clients of J.P. Morgan or its affiliates nor for providing advice in relation to the transaction or any other matters referred to in this announcement.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Offer or Solicitation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release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release in any jurisdiction in contravention of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and Where to Find It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AbbVie Private Limited (“New AbbVie”) has filed with the SEC a registration statement on Form S-4 containing a preliminary Proxy Statement of AbbVie that also constitutes a preliminary Prospectus of New AbbVie relating to the New AbbVie shares to be issued to New AbbVie stockholders in the combination. Subject to potential discussions regarding the potential lapsing of AbbVie’s offer and termination of the proposed transaction, AbbVie, New AbbVie and Shire may file additional documents with the SEC. INVESTORS AND SECURITY HOLDERS OF ABBVIE AND SHIRE ARE URGED TO READ THE PROXY STATEMENT/PROSPECTUS, AND OTHER DOCUMENTS FILED WITH THE SEC IN CONNECTION WITH THE TRANSACTION, CAREFULLY AND IN THEIR ENTIRETY, BECAUSE THEY WILL CONTAIN IMPORTANT INFORMATION. Those documents, when filed, as well as AbbVie’s and New AbbVie’s other public filings with the SEC may be obtained without charge at the SEC’s website at www.sec.gov, at AbbVie’s website at www. AbbVieinvestor.com and at Shire’s website at www. Shire.com.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Participants in the Solicitation</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AbbVie, its directors and certain of its executive officers may be considered participants in the solicitation of proxies in connection with the transactions contemplated by the proxy statement/prospectus. Information about the directors and executive officers of AbbVie is set forth in its Annual Report on Form 10-K for the year ended December 31, 2013, which was filed with the SEC on February 21, 2014, and its proxy statement for its 2014 annual meeting of stockholders, which was filed with the SEC on March 24, 2014. Other information regarding potential participants in the proxy solicitations and a description of their direct and indirect interests, by security holdings or otherwise, are contained in the proxy statement/prospectus filed with the SEC.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announcement contains certain forward-looking statements with respect to a combination involving AbbVie and Shire. The words “believe,” “expect,” “anticipate,” “project” and similar expressions, among others, generally identify forward-looking statements. These forward-looking statements are subject to risks and uncertainties that may cause actual results to differ materially from those indicated in the forward-looking statements. Such risks and uncertainties include, but are not limited to, the possibility that necessary regulatory approvals or stockholder approvals will not be obtained or any of the other conditions to the combination will not be satisfied, adverse effects on the market price of AbbVie shares and on AbbVie’s or Shire’s operating results because of a failure to complete the combination, failure to realise the expected benefits of the possible combination, negative effects relating to the announcement of the possible combination or any further announcements relating to the possible combination or the consummation or termination of the possible combination on the market price of AbbVie shares or Shire shares, significant transaction costs and/or unknown liabilities, general economic and business conditions that affect the combined companies following the consummation of the possible combination, changes in global, political, economic, business, competitive, market and regulatory forces, future exchange and interest rates, changes in tax laws, regulations, rates and policies, future business combinations or disposals and competitive developments. These forward-looking statements are based on numerous assumptions and assessments made in light of AbbVie’s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release could cause AbbVie’s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release are therefore cautioned not to place undue reliance on these forward-looking statements which speak only as at the date of this release.</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 information about economic, competitive, governmental, technological and other factors that may affect AbbVie is set forth in Item 1A, “Risk Factors,” in AbbVie’s 2013 Annual Report on Form 10-K and in Item 1A, “Risk Factors” of Part II of AbbVie’s second quarter 2014 Quarterly Report on Form 10-Q, which have been filed with the SEC, the contents of which are not incorporated by reference into, nor do they form part of, this release. AbbVie does not undertake any obligation to release publicly any revisions to forward-looking statements as a result of subsequent events or developments, except as required by law.</w:t>
      </w:r>
    </w:p>
    <w:p>
      <w:pPr>
        <w:sectPr>
          <w:pgSz w:w="11900" w:h="16838" w:orient="portrait"/>
          <w:cols w:equalWidth="0" w:num="1">
            <w:col w:w="11420"/>
          </w:cols>
          <w:pgMar w:left="240" w:top="125" w:right="239" w:bottom="1124"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1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2019-12-16T21:27:46Z</dcterms:created>
  <dcterms:modified xsi:type="dcterms:W3CDTF">2019-12-16T21:27:46Z</dcterms:modified>
</cp:coreProperties>
</file>