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10617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5717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Filed by AbbVie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Shire plc</w:t>
      </w:r>
    </w:p>
    <w:p>
      <w:pPr>
        <w:spacing w:after="0" w:line="211"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180"/>
        <w:spacing w:after="0"/>
        <w:rPr>
          <w:sz w:val="20"/>
          <w:szCs w:val="20"/>
          <w:color w:val="auto"/>
        </w:rPr>
      </w:pPr>
      <w:r>
        <w:rPr>
          <w:rFonts w:ascii="Arial" w:cs="Arial" w:eastAsia="Arial" w:hAnsi="Arial"/>
          <w:sz w:val="16"/>
          <w:szCs w:val="16"/>
          <w:color w:val="auto"/>
        </w:rPr>
        <w:t>on Form S-4 filed by AbbVie Private Limited: 333-198286</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On August 22, 2014, AbbVie Inc. made the following communication publicly available:</w:t>
      </w:r>
    </w:p>
    <w:p>
      <w:pPr>
        <w:spacing w:after="0" w:line="221" w:lineRule="exact"/>
        <w:rPr>
          <w:sz w:val="24"/>
          <w:szCs w:val="24"/>
          <w:color w:val="auto"/>
        </w:rPr>
      </w:pPr>
    </w:p>
    <w:p>
      <w:pPr>
        <w:ind w:right="320"/>
        <w:spacing w:after="0" w:line="266" w:lineRule="auto"/>
        <w:rPr>
          <w:sz w:val="20"/>
          <w:szCs w:val="20"/>
          <w:color w:val="auto"/>
        </w:rPr>
      </w:pPr>
      <w:r>
        <w:rPr>
          <w:rFonts w:ascii="Arial" w:cs="Arial" w:eastAsia="Arial" w:hAnsi="Arial"/>
          <w:sz w:val="18"/>
          <w:szCs w:val="18"/>
          <w:b w:val="1"/>
          <w:bCs w:val="1"/>
          <w:color w:val="auto"/>
        </w:rPr>
        <w:t>NOT FOR RELEASE, PUBLICATION OR DISTRIBUTION, IN WHOLE OR IN PART, DIRECTLY OR INDIRECTLY, IN, INTO OR FROM ANY JURISDICTION WHERE TO DO SO WOULD CONSTITUTE A VIOLATION OF THE RELEVANT LAWS OR REGULATIONS OF SUCH JURISDICTION</w:t>
      </w:r>
    </w:p>
    <w:p>
      <w:pPr>
        <w:spacing w:after="0" w:line="180" w:lineRule="exact"/>
        <w:rPr>
          <w:sz w:val="24"/>
          <w:szCs w:val="24"/>
          <w:color w:val="auto"/>
        </w:rPr>
      </w:pPr>
    </w:p>
    <w:p>
      <w:pPr>
        <w:spacing w:after="0"/>
        <w:tabs>
          <w:tab w:leader="none" w:pos="8760" w:val="left"/>
        </w:tabs>
        <w:rPr>
          <w:sz w:val="20"/>
          <w:szCs w:val="20"/>
          <w:color w:val="auto"/>
        </w:rPr>
      </w:pPr>
      <w:r>
        <w:rPr>
          <w:rFonts w:ascii="Arial" w:cs="Arial" w:eastAsia="Arial" w:hAnsi="Arial"/>
          <w:sz w:val="18"/>
          <w:szCs w:val="18"/>
          <w:b w:val="1"/>
          <w:bCs w:val="1"/>
          <w:i w:val="1"/>
          <w:iCs w:val="1"/>
          <w:color w:val="auto"/>
        </w:rPr>
        <w:t>For immediate release</w:t>
      </w:r>
      <w:r>
        <w:rPr>
          <w:sz w:val="20"/>
          <w:szCs w:val="20"/>
          <w:color w:val="auto"/>
        </w:rPr>
        <w:tab/>
      </w:r>
      <w:r>
        <w:rPr>
          <w:rFonts w:ascii="Arial" w:cs="Arial" w:eastAsia="Arial" w:hAnsi="Arial"/>
          <w:sz w:val="16"/>
          <w:szCs w:val="16"/>
          <w:b w:val="1"/>
          <w:bCs w:val="1"/>
          <w:i w:val="1"/>
          <w:iCs w:val="1"/>
          <w:color w:val="auto"/>
        </w:rPr>
        <w:t>August 22,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AbbVie Inc. announces filing of a Registration Statement on Form S-4 with the Securities and Exchange Commission (“SEC”)</w:t>
      </w:r>
    </w:p>
    <w:p>
      <w:pPr>
        <w:spacing w:after="0" w:line="221"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color w:val="auto"/>
        </w:rPr>
        <w:t>AbbVie Inc. (</w:t>
      </w:r>
      <w:r>
        <w:rPr>
          <w:rFonts w:ascii="Arial" w:cs="Arial" w:eastAsia="Arial" w:hAnsi="Arial"/>
          <w:sz w:val="18"/>
          <w:szCs w:val="18"/>
          <w:b w:val="1"/>
          <w:bCs w:val="1"/>
          <w:color w:val="auto"/>
        </w:rPr>
        <w:t>“AbbVie”</w:t>
      </w:r>
      <w:r>
        <w:rPr>
          <w:rFonts w:ascii="Arial" w:cs="Arial" w:eastAsia="Arial" w:hAnsi="Arial"/>
          <w:sz w:val="18"/>
          <w:szCs w:val="18"/>
          <w:color w:val="auto"/>
        </w:rPr>
        <w:t>) has filed a registration statement on Form S-4 with the SEC which contains a preliminary proxy statement of AbbVie and a preliminary prospectus of AbbVie Private Limited (“</w:t>
      </w:r>
      <w:r>
        <w:rPr>
          <w:rFonts w:ascii="Arial" w:cs="Arial" w:eastAsia="Arial" w:hAnsi="Arial"/>
          <w:sz w:val="18"/>
          <w:szCs w:val="18"/>
          <w:b w:val="1"/>
          <w:bCs w:val="1"/>
          <w:color w:val="auto"/>
        </w:rPr>
        <w:t>New AbbVie</w:t>
      </w:r>
      <w:r>
        <w:rPr>
          <w:rFonts w:ascii="Arial" w:cs="Arial" w:eastAsia="Arial" w:hAnsi="Arial"/>
          <w:sz w:val="18"/>
          <w:szCs w:val="18"/>
          <w:color w:val="auto"/>
        </w:rPr>
        <w:t>”) relating to the shares to be issued by New AbbVie in the proposed transaction with Shire plc (“</w:t>
      </w:r>
      <w:r>
        <w:rPr>
          <w:rFonts w:ascii="Arial" w:cs="Arial" w:eastAsia="Arial" w:hAnsi="Arial"/>
          <w:sz w:val="18"/>
          <w:szCs w:val="18"/>
          <w:b w:val="1"/>
          <w:bCs w:val="1"/>
          <w:color w:val="auto"/>
        </w:rPr>
        <w:t>Shire</w:t>
      </w:r>
      <w:r>
        <w:rPr>
          <w:rFonts w:ascii="Arial" w:cs="Arial" w:eastAsia="Arial" w:hAnsi="Arial"/>
          <w:sz w:val="18"/>
          <w:szCs w:val="18"/>
          <w:color w:val="auto"/>
        </w:rPr>
        <w:t>”). The Form S-4 has not been declared effective by the SEC. New AbbVie is currently a private limited company organized under the laws of Jersey and a direct wholly owned subsidiary of AbbVie, which will be re-registered as a public limited company and renamed AbbVie plc at or prior to the completion of the transaction.</w:t>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A copy of the Form S-4 will be available on AbbVie’s website at http://www.abbvieinvestor.com/phoenix.zhtml?c=251551&amp;p=irol-disclaimer-documents.</w:t>
      </w:r>
    </w:p>
    <w:p>
      <w:pPr>
        <w:spacing w:after="0" w:line="233" w:lineRule="exact"/>
        <w:rPr>
          <w:sz w:val="24"/>
          <w:szCs w:val="24"/>
          <w:color w:val="auto"/>
        </w:rPr>
      </w:pPr>
    </w:p>
    <w:p>
      <w:pPr>
        <w:ind w:right="560"/>
        <w:spacing w:after="0" w:line="347" w:lineRule="auto"/>
        <w:rPr>
          <w:sz w:val="20"/>
          <w:szCs w:val="20"/>
          <w:color w:val="auto"/>
        </w:rPr>
      </w:pPr>
      <w:r>
        <w:rPr>
          <w:rFonts w:ascii="Arial" w:cs="Arial" w:eastAsia="Arial" w:hAnsi="Arial"/>
          <w:sz w:val="16"/>
          <w:szCs w:val="16"/>
          <w:color w:val="auto"/>
        </w:rPr>
        <w:t>In accordance with Rule 30.4 of The City Code on Takeovers and Mergers issued by the Panel on Takeovers and Mergers (the “</w:t>
      </w:r>
      <w:r>
        <w:rPr>
          <w:rFonts w:ascii="Arial" w:cs="Arial" w:eastAsia="Arial" w:hAnsi="Arial"/>
          <w:sz w:val="16"/>
          <w:szCs w:val="16"/>
          <w:b w:val="1"/>
          <w:bCs w:val="1"/>
          <w:color w:val="auto"/>
        </w:rPr>
        <w:t>Code</w:t>
      </w:r>
      <w:r>
        <w:rPr>
          <w:rFonts w:ascii="Arial" w:cs="Arial" w:eastAsia="Arial" w:hAnsi="Arial"/>
          <w:sz w:val="16"/>
          <w:szCs w:val="16"/>
          <w:color w:val="auto"/>
        </w:rPr>
        <w:t>”) , a copy of this announcement will be available on AbbVie’s website at http://www.abbvieinvestor.com/phoenix.zhtml?c=251551&amp;p=irol-disclaimer-documents.</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Inquiries: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AbbVie investor contacts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Larry Peepo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(Tel: +1 847 935 6722)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Liz Shea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(Tel: +1 847 935 2211)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AbbVie media contacts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Jennifer Smoter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(Tel: +1 847 935 8865)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Adelle Infante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(Tel: +1 847 938 8745)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J.P. Morgan (Financial Adviser)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Jeffrey Hoffman / Henry Gosebruch / Benjamin Wallace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Tel: +1 212 270 6000)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Laurence Hollingworth / Dwayne Lysaght / James Robinson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(London, Tel: +44 207 742 4000)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27" w:lineRule="exact"/>
        <w:rPr>
          <w:sz w:val="24"/>
          <w:szCs w:val="24"/>
          <w:color w:val="auto"/>
        </w:rPr>
      </w:pPr>
    </w:p>
    <w:p>
      <w:pPr>
        <w:spacing w:after="0" w:line="295" w:lineRule="auto"/>
        <w:rPr>
          <w:sz w:val="20"/>
          <w:szCs w:val="20"/>
          <w:color w:val="auto"/>
        </w:rPr>
      </w:pPr>
      <w:r>
        <w:rPr>
          <w:rFonts w:ascii="Arial" w:cs="Arial" w:eastAsia="Arial" w:hAnsi="Arial"/>
          <w:sz w:val="16"/>
          <w:szCs w:val="16"/>
          <w:color w:val="auto"/>
        </w:rPr>
        <w:t>J.P. Morgan Securities LLC (“</w:t>
      </w:r>
      <w:r>
        <w:rPr>
          <w:rFonts w:ascii="Arial" w:cs="Arial" w:eastAsia="Arial" w:hAnsi="Arial"/>
          <w:sz w:val="16"/>
          <w:szCs w:val="16"/>
          <w:b w:val="1"/>
          <w:bCs w:val="1"/>
          <w:color w:val="auto"/>
        </w:rPr>
        <w:t>J.P. Morgan</w:t>
      </w:r>
      <w:r>
        <w:rPr>
          <w:rFonts w:ascii="Arial" w:cs="Arial" w:eastAsia="Arial" w:hAnsi="Arial"/>
          <w:sz w:val="16"/>
          <w:szCs w:val="16"/>
          <w:color w:val="auto"/>
        </w:rPr>
        <w:t>”), together with its affiliate J.P. Morgan Limited (which conducts its U.K. investment banking business as J.P. Morgan Cazenove and which is authorised and regulated by the Financial Conduct Authority in the United Kingdom), is acting exclusively for AbbVie in connection with the possible offer and for no one else, and is not, and will not be, responsible to anyone other than AbbVie for providing the protections afforded to clients of J.P. Morgan or its affiliates, or for providing advice in relation to the possible offer or any other matters referred to in this announcement.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requirements of the Code</w:t>
      </w:r>
    </w:p>
    <w:p>
      <w:pPr>
        <w:spacing w:after="0" w:line="229" w:lineRule="exact"/>
        <w:rPr>
          <w:sz w:val="24"/>
          <w:szCs w:val="24"/>
          <w:color w:val="auto"/>
        </w:rPr>
      </w:pPr>
    </w:p>
    <w:p>
      <w:pPr>
        <w:ind w:right="100"/>
        <w:spacing w:after="0" w:line="261" w:lineRule="auto"/>
        <w:rPr>
          <w:sz w:val="20"/>
          <w:szCs w:val="20"/>
          <w:color w:val="auto"/>
        </w:rPr>
      </w:pPr>
      <w:r>
        <w:rPr>
          <w:rFonts w:ascii="Arial" w:cs="Arial" w:eastAsia="Arial" w:hAnsi="Arial"/>
          <w:sz w:val="17"/>
          <w:szCs w:val="17"/>
          <w:color w:val="auto"/>
        </w:rPr>
        <w:t>Under Rule 8.3(a) of the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ectPr>
          <w:pgSz w:w="11900" w:h="16928" w:orient="portrait"/>
          <w:cols w:equalWidth="0" w:num="1">
            <w:col w:w="11420"/>
          </w:cols>
          <w:pgMar w:left="240" w:top="1071" w:right="239" w:bottom="0" w:gutter="0" w:footer="0" w:header="0"/>
        </w:sectPr>
      </w:pPr>
    </w:p>
    <w:bookmarkStart w:id="1" w:name="page2"/>
    <w:bookmarkEnd w:id="1"/>
    <w:p>
      <w:pPr>
        <w:spacing w:after="0" w:line="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Rule 8.3(b) of the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are therefore required in the shares of AbbVie and Shire.</w:t>
      </w:r>
    </w:p>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Details of the offeree and offeror companies in respect of whose relevant securities Opening Position Disclosures and Dealing Disclosures must be made can be found in the Disclosure Table on the Takeover Panel’s website at www.thetakeoverpanel.org.uk, including details of the number of relevant securities in issue, when the offer period commenced and when any offeror was first identified. You should contact the Takeover Panel’s Market Surveillance Unit on +44 (0)20 7638 0129 if you are in any doubt as to whether you are required to make an Opening Position Disclosure or a Dealing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release is provided for informational purposes only and does not constitute an offer to sell, or an invitation to subscribe for, purchase or exchange, any securities or the solicitation of any vote or approval in any jurisdiction, nor shall there be any sale, issuance, exchange or transfer of the securities referred to in this release in any jurisdiction in contravention of applicable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furtherance of the combination, New AbbVie has filed with the SEC a registration statement on Form S-4 containing a preliminary Proxy Statement of AbbVie that also constitutes a preliminary Prospectus of New AbbVie relating to the New AbbVie Shares to be issued to New AbbVie Stockholders in the combination. In addition, AbbVie, New AbbVie and Shire may file additional documents with the SEC. INVESTORS AND SECURITY HOLDERS OF ABBVIE AND SHIRE ARE URGED TO READ THE PROXY STATEMENT/PROSPECTUS, AND OTHER DOCUMENTS FILED WITH THE SEC IN CONNECTION WITH THE TRANSACTION CAREFULLY AND IN THEIR ENTIRETY, BECAUSE THEY WILL CONTAIN IMPORTANT INFORMATION. Those documents, when filed, as well as AbbVie’s and New AbbVie’s other public filings with the SEC may be obtained without charge at the SEC’s website at www.sec.gov, at AbbVie’s website at www.abbvieinvestor.com and at Shire’s website at www.shire.com. AbbVie plans to mail its stockholders the definitive proxy statement/prospectus after the registration statement on Form S-4 is declared effective by the SEC. It is expected that the New AbbVie shares to be issued to Shire shareholders under a scheme of arrangement will be issued in reliance upon the exemption from the registration requirements of the Securities Act of 1933, as amended, provided by Section 3(a)(10)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AbbVie, its directors and certain of its executive officers may be considered participants in the solicitation of proxies in connection with the transactions contemplated by the Proxy Statement/Prospectus. Information about the directors and executive officers of AbbVie is set forth in its Annual Report on Form 10-K for the year ended December 31, 2013, which was filed with the SEC on February 21, 2014, and its proxy statement for its 2014 annual meeting of stockholders, which was filed with the SEC on March 24, 2014. Other information regarding potential participants in the proxy solicitations and a description of their direct and indirect interests, by security holdings or otherwise, will be contained in the Proxy Statement/Prospectus when it is filed.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announcement contains certain forward-looking statements with respect to a combination involving AbbVie and Shire. The words “believe,” “expect,” “anticipate,” “project” and similar expressions, among others, generally identify forward-looking statements. These forward-looking statements are subject to risks and uncertainties that may cause actual results to differ materially from those indicated in the forward-looking statements. Such risks and uncertainties include, but are not limited to, the possibility that necessary regulatory approvals or stockholder approvals will not be obtained or any of the other conditions to the combination will not be satisfied, adverse effects on the market price of AbbVie Shares and on AbbVie’s or Shire’s operating results because of a failure to complete the combination, failure to realise the expected benefits of the possible combination, negative effects relating to the announcement of the possible combination or any further announcements relating to the possible combination or the consummation of the possible combination on the market price of AbbVie shares or Shire shares, significant transaction costs and/or unknown liabilities, general economic and business conditions that affect the combined companies following the consummation of the possible combination, changes in global, political, economic, business, competitive, market and regulatory forces, future exchange and interest rates, changes in tax laws, regulations, rates and policies, future business combinations or disposals and competitive developments. These forward-looking statements are based on numerous assumptions and assessments made in light of AbbVie’s or, as the case may be, Shire’s experience and perception of historical trends, current conditions, business strategies, operating environment, future developments and other factors it believes appropriate. By their nature, forward-looking statements involve known and unknown risks and uncertainties because they relate to events and depend on circumstances that will occur in the future. The factors described in the context of such forward-looking statements in this release could cause AbbVie’s plans with respect to Shire, AbbVie’s or Shire’s 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release are therefore cautioned not to place undue reliance on these forward-looking statements which speak only as at the date of this release. Additional information about economic, competitive, governmental, technological and other factors that may affect AbbVie is set forth in Item 1A, “Risk Factors,” in AbbVie’s 2013 Annual Report on Form 10-K, which has been filed with the SEC, the contents of which are not incorporated by reference into, nor do they form part of, this</w:t>
      </w:r>
    </w:p>
    <w:p>
      <w:pPr>
        <w:sectPr>
          <w:pgSz w:w="11900" w:h="16930" w:orient="portrait"/>
          <w:cols w:equalWidth="0" w:num="1">
            <w:col w:w="11420"/>
          </w:cols>
          <w:pgMar w:left="240" w:top="341" w:right="239" w:bottom="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release. Neither AbbVie nor Shire undertakes any obligation to release publicly any revisions to forward-looking statements as a result of subsequent events or developments, except as required by law.</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80"/>
      </w:cols>
      <w:pgMar w:left="24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2019-12-16T22:21:25Z</dcterms:created>
  <dcterms:modified xsi:type="dcterms:W3CDTF">2019-12-16T22:21:25Z</dcterms:modified>
</cp:coreProperties>
</file>