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478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Alpern Robert J</w:t>
              </w:r>
            </w:hyperlink>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gridSpan w:val="6"/>
          </w:tcPr>
          <w:p>
            <w:pPr>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AbbVie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ABBV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40" w:type="dxa"/>
            <w:vAlign w:val="bottom"/>
          </w:tcPr>
          <w:p>
            <w:pPr>
              <w:spacing w:after="0"/>
              <w:rPr>
                <w:sz w:val="2"/>
                <w:szCs w:val="2"/>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40"/>
              <w:spacing w:after="0" w:line="12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03/31/2023</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1 N. WAUKEGAN ROAD</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gridSpan w:val="3"/>
          </w:tcPr>
          <w:p>
            <w:pPr>
              <w:spacing w:after="0"/>
              <w:rPr>
                <w:sz w:val="12"/>
                <w:szCs w:val="12"/>
                <w:color w:val="auto"/>
              </w:rPr>
            </w:pPr>
          </w:p>
        </w:tc>
        <w:tc>
          <w:tcPr>
            <w:tcW w:w="480" w:type="dxa"/>
            <w:vAlign w:val="bottom"/>
            <w:tcBorders>
              <w:bottom w:val="single" w:sz="8" w:color="2C2C2C"/>
            </w:tcBorders>
            <w:gridSpan w:val="2"/>
          </w:tcPr>
          <w:p>
            <w:pPr>
              <w:spacing w:after="0"/>
              <w:rPr>
                <w:sz w:val="12"/>
                <w:szCs w:val="12"/>
                <w:color w:val="auto"/>
              </w:rPr>
            </w:pPr>
          </w:p>
        </w:tc>
        <w:tc>
          <w:tcPr>
            <w:tcW w:w="2000" w:type="dxa"/>
            <w:vAlign w:val="bottom"/>
            <w:tcBorders>
              <w:bottom w:val="single" w:sz="8" w:color="2C2C2C"/>
            </w:tcBorders>
            <w:gridSpan w:val="4"/>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gridSpan w:val="2"/>
          </w:tcPr>
          <w:p>
            <w:pPr>
              <w:spacing w:after="0"/>
              <w:rPr>
                <w:sz w:val="12"/>
                <w:szCs w:val="12"/>
                <w:color w:val="auto"/>
              </w:rPr>
            </w:pPr>
          </w:p>
        </w:tc>
        <w:tc>
          <w:tcPr>
            <w:tcW w:w="28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9"/>
            <w:vMerge w:val="continue"/>
          </w:tcPr>
          <w:p>
            <w:pPr>
              <w:spacing w:after="0"/>
              <w:rPr>
                <w:sz w:val="11"/>
                <w:szCs w:val="11"/>
                <w:color w:val="auto"/>
              </w:rPr>
            </w:pPr>
          </w:p>
        </w:tc>
        <w:tc>
          <w:tcPr>
            <w:tcW w:w="260" w:type="dxa"/>
            <w:vAlign w:val="bottom"/>
          </w:tcPr>
          <w:p>
            <w:pPr>
              <w:spacing w:after="0"/>
              <w:rPr>
                <w:sz w:val="11"/>
                <w:szCs w:val="11"/>
                <w:color w:val="auto"/>
              </w:rPr>
            </w:pPr>
          </w:p>
        </w:tc>
        <w:tc>
          <w:tcPr>
            <w:tcW w:w="34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gridSpan w:val="2"/>
          </w:tcPr>
          <w:p>
            <w:pPr>
              <w:ind w:left="60"/>
              <w:spacing w:after="0" w:line="149"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w w:val="99"/>
              </w:rPr>
              <w:t>NORTH</w:t>
            </w:r>
          </w:p>
        </w:tc>
        <w:tc>
          <w:tcPr>
            <w:tcW w:w="600" w:type="dxa"/>
            <w:vAlign w:val="bottom"/>
          </w:tcPr>
          <w:p>
            <w:pPr>
              <w:spacing w:after="0"/>
              <w:rPr>
                <w:sz w:val="18"/>
                <w:szCs w:val="18"/>
                <w:color w:val="auto"/>
              </w:rPr>
            </w:pPr>
          </w:p>
        </w:tc>
        <w:tc>
          <w:tcPr>
            <w:tcW w:w="200" w:type="dxa"/>
            <w:vAlign w:val="bottom"/>
            <w:gridSpan w:val="2"/>
            <w:vMerge w:val="restart"/>
          </w:tcPr>
          <w:p>
            <w:pPr>
              <w:spacing w:after="0"/>
              <w:rPr>
                <w:sz w:val="20"/>
                <w:szCs w:val="20"/>
                <w:color w:val="auto"/>
              </w:rPr>
            </w:pPr>
            <w:r>
              <w:rPr>
                <w:rFonts w:ascii="Arial" w:cs="Arial" w:eastAsia="Arial" w:hAnsi="Arial"/>
                <w:sz w:val="17"/>
                <w:szCs w:val="17"/>
                <w:color w:val="0000FF"/>
              </w:rPr>
              <w:t>IL</w:t>
            </w:r>
          </w:p>
        </w:tc>
        <w:tc>
          <w:tcPr>
            <w:tcW w:w="100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60064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CHICAGO</w:t>
            </w:r>
          </w:p>
        </w:tc>
        <w:tc>
          <w:tcPr>
            <w:tcW w:w="2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180"/>
              <w:spacing w:after="0" w:line="131" w:lineRule="exact"/>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9"/>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2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140"/>
              <w:spacing w:after="0"/>
              <w:rPr>
                <w:sz w:val="20"/>
                <w:szCs w:val="20"/>
                <w:color w:val="auto"/>
              </w:rPr>
            </w:pPr>
            <w:r>
              <w:rPr>
                <w:rFonts w:ascii="Arial" w:cs="Arial" w:eastAsia="Arial" w:hAnsi="Arial"/>
                <w:sz w:val="17"/>
                <w:szCs w:val="17"/>
                <w:color w:val="0000FF"/>
              </w:rPr>
              <w:t>47</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vMerge w:val="restart"/>
          </w:tcPr>
          <w:p>
            <w:pPr>
              <w:ind w:left="200"/>
              <w:spacing w:after="0"/>
              <w:rPr>
                <w:sz w:val="20"/>
                <w:szCs w:val="20"/>
                <w:color w:val="auto"/>
              </w:rPr>
            </w:pPr>
            <w:r>
              <w:rPr>
                <w:rFonts w:ascii="Arial" w:cs="Arial" w:eastAsia="Arial" w:hAnsi="Arial"/>
                <w:sz w:val="13"/>
                <w:szCs w:val="13"/>
                <w:color w:val="0000FF"/>
                <w:w w:val="80"/>
              </w:rPr>
              <w:t>8,856</w:t>
            </w:r>
            <w:r>
              <w:rPr>
                <w:rFonts w:ascii="Arial" w:cs="Arial" w:eastAsia="Arial" w:hAnsi="Arial"/>
                <w:sz w:val="21"/>
                <w:szCs w:val="21"/>
                <w:color w:val="008000"/>
                <w:w w:val="80"/>
                <w:vertAlign w:val="superscript"/>
              </w:rPr>
              <w:t>(2)</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Equivalent</w:t>
            </w:r>
          </w:p>
        </w:tc>
        <w:tc>
          <w:tcPr>
            <w:tcW w:w="600" w:type="dxa"/>
            <w:vAlign w:val="bottom"/>
            <w:vMerge w:val="restart"/>
          </w:tcPr>
          <w:p>
            <w:pPr>
              <w:ind w:left="160"/>
              <w:spacing w:after="0" w:line="144"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159.37</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vMerge w:val="restart"/>
          </w:tcPr>
          <w:p>
            <w:pPr>
              <w:ind w:left="220"/>
              <w:spacing w:after="0" w:line="144" w:lineRule="exact"/>
              <w:rPr>
                <w:sz w:val="20"/>
                <w:szCs w:val="20"/>
                <w:color w:val="auto"/>
              </w:rPr>
            </w:pPr>
            <w:r>
              <w:rPr>
                <w:rFonts w:ascii="Arial" w:cs="Arial" w:eastAsia="Arial" w:hAnsi="Arial"/>
                <w:sz w:val="13"/>
                <w:szCs w:val="13"/>
                <w:color w:val="0000FF"/>
              </w:rPr>
              <w:t>03/31/2023</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ind w:left="2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40" w:type="dxa"/>
            <w:vAlign w:val="bottom"/>
            <w:vMerge w:val="restart"/>
          </w:tcPr>
          <w:p>
            <w:pPr>
              <w:ind w:left="120"/>
              <w:spacing w:after="0" w:line="144" w:lineRule="exact"/>
              <w:rPr>
                <w:sz w:val="20"/>
                <w:szCs w:val="20"/>
                <w:color w:val="auto"/>
              </w:rPr>
            </w:pPr>
            <w:r>
              <w:rPr>
                <w:rFonts w:ascii="Arial" w:cs="Arial" w:eastAsia="Arial" w:hAnsi="Arial"/>
                <w:sz w:val="13"/>
                <w:szCs w:val="13"/>
                <w:color w:val="0000FF"/>
              </w:rPr>
              <w:t>47</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restart"/>
          </w:tcPr>
          <w:p>
            <w:pPr>
              <w:jc w:val="right"/>
              <w:ind w:right="139"/>
              <w:spacing w:after="0" w:line="144"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159.37</w:t>
            </w: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3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Director fees credited to stock equivalent unit accounts under grantor trusts established by the director at Abbott Laboratories and AbbVie. The stock equivalent units in the Abbott account will be paid, in cash, generally at age 65 or upon retirement from Abbott's board, and the stock equivalent units in the AbbVie account will be paid, in cash, generally at age 65 or upon retirement from AbbVie's board. The stock equivalent units in each account earn the same return as if the fees were invested in AbbVie stock.</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Balance includes stock equivalent units acquired pursuant to a dividend reinvestment feature.</w:t>
      </w:r>
    </w:p>
    <w:p>
      <w:pPr>
        <w:ind w:left="6600"/>
        <w:spacing w:after="0" w:line="186"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3"/>
          <w:szCs w:val="33"/>
          <w:color w:val="0000FF"/>
          <w:vertAlign w:val="subscript"/>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16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Robert J. Alpern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73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348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48074"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2023-04-04T16:07:33Z</dcterms:created>
  <dcterms:modified xsi:type="dcterms:W3CDTF">2023-04-04T16:07:33Z</dcterms:modified>
</cp:coreProperties>
</file>