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7"/>
          <w:szCs w:val="27"/>
          <w:b w:val="1"/>
          <w:bCs w:val="1"/>
          <w:color w:val="auto"/>
        </w:rPr>
        <w:drawing>
          <wp:anchor simplePos="0" relativeHeight="251657728" behindDoc="1" locked="0" layoutInCell="0" allowOverlap="1">
            <wp:simplePos x="0" y="0"/>
            <wp:positionH relativeFrom="page">
              <wp:posOffset>598170</wp:posOffset>
            </wp:positionH>
            <wp:positionV relativeFrom="page">
              <wp:posOffset>858520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817245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t>UNITED STATES</w:t>
      </w:r>
    </w:p>
    <w:p>
      <w:pPr>
        <w:spacing w:after="0" w:line="6" w:lineRule="exact"/>
        <w:rPr>
          <w:sz w:val="24"/>
          <w:szCs w:val="24"/>
          <w:color w:val="auto"/>
        </w:rPr>
      </w:pPr>
    </w:p>
    <w:p>
      <w:pPr>
        <w:jc w:val="center"/>
        <w:spacing w:after="0"/>
        <w:rPr>
          <w:sz w:val="20"/>
          <w:szCs w:val="20"/>
          <w:color w:val="auto"/>
        </w:rPr>
      </w:pPr>
      <w:r>
        <w:rPr>
          <w:rFonts w:ascii="Calibri" w:cs="Calibri" w:eastAsia="Calibri" w:hAnsi="Calibri"/>
          <w:sz w:val="27"/>
          <w:szCs w:val="27"/>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Calibri" w:cs="Calibri" w:eastAsia="Calibri" w:hAnsi="Calibri"/>
          <w:sz w:val="15"/>
          <w:szCs w:val="15"/>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Calibri" w:cs="Calibri" w:eastAsia="Calibri" w:hAnsi="Calibri"/>
          <w:sz w:val="27"/>
          <w:szCs w:val="27"/>
          <w:b w:val="1"/>
          <w:bCs w:val="1"/>
          <w:color w:val="auto"/>
        </w:rPr>
        <w:t>FORM 10-Q</w:t>
      </w:r>
    </w:p>
    <w:p>
      <w:pPr>
        <w:spacing w:after="0" w:line="223" w:lineRule="auto"/>
        <w:rPr>
          <w:sz w:val="20"/>
          <w:szCs w:val="20"/>
          <w:color w:val="auto"/>
        </w:rPr>
      </w:pPr>
      <w:r>
        <w:rPr>
          <w:rFonts w:ascii="Calibri" w:cs="Calibri" w:eastAsia="Calibri" w:hAnsi="Calibri"/>
          <w:sz w:val="14"/>
          <w:szCs w:val="14"/>
          <w:b w:val="1"/>
          <w:bCs w:val="1"/>
          <w:color w:val="auto"/>
        </w:rPr>
        <w:t>(Mark One)</w:t>
      </w:r>
    </w:p>
    <w:p>
      <w:pPr>
        <w:spacing w:after="0" w:line="38"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Calibri" w:cs="Calibri" w:eastAsia="Calibri" w:hAnsi="Calibri"/>
          <w:sz w:val="19"/>
          <w:szCs w:val="19"/>
          <w:b w:val="1"/>
          <w:bCs w:val="1"/>
          <w:color w:val="auto"/>
        </w:rPr>
        <w:t>QUARTERLY REPORT PURSUANT TO SECTION 13 OR 15(d) OF THE SECURITIES EXCHANGE ACT OF 1934</w:t>
      </w:r>
    </w:p>
    <w:p>
      <w:pPr>
        <w:spacing w:after="0" w:line="65" w:lineRule="exact"/>
        <w:rPr>
          <w:sz w:val="24"/>
          <w:szCs w:val="24"/>
          <w:color w:val="auto"/>
        </w:rPr>
      </w:pPr>
    </w:p>
    <w:p>
      <w:pPr>
        <w:spacing w:after="0"/>
        <w:rPr>
          <w:sz w:val="20"/>
          <w:szCs w:val="20"/>
          <w:color w:val="auto"/>
        </w:rPr>
      </w:pPr>
      <w:r>
        <w:rPr>
          <w:rFonts w:ascii="Calibri" w:cs="Calibri" w:eastAsia="Calibri" w:hAnsi="Calibri"/>
          <w:sz w:val="19"/>
          <w:szCs w:val="19"/>
          <w:color w:val="auto"/>
        </w:rPr>
        <w:t>For the quarterly period ended September 30, 2024</w:t>
      </w:r>
    </w:p>
    <w:p>
      <w:pPr>
        <w:spacing w:after="0" w:line="26" w:lineRule="exact"/>
        <w:rPr>
          <w:sz w:val="24"/>
          <w:szCs w:val="24"/>
          <w:color w:val="auto"/>
        </w:rPr>
      </w:pPr>
    </w:p>
    <w:p>
      <w:pPr>
        <w:jc w:val="center"/>
        <w:spacing w:after="0"/>
        <w:rPr>
          <w:sz w:val="20"/>
          <w:szCs w:val="20"/>
          <w:color w:val="auto"/>
        </w:rPr>
      </w:pPr>
      <w:r>
        <w:rPr>
          <w:rFonts w:ascii="Calibri" w:cs="Calibri" w:eastAsia="Calibri" w:hAnsi="Calibri"/>
          <w:sz w:val="19"/>
          <w:szCs w:val="19"/>
          <w:b w:val="1"/>
          <w:bCs w:val="1"/>
          <w:color w:val="auto"/>
        </w:rPr>
        <w:t>OR</w:t>
      </w:r>
    </w:p>
    <w:p>
      <w:pPr>
        <w:spacing w:after="0" w:line="65" w:lineRule="exact"/>
        <w:rPr>
          <w:sz w:val="24"/>
          <w:szCs w:val="24"/>
          <w:color w:val="auto"/>
        </w:rPr>
      </w:pPr>
    </w:p>
    <w:p>
      <w:pPr>
        <w:ind w:left="360" w:hanging="357"/>
        <w:spacing w:after="0"/>
        <w:tabs>
          <w:tab w:leader="none" w:pos="360" w:val="left"/>
        </w:tabs>
        <w:numPr>
          <w:ilvl w:val="0"/>
          <w:numId w:val="2"/>
        </w:numPr>
        <w:rPr>
          <w:rFonts w:ascii="MS PGothic" w:cs="MS PGothic" w:eastAsia="MS PGothic" w:hAnsi="MS PGothic"/>
          <w:sz w:val="21"/>
          <w:szCs w:val="21"/>
          <w:color w:val="auto"/>
        </w:rPr>
      </w:pPr>
      <w:r>
        <w:rPr>
          <w:rFonts w:ascii="Calibri" w:cs="Calibri" w:eastAsia="Calibri" w:hAnsi="Calibri"/>
          <w:sz w:val="19"/>
          <w:szCs w:val="19"/>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380" w:type="dxa"/>
            <w:vAlign w:val="bottom"/>
          </w:tcPr>
          <w:p>
            <w:pPr>
              <w:spacing w:after="0"/>
              <w:rPr>
                <w:sz w:val="20"/>
                <w:szCs w:val="20"/>
                <w:color w:val="auto"/>
              </w:rPr>
            </w:pPr>
            <w:r>
              <w:rPr>
                <w:rFonts w:ascii="Calibri" w:cs="Calibri" w:eastAsia="Calibri" w:hAnsi="Calibri"/>
                <w:sz w:val="19"/>
                <w:szCs w:val="19"/>
                <w:color w:val="auto"/>
              </w:rPr>
              <w:t>For the transiton period from</w:t>
            </w:r>
          </w:p>
        </w:tc>
        <w:tc>
          <w:tcPr>
            <w:tcW w:w="1500" w:type="dxa"/>
            <w:vAlign w:val="bottom"/>
            <w:tcBorders>
              <w:bottom w:val="single" w:sz="8" w:color="auto"/>
            </w:tcBorders>
          </w:tcPr>
          <w:p>
            <w:pPr>
              <w:spacing w:after="0"/>
              <w:rPr>
                <w:sz w:val="20"/>
                <w:szCs w:val="20"/>
                <w:color w:val="auto"/>
              </w:rPr>
            </w:pPr>
          </w:p>
        </w:tc>
        <w:tc>
          <w:tcPr>
            <w:tcW w:w="240" w:type="dxa"/>
            <w:vAlign w:val="bottom"/>
          </w:tcPr>
          <w:p>
            <w:pPr>
              <w:ind w:left="40"/>
              <w:spacing w:after="0"/>
              <w:rPr>
                <w:sz w:val="20"/>
                <w:szCs w:val="20"/>
                <w:color w:val="auto"/>
              </w:rPr>
            </w:pPr>
            <w:r>
              <w:rPr>
                <w:rFonts w:ascii="Calibri" w:cs="Calibri" w:eastAsia="Calibri" w:hAnsi="Calibri"/>
                <w:sz w:val="19"/>
                <w:szCs w:val="19"/>
                <w:color w:val="auto"/>
              </w:rPr>
              <w:t>to</w:t>
            </w:r>
          </w:p>
        </w:tc>
        <w:tc>
          <w:tcPr>
            <w:tcW w:w="150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2"/>
          </w:tcPr>
          <w:p>
            <w:pPr>
              <w:ind w:left="320"/>
              <w:spacing w:after="0"/>
              <w:rPr>
                <w:sz w:val="20"/>
                <w:szCs w:val="20"/>
                <w:color w:val="auto"/>
              </w:rPr>
            </w:pPr>
            <w:r>
              <w:rPr>
                <w:rFonts w:ascii="Calibri" w:cs="Calibri" w:eastAsia="Calibri" w:hAnsi="Calibri"/>
                <w:sz w:val="15"/>
                <w:szCs w:val="15"/>
                <w:b w:val="1"/>
                <w:bCs w:val="1"/>
                <w:color w:val="auto"/>
              </w:rPr>
              <w:t>Commission File Number: 001-35565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8890</wp:posOffset>
            </wp:positionV>
            <wp:extent cx="1342390" cy="229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2390" cy="22923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Calibri" w:cs="Calibri" w:eastAsia="Calibri" w:hAnsi="Calibri"/>
          <w:sz w:val="27"/>
          <w:szCs w:val="27"/>
          <w:b w:val="1"/>
          <w:bCs w:val="1"/>
          <w:color w:val="auto"/>
        </w:rPr>
        <w:t>AbbVie Inc.</w:t>
      </w:r>
    </w:p>
    <w:p>
      <w:pPr>
        <w:spacing w:after="0" w:line="27"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(Exact name of registrant as specifed in its charter)</w:t>
      </w:r>
    </w:p>
    <w:p>
      <w:pPr>
        <w:sectPr>
          <w:pgSz w:w="11900" w:h="16838" w:orient="portrait"/>
          <w:cols w:equalWidth="0" w:num="1">
            <w:col w:w="11240"/>
          </w:cols>
          <w:pgMar w:left="320" w:top="1412" w:right="339" w:bottom="1440" w:gutter="0" w:footer="0" w:header="0"/>
        </w:sectPr>
      </w:pPr>
    </w:p>
    <w:p>
      <w:pPr>
        <w:spacing w:after="0" w:line="30" w:lineRule="exact"/>
        <w:rPr>
          <w:sz w:val="24"/>
          <w:szCs w:val="24"/>
          <w:color w:val="auto"/>
        </w:rPr>
      </w:pPr>
    </w:p>
    <w:p>
      <w:pPr>
        <w:ind w:left="2480"/>
        <w:spacing w:after="0"/>
        <w:rPr>
          <w:sz w:val="20"/>
          <w:szCs w:val="20"/>
          <w:color w:val="auto"/>
        </w:rPr>
      </w:pPr>
      <w:r>
        <w:rPr>
          <w:rFonts w:ascii="Calibri" w:cs="Calibri" w:eastAsia="Calibri" w:hAnsi="Calibri"/>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32-0375147</w:t>
      </w:r>
    </w:p>
    <w:p>
      <w:pPr>
        <w:spacing w:after="0" w:line="27" w:lineRule="exact"/>
        <w:rPr>
          <w:sz w:val="24"/>
          <w:szCs w:val="24"/>
          <w:color w:val="auto"/>
        </w:rPr>
      </w:pPr>
    </w:p>
    <w:p>
      <w:pPr>
        <w:sectPr>
          <w:pgSz w:w="11900" w:h="16838" w:orient="portrait"/>
          <w:cols w:equalWidth="0" w:num="2">
            <w:col w:w="7440" w:space="720"/>
            <w:col w:w="3080"/>
          </w:cols>
          <w:pgMar w:left="320" w:top="1412" w:right="339" w:bottom="1440" w:gutter="0" w:footer="0" w:header="0"/>
          <w:type w:val="continuous"/>
        </w:sectPr>
      </w:pPr>
    </w:p>
    <w:p>
      <w:pPr>
        <w:ind w:left="1080"/>
        <w:spacing w:after="0"/>
        <w:rPr>
          <w:sz w:val="20"/>
          <w:szCs w:val="20"/>
          <w:color w:val="auto"/>
        </w:rPr>
      </w:pPr>
      <w:r>
        <w:rPr>
          <w:rFonts w:ascii="Calibri" w:cs="Calibri" w:eastAsia="Calibri" w:hAnsi="Calibri"/>
          <w:sz w:val="14"/>
          <w:szCs w:val="14"/>
          <w:color w:val="auto"/>
        </w:rPr>
        <w:t>(State or other jurisdicton of 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(I.R.S. employer identfcaton number)</w:t>
      </w:r>
    </w:p>
    <w:p>
      <w:pPr>
        <w:spacing w:after="0" w:line="126" w:lineRule="exact"/>
        <w:rPr>
          <w:sz w:val="24"/>
          <w:szCs w:val="24"/>
          <w:color w:val="auto"/>
        </w:rPr>
      </w:pPr>
    </w:p>
    <w:p>
      <w:pPr>
        <w:sectPr>
          <w:pgSz w:w="11900" w:h="16838" w:orient="portrait"/>
          <w:cols w:equalWidth="0" w:num="2">
            <w:col w:w="6700" w:space="720"/>
            <w:col w:w="3820"/>
          </w:cols>
          <w:pgMar w:left="320" w:top="1412" w:right="339" w:bottom="1440" w:gutter="0" w:footer="0" w:header="0"/>
          <w:type w:val="continuous"/>
        </w:sectPr>
      </w:pPr>
    </w:p>
    <w:p>
      <w:pPr>
        <w:jc w:val="center"/>
        <w:ind w:right="-19"/>
        <w:spacing w:after="0"/>
        <w:rPr>
          <w:sz w:val="20"/>
          <w:szCs w:val="20"/>
          <w:color w:val="auto"/>
        </w:rPr>
      </w:pPr>
      <w:r>
        <w:rPr>
          <w:rFonts w:ascii="Calibri" w:cs="Calibri" w:eastAsia="Calibri" w:hAnsi="Calibri"/>
          <w:sz w:val="14"/>
          <w:szCs w:val="14"/>
          <w:b w:val="1"/>
          <w:bCs w:val="1"/>
          <w:color w:val="auto"/>
        </w:rPr>
        <w:t>1 North Waukegan Road</w:t>
      </w:r>
    </w:p>
    <w:p>
      <w:pPr>
        <w:spacing w:after="0" w:line="5" w:lineRule="exact"/>
        <w:rPr>
          <w:sz w:val="24"/>
          <w:szCs w:val="24"/>
          <w:color w:val="auto"/>
        </w:rPr>
      </w:pPr>
    </w:p>
    <w:p>
      <w:pPr>
        <w:jc w:val="center"/>
        <w:ind w:right="-19"/>
        <w:spacing w:after="0"/>
        <w:rPr>
          <w:sz w:val="20"/>
          <w:szCs w:val="20"/>
          <w:color w:val="auto"/>
        </w:rPr>
      </w:pPr>
      <w:r>
        <w:rPr>
          <w:rFonts w:ascii="Calibri" w:cs="Calibri" w:eastAsia="Calibri" w:hAnsi="Calibri"/>
          <w:sz w:val="13"/>
          <w:szCs w:val="13"/>
          <w:b w:val="1"/>
          <w:bCs w:val="1"/>
          <w:color w:val="auto"/>
        </w:rPr>
        <w:t>North Chicago, Illinois 60064-6400</w:t>
      </w:r>
    </w:p>
    <w:p>
      <w:pPr>
        <w:spacing w:after="0" w:line="91" w:lineRule="exact"/>
        <w:rPr>
          <w:sz w:val="24"/>
          <w:szCs w:val="24"/>
          <w:color w:val="auto"/>
        </w:rPr>
      </w:pPr>
    </w:p>
    <w:p>
      <w:pPr>
        <w:jc w:val="center"/>
        <w:ind w:right="-19"/>
        <w:spacing w:after="0"/>
        <w:rPr>
          <w:sz w:val="20"/>
          <w:szCs w:val="20"/>
          <w:color w:val="auto"/>
        </w:rPr>
      </w:pPr>
      <w:r>
        <w:rPr>
          <w:rFonts w:ascii="Calibri" w:cs="Calibri" w:eastAsia="Calibri" w:hAnsi="Calibri"/>
          <w:sz w:val="14"/>
          <w:szCs w:val="14"/>
          <w:color w:val="auto"/>
        </w:rPr>
        <w:t xml:space="preserve">Telephone: </w:t>
      </w:r>
      <w:r>
        <w:rPr>
          <w:rFonts w:ascii="Calibri" w:cs="Calibri" w:eastAsia="Calibri" w:hAnsi="Calibri"/>
          <w:sz w:val="14"/>
          <w:szCs w:val="14"/>
          <w:b w:val="1"/>
          <w:bCs w:val="1"/>
          <w:color w:val="auto"/>
        </w:rPr>
        <w:t>(847) 932-7900</w:t>
      </w:r>
    </w:p>
    <w:p>
      <w:pPr>
        <w:sectPr>
          <w:pgSz w:w="11900" w:h="16838" w:orient="portrait"/>
          <w:cols w:equalWidth="0" w:num="1">
            <w:col w:w="11240"/>
          </w:cols>
          <w:pgMar w:left="320" w:top="1412" w:right="339" w:bottom="1440" w:gutter="0" w:footer="0" w:header="0"/>
          <w:type w:val="continuous"/>
        </w:sectPr>
      </w:pPr>
    </w:p>
    <w:p>
      <w:pPr>
        <w:spacing w:after="0" w:line="78" w:lineRule="exact"/>
        <w:rPr>
          <w:sz w:val="24"/>
          <w:szCs w:val="24"/>
          <w:color w:val="auto"/>
        </w:rPr>
      </w:pPr>
    </w:p>
    <w:p>
      <w:pPr>
        <w:ind w:right="60"/>
        <w:spacing w:after="0" w:line="215" w:lineRule="exact"/>
        <w:rPr>
          <w:sz w:val="20"/>
          <w:szCs w:val="20"/>
          <w:color w:val="auto"/>
        </w:rPr>
      </w:pPr>
      <w:r>
        <w:rPr>
          <w:rFonts w:ascii="Calibri" w:cs="Calibri" w:eastAsia="Calibri" w:hAnsi="Calibri"/>
          <w:sz w:val="15"/>
          <w:szCs w:val="15"/>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5"/>
          <w:szCs w:val="15"/>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20"/>
        <w:spacing w:after="0" w:line="215" w:lineRule="exact"/>
        <w:rPr>
          <w:sz w:val="20"/>
          <w:szCs w:val="20"/>
          <w:color w:val="auto"/>
        </w:rPr>
      </w:pPr>
      <w:r>
        <w:rPr>
          <w:rFonts w:ascii="Calibri" w:cs="Calibri" w:eastAsia="Calibri" w:hAnsi="Calibri"/>
          <w:sz w:val="15"/>
          <w:szCs w:val="15"/>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5"/>
          <w:szCs w:val="15"/>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380"/>
        <w:spacing w:after="0" w:line="238" w:lineRule="auto"/>
        <w:rPr>
          <w:sz w:val="20"/>
          <w:szCs w:val="20"/>
          <w:color w:val="auto"/>
        </w:rPr>
      </w:pPr>
      <w:r>
        <w:rPr>
          <w:rFonts w:ascii="Calibri" w:cs="Calibri" w:eastAsia="Calibri" w:hAnsi="Calibri"/>
          <w:sz w:val="15"/>
          <w:szCs w:val="15"/>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00" w:lineRule="exact"/>
        <w:rPr>
          <w:sz w:val="24"/>
          <w:szCs w:val="24"/>
          <w:color w:val="auto"/>
        </w:rPr>
      </w:pPr>
    </w:p>
    <w:tbl>
      <w:tblPr>
        <w:tblLayout w:type="fixed"/>
        <w:tblInd w:w="2080" w:type="dxa"/>
        <w:tblCellMar>
          <w:top w:w="0" w:type="dxa"/>
          <w:left w:w="0" w:type="dxa"/>
          <w:bottom w:w="0" w:type="dxa"/>
          <w:right w:w="0" w:type="dxa"/>
        </w:tblCellMar>
      </w:tblPr>
      <w:tr>
        <w:trPr>
          <w:trHeight w:val="219"/>
        </w:trPr>
        <w:tc>
          <w:tcPr>
            <w:tcW w:w="3780" w:type="dxa"/>
            <w:vAlign w:val="bottom"/>
          </w:tcPr>
          <w:p>
            <w:pPr>
              <w:jc w:val="right"/>
              <w:ind w:right="2083"/>
              <w:spacing w:after="0" w:line="208" w:lineRule="exact"/>
              <w:rPr>
                <w:sz w:val="20"/>
                <w:szCs w:val="20"/>
                <w:color w:val="auto"/>
              </w:rPr>
            </w:pPr>
            <w:r>
              <w:rPr>
                <w:rFonts w:ascii="Calibri" w:cs="Calibri" w:eastAsia="Calibri" w:hAnsi="Calibri"/>
                <w:sz w:val="15"/>
                <w:szCs w:val="15"/>
                <w:color w:val="auto"/>
              </w:rPr>
              <w:t xml:space="preserve">Large Accelerated Filer </w:t>
            </w:r>
            <w:r>
              <w:rPr>
                <w:rFonts w:ascii="MS PGothic" w:cs="MS PGothic" w:eastAsia="MS PGothic" w:hAnsi="MS PGothic"/>
                <w:sz w:val="17"/>
                <w:szCs w:val="17"/>
                <w:color w:val="auto"/>
              </w:rPr>
              <w:t>☒</w:t>
            </w:r>
          </w:p>
        </w:tc>
        <w:tc>
          <w:tcPr>
            <w:tcW w:w="4080" w:type="dxa"/>
            <w:vAlign w:val="bottom"/>
          </w:tcPr>
          <w:p>
            <w:pPr>
              <w:jc w:val="right"/>
              <w:spacing w:after="0" w:line="208" w:lineRule="exact"/>
              <w:rPr>
                <w:sz w:val="20"/>
                <w:szCs w:val="20"/>
                <w:color w:val="auto"/>
              </w:rPr>
            </w:pPr>
            <w:r>
              <w:rPr>
                <w:rFonts w:ascii="Calibri" w:cs="Calibri" w:eastAsia="Calibri" w:hAnsi="Calibri"/>
                <w:sz w:val="15"/>
                <w:szCs w:val="15"/>
                <w:color w:val="auto"/>
              </w:rPr>
              <w:t xml:space="preserve">Accelerated Filer </w:t>
            </w:r>
            <w:r>
              <w:rPr>
                <w:rFonts w:ascii="MS PGothic" w:cs="MS PGothic" w:eastAsia="MS PGothic" w:hAnsi="MS PGothic"/>
                <w:sz w:val="17"/>
                <w:szCs w:val="17"/>
                <w:color w:val="auto"/>
              </w:rPr>
              <w:t>☐</w:t>
            </w:r>
          </w:p>
        </w:tc>
      </w:tr>
      <w:tr>
        <w:trPr>
          <w:trHeight w:val="219"/>
        </w:trPr>
        <w:tc>
          <w:tcPr>
            <w:tcW w:w="3780" w:type="dxa"/>
            <w:vAlign w:val="bottom"/>
          </w:tcPr>
          <w:p>
            <w:pPr>
              <w:jc w:val="right"/>
              <w:ind w:right="2083"/>
              <w:spacing w:after="0" w:line="208" w:lineRule="exact"/>
              <w:rPr>
                <w:sz w:val="20"/>
                <w:szCs w:val="20"/>
                <w:color w:val="auto"/>
              </w:rPr>
            </w:pPr>
            <w:r>
              <w:rPr>
                <w:rFonts w:ascii="Calibri" w:cs="Calibri" w:eastAsia="Calibri" w:hAnsi="Calibri"/>
                <w:sz w:val="15"/>
                <w:szCs w:val="15"/>
                <w:color w:val="auto"/>
              </w:rPr>
              <w:t xml:space="preserve">Non-Accelerated Filer </w:t>
            </w:r>
            <w:r>
              <w:rPr>
                <w:rFonts w:ascii="MS PGothic" w:cs="MS PGothic" w:eastAsia="MS PGothic" w:hAnsi="MS PGothic"/>
                <w:sz w:val="17"/>
                <w:szCs w:val="17"/>
                <w:color w:val="auto"/>
              </w:rPr>
              <w:t>☐</w:t>
            </w:r>
          </w:p>
        </w:tc>
        <w:tc>
          <w:tcPr>
            <w:tcW w:w="4080" w:type="dxa"/>
            <w:vAlign w:val="bottom"/>
          </w:tcPr>
          <w:p>
            <w:pPr>
              <w:jc w:val="right"/>
              <w:spacing w:after="0" w:line="208" w:lineRule="exact"/>
              <w:rPr>
                <w:sz w:val="20"/>
                <w:szCs w:val="20"/>
                <w:color w:val="auto"/>
              </w:rPr>
            </w:pPr>
            <w:r>
              <w:rPr>
                <w:rFonts w:ascii="Calibri" w:cs="Calibri" w:eastAsia="Calibri" w:hAnsi="Calibri"/>
                <w:sz w:val="15"/>
                <w:szCs w:val="15"/>
                <w:color w:val="auto"/>
              </w:rPr>
              <w:t xml:space="preserve">Smaller reportng company </w:t>
            </w:r>
            <w:r>
              <w:rPr>
                <w:rFonts w:ascii="MS PGothic" w:cs="MS PGothic" w:eastAsia="MS PGothic" w:hAnsi="MS PGothic"/>
                <w:sz w:val="17"/>
                <w:szCs w:val="17"/>
                <w:color w:val="auto"/>
              </w:rPr>
              <w:t>☐</w:t>
            </w:r>
          </w:p>
        </w:tc>
      </w:tr>
      <w:tr>
        <w:trPr>
          <w:trHeight w:val="289"/>
        </w:trPr>
        <w:tc>
          <w:tcPr>
            <w:tcW w:w="3780" w:type="dxa"/>
            <w:vAlign w:val="bottom"/>
          </w:tcPr>
          <w:p>
            <w:pPr>
              <w:spacing w:after="0"/>
              <w:rPr>
                <w:sz w:val="24"/>
                <w:szCs w:val="24"/>
                <w:color w:val="auto"/>
              </w:rPr>
            </w:pPr>
          </w:p>
        </w:tc>
        <w:tc>
          <w:tcPr>
            <w:tcW w:w="4080" w:type="dxa"/>
            <w:vAlign w:val="bottom"/>
          </w:tcPr>
          <w:p>
            <w:pPr>
              <w:jc w:val="right"/>
              <w:spacing w:after="0" w:line="208" w:lineRule="exact"/>
              <w:rPr>
                <w:sz w:val="20"/>
                <w:szCs w:val="20"/>
                <w:color w:val="auto"/>
              </w:rPr>
            </w:pPr>
            <w:r>
              <w:rPr>
                <w:rFonts w:ascii="Calibri" w:cs="Calibri" w:eastAsia="Calibri" w:hAnsi="Calibri"/>
                <w:sz w:val="15"/>
                <w:szCs w:val="15"/>
                <w:color w:val="auto"/>
              </w:rPr>
              <w:t xml:space="preserve">Emerging growth company </w:t>
            </w:r>
            <w:r>
              <w:rPr>
                <w:rFonts w:ascii="MS PGothic" w:cs="MS PGothic" w:eastAsia="MS PGothic" w:hAnsi="MS PGothic"/>
                <w:sz w:val="17"/>
                <w:szCs w:val="17"/>
                <w:color w:val="auto"/>
              </w:rPr>
              <w:t>☐</w:t>
            </w:r>
          </w:p>
        </w:tc>
      </w:tr>
    </w:tbl>
    <w:p>
      <w:pPr>
        <w:spacing w:after="0" w:line="85" w:lineRule="exact"/>
        <w:rPr>
          <w:sz w:val="24"/>
          <w:szCs w:val="24"/>
          <w:color w:val="auto"/>
        </w:rPr>
      </w:pPr>
    </w:p>
    <w:p>
      <w:pPr>
        <w:ind w:right="380"/>
        <w:spacing w:after="0" w:line="211" w:lineRule="exact"/>
        <w:rPr>
          <w:sz w:val="20"/>
          <w:szCs w:val="20"/>
          <w:color w:val="auto"/>
        </w:rPr>
      </w:pPr>
      <w:r>
        <w:rPr>
          <w:rFonts w:ascii="Calibri" w:cs="Calibri" w:eastAsia="Calibri" w:hAnsi="Calibri"/>
          <w:sz w:val="15"/>
          <w:szCs w:val="15"/>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5"/>
          <w:szCs w:val="15"/>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9"/>
        </w:trPr>
        <w:tc>
          <w:tcPr>
            <w:tcW w:w="7160" w:type="dxa"/>
            <w:vAlign w:val="bottom"/>
            <w:gridSpan w:val="5"/>
          </w:tcPr>
          <w:p>
            <w:pPr>
              <w:spacing w:after="0"/>
              <w:rPr>
                <w:sz w:val="20"/>
                <w:szCs w:val="20"/>
                <w:color w:val="auto"/>
              </w:rPr>
            </w:pPr>
            <w:r>
              <w:rPr>
                <w:rFonts w:ascii="Calibri" w:cs="Calibri" w:eastAsia="Calibri" w:hAnsi="Calibri"/>
                <w:sz w:val="15"/>
                <w:szCs w:val="15"/>
                <w:color w:val="auto"/>
              </w:rPr>
              <w:t>Indicate by check mark whether the registrant is a shell company (as defned in Rule 12b-2 of the Exchange Act).</w:t>
            </w:r>
          </w:p>
        </w:tc>
        <w:tc>
          <w:tcPr>
            <w:tcW w:w="4080" w:type="dxa"/>
            <w:vAlign w:val="bottom"/>
          </w:tcPr>
          <w:p>
            <w:pPr>
              <w:ind w:left="140"/>
              <w:spacing w:after="0" w:line="208" w:lineRule="exact"/>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rFonts w:ascii="Calibri" w:cs="Calibri" w:eastAsia="Calibri" w:hAnsi="Calibri"/>
                <w:sz w:val="15"/>
                <w:szCs w:val="15"/>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7"/>
        </w:trPr>
        <w:tc>
          <w:tcPr>
            <w:tcW w:w="4460" w:type="dxa"/>
            <w:vAlign w:val="bottom"/>
            <w:gridSpan w:val="2"/>
          </w:tcPr>
          <w:p>
            <w:pPr>
              <w:spacing w:after="0"/>
              <w:rPr>
                <w:sz w:val="20"/>
                <w:szCs w:val="20"/>
                <w:color w:val="auto"/>
              </w:rPr>
            </w:pPr>
            <w:r>
              <w:rPr>
                <w:rFonts w:ascii="Calibri" w:cs="Calibri" w:eastAsia="Calibri" w:hAnsi="Calibri"/>
                <w:sz w:val="15"/>
                <w:szCs w:val="15"/>
                <w:color w:val="auto"/>
              </w:rPr>
              <w:t>Securites registered pursuant to Secton 12(b) of the Act:</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w w:val="98"/>
              </w:rPr>
              <w:t>Title of each class</w:t>
            </w:r>
          </w:p>
        </w:tc>
        <w:tc>
          <w:tcPr>
            <w:tcW w:w="2700" w:type="dxa"/>
            <w:vAlign w:val="bottom"/>
            <w:gridSpan w:val="3"/>
          </w:tcPr>
          <w:p>
            <w:pPr>
              <w:jc w:val="center"/>
              <w:ind w:right="580"/>
              <w:spacing w:after="0"/>
              <w:rPr>
                <w:sz w:val="20"/>
                <w:szCs w:val="20"/>
                <w:color w:val="auto"/>
              </w:rPr>
            </w:pPr>
            <w:r>
              <w:rPr>
                <w:rFonts w:ascii="Calibri" w:cs="Calibri" w:eastAsia="Calibri" w:hAnsi="Calibri"/>
                <w:sz w:val="14"/>
                <w:szCs w:val="14"/>
                <w:b w:val="1"/>
                <w:bCs w:val="1"/>
                <w:color w:val="auto"/>
                <w:w w:val="95"/>
              </w:rPr>
              <w:t>Trading Symbol(s)</w:t>
            </w:r>
          </w:p>
        </w:tc>
        <w:tc>
          <w:tcPr>
            <w:tcW w:w="4080" w:type="dxa"/>
            <w:vAlign w:val="bottom"/>
          </w:tcPr>
          <w:p>
            <w:pPr>
              <w:jc w:val="center"/>
              <w:ind w:right="70"/>
              <w:spacing w:after="0"/>
              <w:rPr>
                <w:sz w:val="20"/>
                <w:szCs w:val="20"/>
                <w:color w:val="auto"/>
              </w:rPr>
            </w:pPr>
            <w:r>
              <w:rPr>
                <w:rFonts w:ascii="Calibri" w:cs="Calibri" w:eastAsia="Calibri" w:hAnsi="Calibri"/>
                <w:sz w:val="14"/>
                <w:szCs w:val="14"/>
                <w:b w:val="1"/>
                <w:bCs w:val="1"/>
                <w:color w:val="auto"/>
                <w:w w:val="97"/>
              </w:rPr>
              <w:t>Name of each exchange on which registered</w:t>
            </w:r>
          </w:p>
        </w:tc>
        <w:tc>
          <w:tcPr>
            <w:tcW w:w="0" w:type="dxa"/>
            <w:vAlign w:val="bottom"/>
          </w:tcPr>
          <w:p>
            <w:pPr>
              <w:spacing w:after="0"/>
              <w:rPr>
                <w:sz w:val="1"/>
                <w:szCs w:val="1"/>
                <w:color w:val="auto"/>
              </w:rPr>
            </w:pPr>
          </w:p>
        </w:tc>
      </w:tr>
      <w:tr>
        <w:trPr>
          <w:trHeight w:val="43"/>
        </w:trPr>
        <w:tc>
          <w:tcPr>
            <w:tcW w:w="4040" w:type="dxa"/>
            <w:vAlign w:val="bottom"/>
            <w:tcBorders>
              <w:bottom w:val="single" w:sz="8" w:color="auto"/>
            </w:tcBorders>
          </w:tcPr>
          <w:p>
            <w:pPr>
              <w:spacing w:after="0"/>
              <w:rPr>
                <w:sz w:val="3"/>
                <w:szCs w:val="3"/>
                <w:color w:val="auto"/>
              </w:rPr>
            </w:pPr>
          </w:p>
        </w:tc>
        <w:tc>
          <w:tcPr>
            <w:tcW w:w="420" w:type="dxa"/>
            <w:vAlign w:val="bottom"/>
            <w:vMerge w:val="restart"/>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42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40" w:type="dxa"/>
            <w:vAlign w:val="bottom"/>
          </w:tcPr>
          <w:p>
            <w:pPr>
              <w:jc w:val="center"/>
              <w:spacing w:after="0" w:line="156" w:lineRule="exact"/>
              <w:rPr>
                <w:sz w:val="20"/>
                <w:szCs w:val="20"/>
                <w:color w:val="auto"/>
              </w:rPr>
            </w:pPr>
            <w:r>
              <w:rPr>
                <w:rFonts w:ascii="Calibri" w:cs="Calibri" w:eastAsia="Calibri" w:hAnsi="Calibri"/>
                <w:sz w:val="14"/>
                <w:szCs w:val="14"/>
                <w:color w:val="auto"/>
                <w:w w:val="97"/>
              </w:rPr>
              <w:t>Common Stock, par value $0.01 per share</w:t>
            </w:r>
          </w:p>
        </w:tc>
        <w:tc>
          <w:tcPr>
            <w:tcW w:w="420" w:type="dxa"/>
            <w:vAlign w:val="bottom"/>
            <w:vMerge w:val="continue"/>
          </w:tcPr>
          <w:p>
            <w:pPr>
              <w:spacing w:after="0"/>
              <w:rPr>
                <w:sz w:val="13"/>
                <w:szCs w:val="13"/>
                <w:color w:val="auto"/>
              </w:rPr>
            </w:pPr>
          </w:p>
        </w:tc>
        <w:tc>
          <w:tcPr>
            <w:tcW w:w="2120" w:type="dxa"/>
            <w:vAlign w:val="bottom"/>
          </w:tcPr>
          <w:p>
            <w:pPr>
              <w:jc w:val="center"/>
              <w:spacing w:after="0" w:line="156" w:lineRule="exact"/>
              <w:rPr>
                <w:sz w:val="20"/>
                <w:szCs w:val="20"/>
                <w:color w:val="auto"/>
              </w:rPr>
            </w:pPr>
            <w:r>
              <w:rPr>
                <w:rFonts w:ascii="Calibri" w:cs="Calibri" w:eastAsia="Calibri" w:hAnsi="Calibri"/>
                <w:sz w:val="14"/>
                <w:szCs w:val="14"/>
                <w:color w:val="auto"/>
              </w:rPr>
              <w:t>ABBV</w:t>
            </w: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Pr>
          <w:p>
            <w:pPr>
              <w:jc w:val="center"/>
              <w:ind w:right="70"/>
              <w:spacing w:after="0" w:line="156" w:lineRule="exact"/>
              <w:rPr>
                <w:sz w:val="20"/>
                <w:szCs w:val="20"/>
                <w:color w:val="auto"/>
              </w:rPr>
            </w:pPr>
            <w:r>
              <w:rPr>
                <w:rFonts w:ascii="Calibri" w:cs="Calibri" w:eastAsia="Calibri" w:hAnsi="Calibri"/>
                <w:sz w:val="14"/>
                <w:szCs w:val="14"/>
                <w:color w:val="auto"/>
                <w:w w:val="97"/>
              </w:rPr>
              <w:t>New York Stock Exchange</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80" w:type="dxa"/>
            <w:vAlign w:val="bottom"/>
          </w:tcPr>
          <w:p>
            <w:pPr>
              <w:jc w:val="center"/>
              <w:ind w:right="90"/>
              <w:spacing w:after="0"/>
              <w:rPr>
                <w:sz w:val="20"/>
                <w:szCs w:val="20"/>
                <w:color w:val="auto"/>
              </w:rPr>
            </w:pPr>
            <w:r>
              <w:rPr>
                <w:rFonts w:ascii="Calibri" w:cs="Calibri" w:eastAsia="Calibri" w:hAnsi="Calibri"/>
                <w:sz w:val="14"/>
                <w:szCs w:val="14"/>
                <w:color w:val="auto"/>
                <w:w w:val="97"/>
              </w:rPr>
              <w:t>Chicago Stock Exchange</w:t>
            </w:r>
          </w:p>
        </w:tc>
        <w:tc>
          <w:tcPr>
            <w:tcW w:w="0" w:type="dxa"/>
            <w:vAlign w:val="bottom"/>
          </w:tcPr>
          <w:p>
            <w:pPr>
              <w:spacing w:after="0"/>
              <w:rPr>
                <w:sz w:val="1"/>
                <w:szCs w:val="1"/>
                <w:color w:val="auto"/>
              </w:rPr>
            </w:pPr>
          </w:p>
        </w:tc>
      </w:tr>
      <w:tr>
        <w:trPr>
          <w:trHeight w:val="193"/>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color w:val="auto"/>
                <w:w w:val="98"/>
              </w:rPr>
              <w:t>0.750% Senior Notes due 2027</w:t>
            </w:r>
          </w:p>
        </w:tc>
        <w:tc>
          <w:tcPr>
            <w:tcW w:w="2700" w:type="dxa"/>
            <w:vAlign w:val="bottom"/>
            <w:gridSpan w:val="3"/>
          </w:tcPr>
          <w:p>
            <w:pPr>
              <w:jc w:val="center"/>
              <w:ind w:right="580"/>
              <w:spacing w:after="0"/>
              <w:rPr>
                <w:sz w:val="20"/>
                <w:szCs w:val="20"/>
                <w:color w:val="auto"/>
              </w:rPr>
            </w:pPr>
            <w:r>
              <w:rPr>
                <w:rFonts w:ascii="Calibri" w:cs="Calibri" w:eastAsia="Calibri" w:hAnsi="Calibri"/>
                <w:sz w:val="14"/>
                <w:szCs w:val="14"/>
                <w:color w:val="auto"/>
                <w:w w:val="96"/>
              </w:rPr>
              <w:t>ABBV27</w:t>
            </w:r>
          </w:p>
        </w:tc>
        <w:tc>
          <w:tcPr>
            <w:tcW w:w="4080" w:type="dxa"/>
            <w:vAlign w:val="bottom"/>
          </w:tcPr>
          <w:p>
            <w:pPr>
              <w:jc w:val="center"/>
              <w:ind w:right="70"/>
              <w:spacing w:after="0"/>
              <w:rPr>
                <w:sz w:val="20"/>
                <w:szCs w:val="20"/>
                <w:color w:val="auto"/>
              </w:rPr>
            </w:pPr>
            <w:r>
              <w:rPr>
                <w:rFonts w:ascii="Calibri" w:cs="Calibri" w:eastAsia="Calibri" w:hAnsi="Calibri"/>
                <w:sz w:val="14"/>
                <w:szCs w:val="14"/>
                <w:color w:val="auto"/>
                <w:w w:val="97"/>
              </w:rPr>
              <w:t>New York Stock Exchange</w:t>
            </w:r>
          </w:p>
        </w:tc>
        <w:tc>
          <w:tcPr>
            <w:tcW w:w="0" w:type="dxa"/>
            <w:vAlign w:val="bottom"/>
          </w:tcPr>
          <w:p>
            <w:pPr>
              <w:spacing w:after="0"/>
              <w:rPr>
                <w:sz w:val="1"/>
                <w:szCs w:val="1"/>
                <w:color w:val="auto"/>
              </w:rPr>
            </w:pPr>
          </w:p>
        </w:tc>
      </w:tr>
      <w:tr>
        <w:trPr>
          <w:trHeight w:val="193"/>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color w:val="auto"/>
                <w:w w:val="98"/>
              </w:rPr>
              <w:t>2.125% Senior Notes due 2028</w:t>
            </w:r>
          </w:p>
        </w:tc>
        <w:tc>
          <w:tcPr>
            <w:tcW w:w="2700" w:type="dxa"/>
            <w:vAlign w:val="bottom"/>
            <w:gridSpan w:val="3"/>
          </w:tcPr>
          <w:p>
            <w:pPr>
              <w:jc w:val="center"/>
              <w:ind w:right="580"/>
              <w:spacing w:after="0"/>
              <w:rPr>
                <w:sz w:val="20"/>
                <w:szCs w:val="20"/>
                <w:color w:val="auto"/>
              </w:rPr>
            </w:pPr>
            <w:r>
              <w:rPr>
                <w:rFonts w:ascii="Calibri" w:cs="Calibri" w:eastAsia="Calibri" w:hAnsi="Calibri"/>
                <w:sz w:val="14"/>
                <w:szCs w:val="14"/>
                <w:color w:val="auto"/>
                <w:w w:val="96"/>
              </w:rPr>
              <w:t>ABBV28</w:t>
            </w:r>
          </w:p>
        </w:tc>
        <w:tc>
          <w:tcPr>
            <w:tcW w:w="4080" w:type="dxa"/>
            <w:vAlign w:val="bottom"/>
          </w:tcPr>
          <w:p>
            <w:pPr>
              <w:jc w:val="center"/>
              <w:ind w:right="70"/>
              <w:spacing w:after="0"/>
              <w:rPr>
                <w:sz w:val="20"/>
                <w:szCs w:val="20"/>
                <w:color w:val="auto"/>
              </w:rPr>
            </w:pPr>
            <w:r>
              <w:rPr>
                <w:rFonts w:ascii="Calibri" w:cs="Calibri" w:eastAsia="Calibri" w:hAnsi="Calibri"/>
                <w:sz w:val="14"/>
                <w:szCs w:val="14"/>
                <w:color w:val="auto"/>
                <w:w w:val="97"/>
              </w:rPr>
              <w:t>New York Stock Exchange</w:t>
            </w:r>
          </w:p>
        </w:tc>
        <w:tc>
          <w:tcPr>
            <w:tcW w:w="0" w:type="dxa"/>
            <w:vAlign w:val="bottom"/>
          </w:tcPr>
          <w:p>
            <w:pPr>
              <w:spacing w:after="0"/>
              <w:rPr>
                <w:sz w:val="1"/>
                <w:szCs w:val="1"/>
                <w:color w:val="auto"/>
              </w:rPr>
            </w:pPr>
          </w:p>
        </w:tc>
      </w:tr>
      <w:tr>
        <w:trPr>
          <w:trHeight w:val="193"/>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color w:val="auto"/>
                <w:w w:val="98"/>
              </w:rPr>
              <w:t>2.625% Senior Notes due 2028</w:t>
            </w:r>
          </w:p>
        </w:tc>
        <w:tc>
          <w:tcPr>
            <w:tcW w:w="2700" w:type="dxa"/>
            <w:vAlign w:val="bottom"/>
            <w:gridSpan w:val="3"/>
          </w:tcPr>
          <w:p>
            <w:pPr>
              <w:jc w:val="center"/>
              <w:ind w:right="580"/>
              <w:spacing w:after="0"/>
              <w:rPr>
                <w:sz w:val="20"/>
                <w:szCs w:val="20"/>
                <w:color w:val="auto"/>
              </w:rPr>
            </w:pPr>
            <w:r>
              <w:rPr>
                <w:rFonts w:ascii="Calibri" w:cs="Calibri" w:eastAsia="Calibri" w:hAnsi="Calibri"/>
                <w:sz w:val="14"/>
                <w:szCs w:val="14"/>
                <w:color w:val="auto"/>
                <w:w w:val="97"/>
              </w:rPr>
              <w:t>ABBV28B</w:t>
            </w:r>
          </w:p>
        </w:tc>
        <w:tc>
          <w:tcPr>
            <w:tcW w:w="4080" w:type="dxa"/>
            <w:vAlign w:val="bottom"/>
          </w:tcPr>
          <w:p>
            <w:pPr>
              <w:jc w:val="center"/>
              <w:ind w:right="70"/>
              <w:spacing w:after="0"/>
              <w:rPr>
                <w:sz w:val="20"/>
                <w:szCs w:val="20"/>
                <w:color w:val="auto"/>
              </w:rPr>
            </w:pPr>
            <w:r>
              <w:rPr>
                <w:rFonts w:ascii="Calibri" w:cs="Calibri" w:eastAsia="Calibri" w:hAnsi="Calibri"/>
                <w:sz w:val="14"/>
                <w:szCs w:val="14"/>
                <w:color w:val="auto"/>
                <w:w w:val="97"/>
              </w:rPr>
              <w:t>New York Stock Exchange</w:t>
            </w:r>
          </w:p>
        </w:tc>
        <w:tc>
          <w:tcPr>
            <w:tcW w:w="0" w:type="dxa"/>
            <w:vAlign w:val="bottom"/>
          </w:tcPr>
          <w:p>
            <w:pPr>
              <w:spacing w:after="0"/>
              <w:rPr>
                <w:sz w:val="1"/>
                <w:szCs w:val="1"/>
                <w:color w:val="auto"/>
              </w:rPr>
            </w:pPr>
          </w:p>
        </w:tc>
      </w:tr>
      <w:tr>
        <w:trPr>
          <w:trHeight w:val="193"/>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color w:val="auto"/>
                <w:w w:val="98"/>
              </w:rPr>
              <w:t>2.125% Senior Notes due 2029</w:t>
            </w:r>
          </w:p>
        </w:tc>
        <w:tc>
          <w:tcPr>
            <w:tcW w:w="2700" w:type="dxa"/>
            <w:vAlign w:val="bottom"/>
            <w:gridSpan w:val="3"/>
          </w:tcPr>
          <w:p>
            <w:pPr>
              <w:jc w:val="center"/>
              <w:ind w:right="580"/>
              <w:spacing w:after="0"/>
              <w:rPr>
                <w:sz w:val="20"/>
                <w:szCs w:val="20"/>
                <w:color w:val="auto"/>
              </w:rPr>
            </w:pPr>
            <w:r>
              <w:rPr>
                <w:rFonts w:ascii="Calibri" w:cs="Calibri" w:eastAsia="Calibri" w:hAnsi="Calibri"/>
                <w:sz w:val="14"/>
                <w:szCs w:val="14"/>
                <w:color w:val="auto"/>
                <w:w w:val="96"/>
              </w:rPr>
              <w:t>ABBV29</w:t>
            </w:r>
          </w:p>
        </w:tc>
        <w:tc>
          <w:tcPr>
            <w:tcW w:w="4080" w:type="dxa"/>
            <w:vAlign w:val="bottom"/>
          </w:tcPr>
          <w:p>
            <w:pPr>
              <w:jc w:val="center"/>
              <w:ind w:right="70"/>
              <w:spacing w:after="0"/>
              <w:rPr>
                <w:sz w:val="20"/>
                <w:szCs w:val="20"/>
                <w:color w:val="auto"/>
              </w:rPr>
            </w:pPr>
            <w:r>
              <w:rPr>
                <w:rFonts w:ascii="Calibri" w:cs="Calibri" w:eastAsia="Calibri" w:hAnsi="Calibri"/>
                <w:sz w:val="14"/>
                <w:szCs w:val="14"/>
                <w:color w:val="auto"/>
                <w:w w:val="97"/>
              </w:rPr>
              <w:t>New York Stock Exchange</w:t>
            </w:r>
          </w:p>
        </w:tc>
        <w:tc>
          <w:tcPr>
            <w:tcW w:w="0" w:type="dxa"/>
            <w:vAlign w:val="bottom"/>
          </w:tcPr>
          <w:p>
            <w:pPr>
              <w:spacing w:after="0"/>
              <w:rPr>
                <w:sz w:val="1"/>
                <w:szCs w:val="1"/>
                <w:color w:val="auto"/>
              </w:rPr>
            </w:pPr>
          </w:p>
        </w:tc>
      </w:tr>
      <w:tr>
        <w:trPr>
          <w:trHeight w:val="193"/>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color w:val="auto"/>
                <w:w w:val="98"/>
              </w:rPr>
              <w:t>1.250% Senior Notes due 2031</w:t>
            </w:r>
          </w:p>
        </w:tc>
        <w:tc>
          <w:tcPr>
            <w:tcW w:w="2700" w:type="dxa"/>
            <w:vAlign w:val="bottom"/>
            <w:gridSpan w:val="3"/>
          </w:tcPr>
          <w:p>
            <w:pPr>
              <w:jc w:val="center"/>
              <w:ind w:right="580"/>
              <w:spacing w:after="0"/>
              <w:rPr>
                <w:sz w:val="20"/>
                <w:szCs w:val="20"/>
                <w:color w:val="auto"/>
              </w:rPr>
            </w:pPr>
            <w:r>
              <w:rPr>
                <w:rFonts w:ascii="Calibri" w:cs="Calibri" w:eastAsia="Calibri" w:hAnsi="Calibri"/>
                <w:sz w:val="14"/>
                <w:szCs w:val="14"/>
                <w:color w:val="auto"/>
                <w:w w:val="96"/>
              </w:rPr>
              <w:t>ABBV31</w:t>
            </w:r>
          </w:p>
        </w:tc>
        <w:tc>
          <w:tcPr>
            <w:tcW w:w="4080" w:type="dxa"/>
            <w:vAlign w:val="bottom"/>
          </w:tcPr>
          <w:p>
            <w:pPr>
              <w:jc w:val="center"/>
              <w:ind w:right="70"/>
              <w:spacing w:after="0"/>
              <w:rPr>
                <w:sz w:val="20"/>
                <w:szCs w:val="20"/>
                <w:color w:val="auto"/>
              </w:rPr>
            </w:pPr>
            <w:r>
              <w:rPr>
                <w:rFonts w:ascii="Calibri" w:cs="Calibri" w:eastAsia="Calibri" w:hAnsi="Calibri"/>
                <w:sz w:val="14"/>
                <w:szCs w:val="14"/>
                <w:color w:val="auto"/>
                <w:w w:val="97"/>
              </w:rPr>
              <w:t>New York Stock Exchange</w:t>
            </w:r>
          </w:p>
        </w:tc>
        <w:tc>
          <w:tcPr>
            <w:tcW w:w="0" w:type="dxa"/>
            <w:vAlign w:val="bottom"/>
          </w:tcPr>
          <w:p>
            <w:pPr>
              <w:spacing w:after="0"/>
              <w:rPr>
                <w:sz w:val="1"/>
                <w:szCs w:val="1"/>
                <w:color w:val="auto"/>
              </w:rPr>
            </w:pPr>
          </w:p>
        </w:tc>
      </w:tr>
    </w:tbl>
    <w:p>
      <w:pPr>
        <w:spacing w:after="0" w:line="220" w:lineRule="exact"/>
        <w:rPr>
          <w:sz w:val="24"/>
          <w:szCs w:val="24"/>
          <w:color w:val="auto"/>
        </w:rPr>
      </w:pPr>
    </w:p>
    <w:p>
      <w:pPr>
        <w:spacing w:after="0"/>
        <w:rPr>
          <w:sz w:val="20"/>
          <w:szCs w:val="20"/>
          <w:color w:val="auto"/>
        </w:rPr>
      </w:pPr>
      <w:r>
        <w:rPr>
          <w:rFonts w:ascii="Calibri" w:cs="Calibri" w:eastAsia="Calibri" w:hAnsi="Calibri"/>
          <w:sz w:val="15"/>
          <w:szCs w:val="15"/>
          <w:color w:val="auto"/>
        </w:rPr>
        <w:t>As of October 28, 2024, AbbVie Inc. had 1,767,140,323 shares of common stock at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790575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 w:type="dxa"/>
            <w:vAlign w:val="bottom"/>
          </w:tcPr>
          <w:p>
            <w:pPr>
              <w:ind w:left="20"/>
              <w:spacing w:after="0"/>
              <w:rPr>
                <w:sz w:val="20"/>
                <w:szCs w:val="20"/>
                <w:color w:val="auto"/>
              </w:rPr>
            </w:pPr>
            <w:r>
              <w:rPr>
                <w:rFonts w:ascii="Calibri" w:cs="Calibri" w:eastAsia="Calibri" w:hAnsi="Calibri"/>
                <w:sz w:val="17"/>
                <w:szCs w:val="17"/>
                <w:b w:val="1"/>
                <w:bCs w:val="1"/>
                <w:color w:val="auto"/>
              </w:rPr>
              <w:t>PART I.</w:t>
            </w:r>
          </w:p>
        </w:tc>
        <w:tc>
          <w:tcPr>
            <w:tcW w:w="8680" w:type="dxa"/>
            <w:vAlign w:val="bottom"/>
          </w:tcPr>
          <w:p>
            <w:pPr>
              <w:ind w:left="220"/>
              <w:spacing w:after="0"/>
              <w:rPr>
                <w:sz w:val="20"/>
                <w:szCs w:val="20"/>
                <w:color w:val="auto"/>
              </w:rPr>
            </w:pPr>
            <w:r>
              <w:rPr>
                <w:rFonts w:ascii="Calibri" w:cs="Calibri" w:eastAsia="Calibri" w:hAnsi="Calibri"/>
                <w:sz w:val="17"/>
                <w:szCs w:val="17"/>
                <w:b w:val="1"/>
                <w:bCs w:val="1"/>
                <w:color w:val="auto"/>
              </w:rPr>
              <w:t>FINANCIAL INFORMATION</w:t>
            </w:r>
          </w:p>
        </w:tc>
        <w:tc>
          <w:tcPr>
            <w:tcW w:w="1800" w:type="dxa"/>
            <w:vAlign w:val="bottom"/>
          </w:tcPr>
          <w:p>
            <w:pPr>
              <w:spacing w:after="0"/>
              <w:rPr>
                <w:sz w:val="18"/>
                <w:szCs w:val="18"/>
                <w:color w:val="auto"/>
              </w:rPr>
            </w:pPr>
          </w:p>
        </w:tc>
      </w:tr>
      <w:tr>
        <w:trPr>
          <w:trHeight w:val="219"/>
        </w:trPr>
        <w:tc>
          <w:tcPr>
            <w:tcW w:w="76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7"/>
                <w:szCs w:val="17"/>
                <w:color w:val="auto"/>
              </w:rPr>
              <w:t>Page</w:t>
            </w:r>
          </w:p>
        </w:tc>
      </w:tr>
      <w:tr>
        <w:trPr>
          <w:trHeight w:val="477"/>
        </w:trPr>
        <w:tc>
          <w:tcPr>
            <w:tcW w:w="760" w:type="dxa"/>
            <w:vAlign w:val="bottom"/>
          </w:tcPr>
          <w:p>
            <w:pPr>
              <w:ind w:left="20"/>
              <w:spacing w:after="0"/>
              <w:rPr>
                <w:sz w:val="20"/>
                <w:szCs w:val="20"/>
                <w:color w:val="auto"/>
              </w:rPr>
            </w:pPr>
            <w:r>
              <w:rPr>
                <w:rFonts w:ascii="Calibri" w:cs="Calibri" w:eastAsia="Calibri" w:hAnsi="Calibri"/>
                <w:sz w:val="17"/>
                <w:szCs w:val="17"/>
                <w:color w:val="auto"/>
              </w:rPr>
              <w:t>Item 1.</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FINANCIAL STATEMENTS AND SUPPLEMENTARY DATA</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1</w:t>
            </w:r>
          </w:p>
        </w:tc>
      </w:tr>
      <w:tr>
        <w:trPr>
          <w:trHeight w:val="219"/>
        </w:trPr>
        <w:tc>
          <w:tcPr>
            <w:tcW w:w="760" w:type="dxa"/>
            <w:vAlign w:val="bottom"/>
          </w:tcPr>
          <w:p>
            <w:pPr>
              <w:ind w:left="20"/>
              <w:spacing w:after="0"/>
              <w:rPr>
                <w:sz w:val="20"/>
                <w:szCs w:val="20"/>
                <w:color w:val="auto"/>
              </w:rPr>
            </w:pPr>
            <w:r>
              <w:rPr>
                <w:rFonts w:ascii="Calibri" w:cs="Calibri" w:eastAsia="Calibri" w:hAnsi="Calibri"/>
                <w:sz w:val="17"/>
                <w:szCs w:val="17"/>
                <w:color w:val="auto"/>
              </w:rPr>
              <w:t>Item 2.</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MANAGEMENT’S DISCUSSION AND ANALYSIS OF FINANCIAL CONDITION AND RESULTS OF OPERATIONS</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31</w:t>
            </w:r>
          </w:p>
        </w:tc>
      </w:tr>
      <w:tr>
        <w:trPr>
          <w:trHeight w:val="219"/>
        </w:trPr>
        <w:tc>
          <w:tcPr>
            <w:tcW w:w="760" w:type="dxa"/>
            <w:vAlign w:val="bottom"/>
          </w:tcPr>
          <w:p>
            <w:pPr>
              <w:ind w:left="20"/>
              <w:spacing w:after="0"/>
              <w:rPr>
                <w:sz w:val="20"/>
                <w:szCs w:val="20"/>
                <w:color w:val="auto"/>
              </w:rPr>
            </w:pPr>
            <w:r>
              <w:rPr>
                <w:rFonts w:ascii="Calibri" w:cs="Calibri" w:eastAsia="Calibri" w:hAnsi="Calibri"/>
                <w:sz w:val="17"/>
                <w:szCs w:val="17"/>
                <w:color w:val="auto"/>
              </w:rPr>
              <w:t>Item 3.</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QUANTITATIVE AND QUALITATIVE DISCLOSURES ABOUT MARKET RISK</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42</w:t>
            </w:r>
          </w:p>
        </w:tc>
      </w:tr>
      <w:tr>
        <w:trPr>
          <w:trHeight w:val="219"/>
        </w:trPr>
        <w:tc>
          <w:tcPr>
            <w:tcW w:w="760" w:type="dxa"/>
            <w:vAlign w:val="bottom"/>
          </w:tcPr>
          <w:p>
            <w:pPr>
              <w:ind w:left="20"/>
              <w:spacing w:after="0"/>
              <w:rPr>
                <w:sz w:val="20"/>
                <w:szCs w:val="20"/>
                <w:color w:val="auto"/>
              </w:rPr>
            </w:pPr>
            <w:r>
              <w:rPr>
                <w:rFonts w:ascii="Calibri" w:cs="Calibri" w:eastAsia="Calibri" w:hAnsi="Calibri"/>
                <w:sz w:val="17"/>
                <w:szCs w:val="17"/>
                <w:color w:val="auto"/>
              </w:rPr>
              <w:t>Item 4.</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CONTROLS AND PROCEDURES</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42</w:t>
            </w:r>
          </w:p>
        </w:tc>
      </w:tr>
      <w:tr>
        <w:trPr>
          <w:trHeight w:val="477"/>
        </w:trPr>
        <w:tc>
          <w:tcPr>
            <w:tcW w:w="760" w:type="dxa"/>
            <w:vAlign w:val="bottom"/>
          </w:tcPr>
          <w:p>
            <w:pPr>
              <w:ind w:left="20"/>
              <w:spacing w:after="0"/>
              <w:rPr>
                <w:sz w:val="20"/>
                <w:szCs w:val="20"/>
                <w:color w:val="auto"/>
              </w:rPr>
            </w:pPr>
            <w:r>
              <w:rPr>
                <w:rFonts w:ascii="Calibri" w:cs="Calibri" w:eastAsia="Calibri" w:hAnsi="Calibri"/>
                <w:sz w:val="17"/>
                <w:szCs w:val="17"/>
                <w:b w:val="1"/>
                <w:bCs w:val="1"/>
                <w:color w:val="auto"/>
              </w:rPr>
              <w:t>PART II.</w:t>
            </w:r>
          </w:p>
        </w:tc>
        <w:tc>
          <w:tcPr>
            <w:tcW w:w="8680" w:type="dxa"/>
            <w:vAlign w:val="bottom"/>
          </w:tcPr>
          <w:p>
            <w:pPr>
              <w:ind w:left="220"/>
              <w:spacing w:after="0"/>
              <w:rPr>
                <w:sz w:val="20"/>
                <w:szCs w:val="20"/>
                <w:color w:val="auto"/>
              </w:rPr>
            </w:pPr>
            <w:r>
              <w:rPr>
                <w:rFonts w:ascii="Calibri" w:cs="Calibri" w:eastAsia="Calibri" w:hAnsi="Calibri"/>
                <w:sz w:val="17"/>
                <w:szCs w:val="17"/>
                <w:b w:val="1"/>
                <w:bCs w:val="1"/>
                <w:color w:val="auto"/>
              </w:rPr>
              <w:t>OTHER INFORMATION</w:t>
            </w:r>
          </w:p>
        </w:tc>
        <w:tc>
          <w:tcPr>
            <w:tcW w:w="1800" w:type="dxa"/>
            <w:vAlign w:val="bottom"/>
          </w:tcPr>
          <w:p>
            <w:pPr>
              <w:spacing w:after="0"/>
              <w:rPr>
                <w:sz w:val="24"/>
                <w:szCs w:val="24"/>
                <w:color w:val="auto"/>
              </w:rPr>
            </w:pPr>
          </w:p>
        </w:tc>
      </w:tr>
      <w:tr>
        <w:trPr>
          <w:trHeight w:val="477"/>
        </w:trPr>
        <w:tc>
          <w:tcPr>
            <w:tcW w:w="760" w:type="dxa"/>
            <w:vAlign w:val="bottom"/>
          </w:tcPr>
          <w:p>
            <w:pPr>
              <w:ind w:left="20"/>
              <w:spacing w:after="0"/>
              <w:rPr>
                <w:sz w:val="20"/>
                <w:szCs w:val="20"/>
                <w:color w:val="auto"/>
              </w:rPr>
            </w:pPr>
            <w:r>
              <w:rPr>
                <w:rFonts w:ascii="Calibri" w:cs="Calibri" w:eastAsia="Calibri" w:hAnsi="Calibri"/>
                <w:sz w:val="17"/>
                <w:szCs w:val="17"/>
                <w:color w:val="auto"/>
              </w:rPr>
              <w:t>Item 1.</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LEGAL PROCEEDINGS</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44</w:t>
            </w:r>
          </w:p>
        </w:tc>
      </w:tr>
      <w:tr>
        <w:trPr>
          <w:trHeight w:val="219"/>
        </w:trPr>
        <w:tc>
          <w:tcPr>
            <w:tcW w:w="760" w:type="dxa"/>
            <w:vAlign w:val="bottom"/>
          </w:tcPr>
          <w:p>
            <w:pPr>
              <w:ind w:left="20"/>
              <w:spacing w:after="0"/>
              <w:rPr>
                <w:sz w:val="20"/>
                <w:szCs w:val="20"/>
                <w:color w:val="auto"/>
              </w:rPr>
            </w:pPr>
            <w:r>
              <w:rPr>
                <w:rFonts w:ascii="Calibri" w:cs="Calibri" w:eastAsia="Calibri" w:hAnsi="Calibri"/>
                <w:sz w:val="17"/>
                <w:szCs w:val="17"/>
                <w:color w:val="auto"/>
              </w:rPr>
              <w:t>Item 2.</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UNREGISTERED SALES OF EQUITY SECURITIES AND USE OF PROCEEDS</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44</w:t>
            </w:r>
          </w:p>
        </w:tc>
      </w:tr>
      <w:tr>
        <w:trPr>
          <w:trHeight w:val="219"/>
        </w:trPr>
        <w:tc>
          <w:tcPr>
            <w:tcW w:w="760" w:type="dxa"/>
            <w:vAlign w:val="bottom"/>
          </w:tcPr>
          <w:p>
            <w:pPr>
              <w:ind w:left="20"/>
              <w:spacing w:after="0"/>
              <w:rPr>
                <w:sz w:val="20"/>
                <w:szCs w:val="20"/>
                <w:color w:val="auto"/>
              </w:rPr>
            </w:pPr>
            <w:r>
              <w:rPr>
                <w:rFonts w:ascii="Calibri" w:cs="Calibri" w:eastAsia="Calibri" w:hAnsi="Calibri"/>
                <w:sz w:val="17"/>
                <w:szCs w:val="17"/>
                <w:color w:val="auto"/>
              </w:rPr>
              <w:t>Item 5.</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OTHER ITEMS</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44</w:t>
            </w:r>
          </w:p>
        </w:tc>
      </w:tr>
      <w:tr>
        <w:trPr>
          <w:trHeight w:val="219"/>
        </w:trPr>
        <w:tc>
          <w:tcPr>
            <w:tcW w:w="760" w:type="dxa"/>
            <w:vAlign w:val="bottom"/>
          </w:tcPr>
          <w:p>
            <w:pPr>
              <w:ind w:left="20"/>
              <w:spacing w:after="0"/>
              <w:rPr>
                <w:sz w:val="20"/>
                <w:szCs w:val="20"/>
                <w:color w:val="auto"/>
              </w:rPr>
            </w:pPr>
            <w:r>
              <w:rPr>
                <w:rFonts w:ascii="Calibri" w:cs="Calibri" w:eastAsia="Calibri" w:hAnsi="Calibri"/>
                <w:sz w:val="17"/>
                <w:szCs w:val="17"/>
                <w:color w:val="auto"/>
              </w:rPr>
              <w:t>Item 6.</w:t>
            </w:r>
          </w:p>
        </w:tc>
        <w:tc>
          <w:tcPr>
            <w:tcW w:w="8680" w:type="dxa"/>
            <w:vAlign w:val="bottom"/>
          </w:tcPr>
          <w:p>
            <w:pPr>
              <w:ind w:left="220"/>
              <w:spacing w:after="0"/>
              <w:rPr>
                <w:sz w:val="20"/>
                <w:szCs w:val="20"/>
                <w:color w:val="auto"/>
              </w:rPr>
            </w:pPr>
            <w:r>
              <w:rPr>
                <w:rFonts w:ascii="Calibri" w:cs="Calibri" w:eastAsia="Calibri" w:hAnsi="Calibri"/>
                <w:sz w:val="17"/>
                <w:szCs w:val="17"/>
                <w:color w:val="auto"/>
              </w:rPr>
              <w:t>EXHIBITS</w:t>
            </w:r>
          </w:p>
        </w:tc>
        <w:tc>
          <w:tcPr>
            <w:tcW w:w="1800" w:type="dxa"/>
            <w:vAlign w:val="bottom"/>
          </w:tcPr>
          <w:p>
            <w:pPr>
              <w:jc w:val="right"/>
              <w:spacing w:after="0"/>
              <w:rPr>
                <w:sz w:val="20"/>
                <w:szCs w:val="20"/>
                <w:color w:val="auto"/>
              </w:rPr>
            </w:pPr>
            <w:r>
              <w:rPr>
                <w:rFonts w:ascii="Calibri" w:cs="Calibri" w:eastAsia="Calibri" w:hAnsi="Calibri"/>
                <w:sz w:val="17"/>
                <w:szCs w:val="17"/>
                <w:color w:val="auto"/>
              </w:rPr>
              <w:t>45</w:t>
            </w:r>
          </w:p>
        </w:tc>
      </w:tr>
      <w:tr>
        <w:trPr>
          <w:trHeight w:val="1382"/>
        </w:trPr>
        <w:tc>
          <w:tcPr>
            <w:tcW w:w="76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 w:name="page3"/>
    <w:bookmarkEnd w:id="2"/>
    <w:p>
      <w:pPr>
        <w:spacing w:after="0"/>
        <w:rPr>
          <w:sz w:val="20"/>
          <w:szCs w:val="20"/>
          <w:color w:val="auto"/>
        </w:rPr>
      </w:pPr>
      <w:r>
        <w:rPr>
          <w:rFonts w:ascii="Calibri" w:cs="Calibri" w:eastAsia="Calibri" w:hAnsi="Calibri"/>
          <w:sz w:val="21"/>
          <w:szCs w:val="21"/>
          <w:b w:val="1"/>
          <w:bCs w:val="1"/>
          <w:color w:val="444867"/>
        </w:rPr>
        <w:t>PART I. FINANCIAL INFORMATION</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ITEM 1.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Condensed Consolidated Statements of Earnings (unaudited)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260" w:type="dxa"/>
            <w:vAlign w:val="bottom"/>
            <w:gridSpan w:val="3"/>
          </w:tcPr>
          <w:p>
            <w:pPr>
              <w:jc w:val="right"/>
              <w:ind w:right="198"/>
              <w:spacing w:after="0"/>
              <w:rPr>
                <w:sz w:val="20"/>
                <w:szCs w:val="20"/>
                <w:color w:val="auto"/>
              </w:rPr>
            </w:pPr>
            <w:r>
              <w:rPr>
                <w:rFonts w:ascii="Calibri" w:cs="Calibri" w:eastAsia="Calibri" w:hAnsi="Calibri"/>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2"/>
          </w:tcPr>
          <w:p>
            <w:pPr>
              <w:jc w:val="right"/>
              <w:ind w:right="378"/>
              <w:spacing w:after="0" w:line="164" w:lineRule="exact"/>
              <w:rPr>
                <w:sz w:val="20"/>
                <w:szCs w:val="20"/>
                <w:color w:val="auto"/>
              </w:rPr>
            </w:pPr>
            <w:r>
              <w:rPr>
                <w:rFonts w:ascii="Calibri" w:cs="Calibri" w:eastAsia="Calibri" w:hAnsi="Calibri"/>
                <w:sz w:val="14"/>
                <w:szCs w:val="14"/>
                <w:b w:val="1"/>
                <w:bCs w:val="1"/>
                <w:color w:val="auto"/>
              </w:rPr>
              <w:t>September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74"/>
              <w:spacing w:after="0" w:line="164" w:lineRule="exact"/>
              <w:rPr>
                <w:sz w:val="20"/>
                <w:szCs w:val="20"/>
                <w:color w:val="auto"/>
              </w:rPr>
            </w:pPr>
            <w:r>
              <w:rPr>
                <w:rFonts w:ascii="Calibri" w:cs="Calibri" w:eastAsia="Calibri" w:hAnsi="Calibri"/>
                <w:sz w:val="14"/>
                <w:szCs w:val="14"/>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5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per share data)</w:t>
            </w: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40" w:type="dxa"/>
            <w:vAlign w:val="bottom"/>
            <w:vMerge w:val="continue"/>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76"/>
              <w:spacing w:after="0" w:line="156" w:lineRule="exact"/>
              <w:rPr>
                <w:sz w:val="20"/>
                <w:szCs w:val="20"/>
                <w:color w:val="auto"/>
              </w:rPr>
            </w:pPr>
            <w:r>
              <w:rPr>
                <w:rFonts w:ascii="Calibri" w:cs="Calibri" w:eastAsia="Calibri" w:hAnsi="Calibri"/>
                <w:sz w:val="14"/>
                <w:szCs w:val="14"/>
                <w:b w:val="1"/>
                <w:bCs w:val="1"/>
                <w:color w:val="auto"/>
              </w:rPr>
              <w:t>2024</w:t>
            </w:r>
          </w:p>
        </w:tc>
        <w:tc>
          <w:tcPr>
            <w:tcW w:w="600" w:type="dxa"/>
            <w:vAlign w:val="bottom"/>
          </w:tcPr>
          <w:p>
            <w:pPr>
              <w:spacing w:after="0"/>
              <w:rPr>
                <w:sz w:val="13"/>
                <w:szCs w:val="13"/>
                <w:color w:val="auto"/>
              </w:rPr>
            </w:pPr>
          </w:p>
        </w:tc>
        <w:tc>
          <w:tcPr>
            <w:tcW w:w="820" w:type="dxa"/>
            <w:vAlign w:val="bottom"/>
          </w:tcPr>
          <w:p>
            <w:pPr>
              <w:jc w:val="right"/>
              <w:ind w:right="455"/>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5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Net revenues</w:t>
            </w:r>
          </w:p>
        </w:tc>
        <w:tc>
          <w:tcPr>
            <w:tcW w:w="800" w:type="dxa"/>
            <w:vAlign w:val="bottom"/>
            <w:shd w:val="clear" w:color="auto" w:fill="CCEEFF"/>
          </w:tcPr>
          <w:p>
            <w:pPr>
              <w:jc w:val="right"/>
              <w:ind w:right="620"/>
              <w:spacing w:after="0" w:line="205" w:lineRule="exact"/>
              <w:rPr>
                <w:sz w:val="20"/>
                <w:szCs w:val="20"/>
                <w:color w:val="auto"/>
              </w:rPr>
            </w:pPr>
            <w:r>
              <w:rPr>
                <w:rFonts w:ascii="Calibri" w:cs="Calibri" w:eastAsia="Calibri" w:hAnsi="Calibri"/>
                <w:sz w:val="17"/>
                <w:szCs w:val="17"/>
                <w:color w:val="auto"/>
                <w:w w:val="92"/>
              </w:rPr>
              <w:t>$</w:t>
            </w:r>
          </w:p>
        </w:tc>
        <w:tc>
          <w:tcPr>
            <w:tcW w:w="580" w:type="dxa"/>
            <w:vAlign w:val="bottom"/>
            <w:shd w:val="clear" w:color="auto" w:fill="CCEEFF"/>
          </w:tcPr>
          <w:p>
            <w:pPr>
              <w:jc w:val="right"/>
              <w:ind w:right="15"/>
              <w:spacing w:after="0" w:line="205" w:lineRule="exact"/>
              <w:rPr>
                <w:sz w:val="20"/>
                <w:szCs w:val="20"/>
                <w:color w:val="auto"/>
              </w:rPr>
            </w:pPr>
            <w:r>
              <w:rPr>
                <w:rFonts w:ascii="Calibri" w:cs="Calibri" w:eastAsia="Calibri" w:hAnsi="Calibri"/>
                <w:sz w:val="17"/>
                <w:szCs w:val="17"/>
                <w:color w:val="auto"/>
                <w:w w:val="97"/>
              </w:rPr>
              <w:t>14,460</w:t>
            </w:r>
          </w:p>
        </w:tc>
        <w:tc>
          <w:tcPr>
            <w:tcW w:w="880" w:type="dxa"/>
            <w:vAlign w:val="bottom"/>
            <w:shd w:val="clear" w:color="auto" w:fill="CCEEFF"/>
          </w:tcPr>
          <w:p>
            <w:pPr>
              <w:jc w:val="right"/>
              <w:ind w:right="638"/>
              <w:spacing w:after="0" w:line="205" w:lineRule="exact"/>
              <w:rPr>
                <w:sz w:val="20"/>
                <w:szCs w:val="20"/>
                <w:color w:val="auto"/>
              </w:rPr>
            </w:pPr>
            <w:r>
              <w:rPr>
                <w:rFonts w:ascii="Calibri" w:cs="Calibri" w:eastAsia="Calibri" w:hAnsi="Calibri"/>
                <w:sz w:val="17"/>
                <w:szCs w:val="17"/>
                <w:color w:val="auto"/>
              </w:rPr>
              <w:t>$</w:t>
            </w:r>
          </w:p>
        </w:tc>
        <w:tc>
          <w:tcPr>
            <w:tcW w:w="5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w w:val="92"/>
              </w:rPr>
              <w:t>13,927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shd w:val="clear" w:color="auto" w:fill="CCEEFF"/>
          </w:tcPr>
          <w:p>
            <w:pPr>
              <w:jc w:val="right"/>
              <w:ind w:right="16"/>
              <w:spacing w:after="0" w:line="205" w:lineRule="exact"/>
              <w:rPr>
                <w:sz w:val="20"/>
                <w:szCs w:val="20"/>
                <w:color w:val="auto"/>
              </w:rPr>
            </w:pPr>
            <w:r>
              <w:rPr>
                <w:rFonts w:ascii="Calibri" w:cs="Calibri" w:eastAsia="Calibri" w:hAnsi="Calibri"/>
                <w:sz w:val="17"/>
                <w:szCs w:val="17"/>
                <w:color w:val="auto"/>
              </w:rPr>
              <w:t>41,232</w:t>
            </w:r>
          </w:p>
        </w:tc>
        <w:tc>
          <w:tcPr>
            <w:tcW w:w="600" w:type="dxa"/>
            <w:vAlign w:val="bottom"/>
            <w:shd w:val="clear" w:color="auto" w:fill="CCEEFF"/>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40,017</w:t>
            </w:r>
          </w:p>
        </w:tc>
        <w:tc>
          <w:tcPr>
            <w:tcW w:w="0" w:type="dxa"/>
            <w:vAlign w:val="bottom"/>
          </w:tcPr>
          <w:p>
            <w:pPr>
              <w:spacing w:after="0"/>
              <w:rPr>
                <w:sz w:val="1"/>
                <w:szCs w:val="1"/>
                <w:color w:val="auto"/>
              </w:rPr>
            </w:pPr>
          </w:p>
        </w:tc>
      </w:tr>
      <w:tr>
        <w:trPr>
          <w:trHeight w:val="258"/>
        </w:trPr>
        <w:tc>
          <w:tcPr>
            <w:tcW w:w="5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Cost of products sold</w:t>
            </w: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
              <w:spacing w:after="0" w:line="205" w:lineRule="exact"/>
              <w:rPr>
                <w:sz w:val="20"/>
                <w:szCs w:val="20"/>
                <w:color w:val="auto"/>
              </w:rPr>
            </w:pPr>
            <w:r>
              <w:rPr>
                <w:rFonts w:ascii="Calibri" w:cs="Calibri" w:eastAsia="Calibri" w:hAnsi="Calibri"/>
                <w:sz w:val="17"/>
                <w:szCs w:val="17"/>
                <w:color w:val="auto"/>
              </w:rPr>
              <w:t>4,212</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line="205" w:lineRule="exact"/>
              <w:rPr>
                <w:sz w:val="20"/>
                <w:szCs w:val="20"/>
                <w:color w:val="auto"/>
              </w:rPr>
            </w:pPr>
            <w:r>
              <w:rPr>
                <w:rFonts w:ascii="Calibri" w:cs="Calibri" w:eastAsia="Calibri" w:hAnsi="Calibri"/>
                <w:sz w:val="17"/>
                <w:szCs w:val="17"/>
                <w:color w:val="auto"/>
              </w:rPr>
              <w:t>12,508</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14,711</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Selling, general and administratve</w:t>
            </w:r>
          </w:p>
        </w:tc>
        <w:tc>
          <w:tcPr>
            <w:tcW w:w="800" w:type="dxa"/>
            <w:vAlign w:val="bottom"/>
          </w:tcPr>
          <w:p>
            <w:pPr>
              <w:spacing w:after="0"/>
              <w:rPr>
                <w:sz w:val="18"/>
                <w:szCs w:val="18"/>
                <w:color w:val="auto"/>
              </w:rPr>
            </w:pPr>
          </w:p>
        </w:tc>
        <w:tc>
          <w:tcPr>
            <w:tcW w:w="580" w:type="dxa"/>
            <w:vAlign w:val="bottom"/>
          </w:tcPr>
          <w:p>
            <w:pPr>
              <w:jc w:val="right"/>
              <w:ind w:right="15"/>
              <w:spacing w:after="0" w:line="205" w:lineRule="exact"/>
              <w:rPr>
                <w:sz w:val="20"/>
                <w:szCs w:val="20"/>
                <w:color w:val="auto"/>
              </w:rPr>
            </w:pPr>
            <w:r>
              <w:rPr>
                <w:rFonts w:ascii="Calibri" w:cs="Calibri" w:eastAsia="Calibri" w:hAnsi="Calibri"/>
                <w:sz w:val="17"/>
                <w:szCs w:val="17"/>
                <w:color w:val="auto"/>
              </w:rPr>
              <w:t>4,205</w:t>
            </w:r>
          </w:p>
        </w:tc>
        <w:tc>
          <w:tcPr>
            <w:tcW w:w="880" w:type="dxa"/>
            <w:vAlign w:val="bottom"/>
          </w:tcPr>
          <w:p>
            <w:pPr>
              <w:spacing w:after="0"/>
              <w:rPr>
                <w:sz w:val="18"/>
                <w:szCs w:val="18"/>
                <w:color w:val="auto"/>
              </w:rPr>
            </w:pPr>
          </w:p>
        </w:tc>
        <w:tc>
          <w:tcPr>
            <w:tcW w:w="540" w:type="dxa"/>
            <w:vAlign w:val="bottom"/>
          </w:tcPr>
          <w:p>
            <w:pPr>
              <w:jc w:val="right"/>
              <w:spacing w:after="0" w:line="205" w:lineRule="exact"/>
              <w:rPr>
                <w:sz w:val="20"/>
                <w:szCs w:val="20"/>
                <w:color w:val="auto"/>
              </w:rPr>
            </w:pPr>
            <w:r>
              <w:rPr>
                <w:rFonts w:ascii="Calibri" w:cs="Calibri" w:eastAsia="Calibri" w:hAnsi="Calibri"/>
                <w:sz w:val="17"/>
                <w:szCs w:val="17"/>
                <w:color w:val="auto"/>
              </w:rPr>
              <w:t>3,372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line="205" w:lineRule="exact"/>
              <w:rPr>
                <w:sz w:val="20"/>
                <w:szCs w:val="20"/>
                <w:color w:val="auto"/>
              </w:rPr>
            </w:pPr>
            <w:r>
              <w:rPr>
                <w:rFonts w:ascii="Calibri" w:cs="Calibri" w:eastAsia="Calibri" w:hAnsi="Calibri"/>
                <w:sz w:val="17"/>
                <w:szCs w:val="17"/>
                <w:color w:val="auto"/>
              </w:rPr>
              <w:t>10,897</w:t>
            </w:r>
          </w:p>
        </w:tc>
        <w:tc>
          <w:tcPr>
            <w:tcW w:w="6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9,679</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Research and development</w:t>
            </w: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
              <w:spacing w:after="0"/>
              <w:rPr>
                <w:sz w:val="20"/>
                <w:szCs w:val="20"/>
                <w:color w:val="auto"/>
              </w:rPr>
            </w:pPr>
            <w:r>
              <w:rPr>
                <w:rFonts w:ascii="Calibri" w:cs="Calibri" w:eastAsia="Calibri" w:hAnsi="Calibri"/>
                <w:sz w:val="17"/>
                <w:szCs w:val="17"/>
                <w:color w:val="auto"/>
              </w:rPr>
              <w:t>2,130</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Calibri" w:cs="Calibri" w:eastAsia="Calibri" w:hAnsi="Calibri"/>
                <w:sz w:val="17"/>
                <w:szCs w:val="17"/>
                <w:color w:val="auto"/>
              </w:rPr>
              <w:t>6,017</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5,748</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Acquired IPR&amp;D and milestones</w:t>
            </w:r>
          </w:p>
        </w:tc>
        <w:tc>
          <w:tcPr>
            <w:tcW w:w="800" w:type="dxa"/>
            <w:vAlign w:val="bottom"/>
          </w:tcPr>
          <w:p>
            <w:pPr>
              <w:spacing w:after="0"/>
              <w:rPr>
                <w:sz w:val="18"/>
                <w:szCs w:val="18"/>
                <w:color w:val="auto"/>
              </w:rPr>
            </w:pPr>
          </w:p>
        </w:tc>
        <w:tc>
          <w:tcPr>
            <w:tcW w:w="580" w:type="dxa"/>
            <w:vAlign w:val="bottom"/>
          </w:tcPr>
          <w:p>
            <w:pPr>
              <w:jc w:val="right"/>
              <w:ind w:right="15"/>
              <w:spacing w:after="0" w:line="205" w:lineRule="exact"/>
              <w:rPr>
                <w:sz w:val="20"/>
                <w:szCs w:val="20"/>
                <w:color w:val="auto"/>
              </w:rPr>
            </w:pPr>
            <w:r>
              <w:rPr>
                <w:rFonts w:ascii="Calibri" w:cs="Calibri" w:eastAsia="Calibri" w:hAnsi="Calibri"/>
                <w:sz w:val="17"/>
                <w:szCs w:val="17"/>
                <w:color w:val="auto"/>
              </w:rPr>
              <w:t>82</w:t>
            </w:r>
          </w:p>
        </w:tc>
        <w:tc>
          <w:tcPr>
            <w:tcW w:w="880" w:type="dxa"/>
            <w:vAlign w:val="bottom"/>
          </w:tcPr>
          <w:p>
            <w:pPr>
              <w:spacing w:after="0"/>
              <w:rPr>
                <w:sz w:val="18"/>
                <w:szCs w:val="18"/>
                <w:color w:val="auto"/>
              </w:rPr>
            </w:pPr>
          </w:p>
        </w:tc>
        <w:tc>
          <w:tcPr>
            <w:tcW w:w="540" w:type="dxa"/>
            <w:vAlign w:val="bottom"/>
          </w:tcPr>
          <w:p>
            <w:pPr>
              <w:jc w:val="right"/>
              <w:spacing w:after="0" w:line="205" w:lineRule="exact"/>
              <w:rPr>
                <w:sz w:val="20"/>
                <w:szCs w:val="20"/>
                <w:color w:val="auto"/>
              </w:rPr>
            </w:pPr>
            <w:r>
              <w:rPr>
                <w:rFonts w:ascii="Calibri" w:cs="Calibri" w:eastAsia="Calibri" w:hAnsi="Calibri"/>
                <w:sz w:val="17"/>
                <w:szCs w:val="17"/>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line="205" w:lineRule="exact"/>
              <w:rPr>
                <w:sz w:val="20"/>
                <w:szCs w:val="20"/>
                <w:color w:val="auto"/>
              </w:rPr>
            </w:pPr>
            <w:r>
              <w:rPr>
                <w:rFonts w:ascii="Calibri" w:cs="Calibri" w:eastAsia="Calibri" w:hAnsi="Calibri"/>
                <w:sz w:val="17"/>
                <w:szCs w:val="17"/>
                <w:color w:val="auto"/>
              </w:rPr>
              <w:t>1,183</w:t>
            </w:r>
          </w:p>
        </w:tc>
        <w:tc>
          <w:tcPr>
            <w:tcW w:w="6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496</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Other operatng income</w:t>
            </w: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160"/>
              <w:spacing w:after="0"/>
              <w:rPr>
                <w:sz w:val="20"/>
                <w:szCs w:val="20"/>
                <w:color w:val="auto"/>
              </w:rPr>
            </w:pPr>
            <w:r>
              <w:rPr>
                <w:rFonts w:ascii="Calibri" w:cs="Calibri" w:eastAsia="Calibri" w:hAnsi="Calibri"/>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7"/>
                <w:szCs w:val="17"/>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(179)</w:t>
            </w:r>
          </w:p>
        </w:tc>
        <w:tc>
          <w:tcPr>
            <w:tcW w:w="0" w:type="dxa"/>
            <w:vAlign w:val="bottom"/>
          </w:tcPr>
          <w:p>
            <w:pPr>
              <w:spacing w:after="0"/>
              <w:rPr>
                <w:sz w:val="1"/>
                <w:szCs w:val="1"/>
                <w:color w:val="auto"/>
              </w:rPr>
            </w:pPr>
          </w:p>
        </w:tc>
      </w:tr>
      <w:tr>
        <w:trPr>
          <w:trHeight w:val="212"/>
        </w:trPr>
        <w:tc>
          <w:tcPr>
            <w:tcW w:w="55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operatng costs and expenses</w:t>
            </w:r>
          </w:p>
        </w:tc>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
              <w:spacing w:after="0" w:line="205" w:lineRule="exact"/>
              <w:rPr>
                <w:sz w:val="20"/>
                <w:szCs w:val="20"/>
                <w:color w:val="auto"/>
              </w:rPr>
            </w:pPr>
            <w:r>
              <w:rPr>
                <w:rFonts w:ascii="Calibri" w:cs="Calibri" w:eastAsia="Calibri" w:hAnsi="Calibri"/>
                <w:sz w:val="17"/>
                <w:szCs w:val="17"/>
                <w:color w:val="auto"/>
                <w:w w:val="97"/>
              </w:rPr>
              <w:t>10,629</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11,646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line="205" w:lineRule="exact"/>
              <w:rPr>
                <w:sz w:val="20"/>
                <w:szCs w:val="20"/>
                <w:color w:val="auto"/>
              </w:rPr>
            </w:pPr>
            <w:r>
              <w:rPr>
                <w:rFonts w:ascii="Calibri" w:cs="Calibri" w:eastAsia="Calibri" w:hAnsi="Calibri"/>
                <w:sz w:val="17"/>
                <w:szCs w:val="17"/>
                <w:color w:val="auto"/>
              </w:rPr>
              <w:t>30,605</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30,455</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Operatng earnings</w:t>
            </w: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
              <w:spacing w:after="0" w:line="205" w:lineRule="exact"/>
              <w:rPr>
                <w:sz w:val="20"/>
                <w:szCs w:val="20"/>
                <w:color w:val="auto"/>
              </w:rPr>
            </w:pPr>
            <w:r>
              <w:rPr>
                <w:rFonts w:ascii="Calibri" w:cs="Calibri" w:eastAsia="Calibri" w:hAnsi="Calibri"/>
                <w:sz w:val="17"/>
                <w:szCs w:val="17"/>
                <w:color w:val="auto"/>
              </w:rPr>
              <w:t>3,831</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line="205" w:lineRule="exact"/>
              <w:rPr>
                <w:sz w:val="20"/>
                <w:szCs w:val="20"/>
                <w:color w:val="auto"/>
              </w:rPr>
            </w:pPr>
            <w:r>
              <w:rPr>
                <w:rFonts w:ascii="Calibri" w:cs="Calibri" w:eastAsia="Calibri" w:hAnsi="Calibri"/>
                <w:sz w:val="17"/>
                <w:szCs w:val="17"/>
                <w:color w:val="auto"/>
              </w:rPr>
              <w:t>10,627</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9,562</w:t>
            </w:r>
          </w:p>
        </w:tc>
        <w:tc>
          <w:tcPr>
            <w:tcW w:w="0" w:type="dxa"/>
            <w:vAlign w:val="bottom"/>
          </w:tcPr>
          <w:p>
            <w:pPr>
              <w:spacing w:after="0"/>
              <w:rPr>
                <w:sz w:val="1"/>
                <w:szCs w:val="1"/>
                <w:color w:val="auto"/>
              </w:rPr>
            </w:pPr>
          </w:p>
        </w:tc>
      </w:tr>
      <w:tr>
        <w:trPr>
          <w:trHeight w:val="258"/>
        </w:trPr>
        <w:tc>
          <w:tcPr>
            <w:tcW w:w="5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Interest expense, net</w:t>
            </w: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
              <w:spacing w:after="0" w:line="205" w:lineRule="exact"/>
              <w:rPr>
                <w:sz w:val="20"/>
                <w:szCs w:val="20"/>
                <w:color w:val="auto"/>
              </w:rPr>
            </w:pPr>
            <w:r>
              <w:rPr>
                <w:rFonts w:ascii="Calibri" w:cs="Calibri" w:eastAsia="Calibri" w:hAnsi="Calibri"/>
                <w:sz w:val="17"/>
                <w:szCs w:val="17"/>
                <w:color w:val="auto"/>
              </w:rPr>
              <w:t>591</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line="205" w:lineRule="exact"/>
              <w:rPr>
                <w:sz w:val="20"/>
                <w:szCs w:val="20"/>
                <w:color w:val="auto"/>
              </w:rPr>
            </w:pPr>
            <w:r>
              <w:rPr>
                <w:rFonts w:ascii="Calibri" w:cs="Calibri" w:eastAsia="Calibri" w:hAnsi="Calibri"/>
                <w:sz w:val="17"/>
                <w:szCs w:val="17"/>
                <w:color w:val="auto"/>
              </w:rPr>
              <w:t>1,550</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1,306</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Net foreign exchange loss (gain)</w:t>
            </w:r>
          </w:p>
        </w:tc>
        <w:tc>
          <w:tcPr>
            <w:tcW w:w="80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(3)</w:t>
            </w:r>
          </w:p>
        </w:tc>
        <w:tc>
          <w:tcPr>
            <w:tcW w:w="880" w:type="dxa"/>
            <w:vAlign w:val="bottom"/>
          </w:tcPr>
          <w:p>
            <w:pPr>
              <w:spacing w:after="0"/>
              <w:rPr>
                <w:sz w:val="18"/>
                <w:szCs w:val="18"/>
                <w:color w:val="auto"/>
              </w:rPr>
            </w:pPr>
          </w:p>
        </w:tc>
        <w:tc>
          <w:tcPr>
            <w:tcW w:w="540" w:type="dxa"/>
            <w:vAlign w:val="bottom"/>
          </w:tcPr>
          <w:p>
            <w:pPr>
              <w:jc w:val="right"/>
              <w:spacing w:after="0" w:line="205" w:lineRule="exact"/>
              <w:rPr>
                <w:sz w:val="20"/>
                <w:szCs w:val="20"/>
                <w:color w:val="auto"/>
              </w:rPr>
            </w:pPr>
            <w:r>
              <w:rPr>
                <w:rFonts w:ascii="Calibri" w:cs="Calibri" w:eastAsia="Calibri" w:hAnsi="Calibri"/>
                <w:sz w:val="17"/>
                <w:szCs w:val="17"/>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line="205" w:lineRule="exact"/>
              <w:rPr>
                <w:sz w:val="20"/>
                <w:szCs w:val="20"/>
                <w:color w:val="auto"/>
              </w:rPr>
            </w:pPr>
            <w:r>
              <w:rPr>
                <w:rFonts w:ascii="Calibri" w:cs="Calibri" w:eastAsia="Calibri" w:hAnsi="Calibri"/>
                <w:sz w:val="17"/>
                <w:szCs w:val="17"/>
                <w:color w:val="auto"/>
              </w:rPr>
              <w:t>2</w:t>
            </w:r>
          </w:p>
        </w:tc>
        <w:tc>
          <w:tcPr>
            <w:tcW w:w="6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97</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Other expense (income), net</w:t>
            </w: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7"/>
                <w:szCs w:val="17"/>
                <w:color w:val="auto"/>
              </w:rPr>
              <w:t>1,159</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(95)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7"/>
                <w:szCs w:val="17"/>
                <w:color w:val="auto"/>
              </w:rPr>
              <w:t>3,090</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3,121</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Earnings before income tax expense</w:t>
            </w:r>
          </w:p>
        </w:tc>
        <w:tc>
          <w:tcPr>
            <w:tcW w:w="800" w:type="dxa"/>
            <w:vAlign w:val="bottom"/>
          </w:tcPr>
          <w:p>
            <w:pPr>
              <w:spacing w:after="0"/>
              <w:rPr>
                <w:sz w:val="18"/>
                <w:szCs w:val="18"/>
                <w:color w:val="auto"/>
              </w:rPr>
            </w:pPr>
          </w:p>
        </w:tc>
        <w:tc>
          <w:tcPr>
            <w:tcW w:w="580" w:type="dxa"/>
            <w:vAlign w:val="bottom"/>
          </w:tcPr>
          <w:p>
            <w:pPr>
              <w:jc w:val="right"/>
              <w:ind w:right="15"/>
              <w:spacing w:after="0" w:line="205" w:lineRule="exact"/>
              <w:rPr>
                <w:sz w:val="20"/>
                <w:szCs w:val="20"/>
                <w:color w:val="auto"/>
              </w:rPr>
            </w:pPr>
            <w:r>
              <w:rPr>
                <w:rFonts w:ascii="Calibri" w:cs="Calibri" w:eastAsia="Calibri" w:hAnsi="Calibri"/>
                <w:sz w:val="17"/>
                <w:szCs w:val="17"/>
                <w:color w:val="auto"/>
              </w:rPr>
              <w:t>2,084</w:t>
            </w:r>
          </w:p>
        </w:tc>
        <w:tc>
          <w:tcPr>
            <w:tcW w:w="880" w:type="dxa"/>
            <w:vAlign w:val="bottom"/>
          </w:tcPr>
          <w:p>
            <w:pPr>
              <w:spacing w:after="0"/>
              <w:rPr>
                <w:sz w:val="18"/>
                <w:szCs w:val="18"/>
                <w:color w:val="auto"/>
              </w:rPr>
            </w:pPr>
          </w:p>
        </w:tc>
        <w:tc>
          <w:tcPr>
            <w:tcW w:w="540" w:type="dxa"/>
            <w:vAlign w:val="bottom"/>
          </w:tcPr>
          <w:p>
            <w:pPr>
              <w:jc w:val="right"/>
              <w:spacing w:after="0" w:line="205" w:lineRule="exact"/>
              <w:rPr>
                <w:sz w:val="20"/>
                <w:szCs w:val="20"/>
                <w:color w:val="auto"/>
              </w:rPr>
            </w:pPr>
            <w:r>
              <w:rPr>
                <w:rFonts w:ascii="Calibri" w:cs="Calibri" w:eastAsia="Calibri" w:hAnsi="Calibri"/>
                <w:sz w:val="17"/>
                <w:szCs w:val="17"/>
                <w:color w:val="auto"/>
              </w:rPr>
              <w:t>1,953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line="205" w:lineRule="exact"/>
              <w:rPr>
                <w:sz w:val="20"/>
                <w:szCs w:val="20"/>
                <w:color w:val="auto"/>
              </w:rPr>
            </w:pPr>
            <w:r>
              <w:rPr>
                <w:rFonts w:ascii="Calibri" w:cs="Calibri" w:eastAsia="Calibri" w:hAnsi="Calibri"/>
                <w:sz w:val="17"/>
                <w:szCs w:val="17"/>
                <w:color w:val="auto"/>
              </w:rPr>
              <w:t>5,985</w:t>
            </w:r>
          </w:p>
        </w:tc>
        <w:tc>
          <w:tcPr>
            <w:tcW w:w="6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5,038</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Income tax expense</w:t>
            </w: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7"/>
                <w:szCs w:val="17"/>
                <w:color w:val="auto"/>
              </w:rPr>
              <w:t>520</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172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7"/>
                <w:szCs w:val="17"/>
                <w:color w:val="auto"/>
              </w:rPr>
              <w:t>1,676</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989</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Net earnings</w:t>
            </w:r>
          </w:p>
        </w:tc>
        <w:tc>
          <w:tcPr>
            <w:tcW w:w="800" w:type="dxa"/>
            <w:vAlign w:val="bottom"/>
          </w:tcPr>
          <w:p>
            <w:pPr>
              <w:spacing w:after="0"/>
              <w:rPr>
                <w:sz w:val="18"/>
                <w:szCs w:val="18"/>
                <w:color w:val="auto"/>
              </w:rPr>
            </w:pPr>
          </w:p>
        </w:tc>
        <w:tc>
          <w:tcPr>
            <w:tcW w:w="580" w:type="dxa"/>
            <w:vAlign w:val="bottom"/>
          </w:tcPr>
          <w:p>
            <w:pPr>
              <w:jc w:val="right"/>
              <w:ind w:right="15"/>
              <w:spacing w:after="0" w:line="205" w:lineRule="exact"/>
              <w:rPr>
                <w:sz w:val="20"/>
                <w:szCs w:val="20"/>
                <w:color w:val="auto"/>
              </w:rPr>
            </w:pPr>
            <w:r>
              <w:rPr>
                <w:rFonts w:ascii="Calibri" w:cs="Calibri" w:eastAsia="Calibri" w:hAnsi="Calibri"/>
                <w:sz w:val="17"/>
                <w:szCs w:val="17"/>
                <w:color w:val="auto"/>
              </w:rPr>
              <w:t>1,564</w:t>
            </w:r>
          </w:p>
        </w:tc>
        <w:tc>
          <w:tcPr>
            <w:tcW w:w="880" w:type="dxa"/>
            <w:vAlign w:val="bottom"/>
          </w:tcPr>
          <w:p>
            <w:pPr>
              <w:spacing w:after="0"/>
              <w:rPr>
                <w:sz w:val="18"/>
                <w:szCs w:val="18"/>
                <w:color w:val="auto"/>
              </w:rPr>
            </w:pPr>
          </w:p>
        </w:tc>
        <w:tc>
          <w:tcPr>
            <w:tcW w:w="540" w:type="dxa"/>
            <w:vAlign w:val="bottom"/>
          </w:tcPr>
          <w:p>
            <w:pPr>
              <w:jc w:val="right"/>
              <w:spacing w:after="0" w:line="205" w:lineRule="exact"/>
              <w:rPr>
                <w:sz w:val="20"/>
                <w:szCs w:val="20"/>
                <w:color w:val="auto"/>
              </w:rPr>
            </w:pPr>
            <w:r>
              <w:rPr>
                <w:rFonts w:ascii="Calibri" w:cs="Calibri" w:eastAsia="Calibri" w:hAnsi="Calibri"/>
                <w:sz w:val="17"/>
                <w:szCs w:val="17"/>
                <w:color w:val="auto"/>
              </w:rPr>
              <w:t>1,781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line="205" w:lineRule="exact"/>
              <w:rPr>
                <w:sz w:val="20"/>
                <w:szCs w:val="20"/>
                <w:color w:val="auto"/>
              </w:rPr>
            </w:pPr>
            <w:r>
              <w:rPr>
                <w:rFonts w:ascii="Calibri" w:cs="Calibri" w:eastAsia="Calibri" w:hAnsi="Calibri"/>
                <w:sz w:val="17"/>
                <w:szCs w:val="17"/>
                <w:color w:val="auto"/>
              </w:rPr>
              <w:t>4,309</w:t>
            </w:r>
          </w:p>
        </w:tc>
        <w:tc>
          <w:tcPr>
            <w:tcW w:w="6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4,049</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Net earnings atributable to noncontrolling interest</w:t>
            </w: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7"/>
                <w:szCs w:val="17"/>
                <w:color w:val="auto"/>
              </w:rPr>
              <w:t>3</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7"/>
                <w:szCs w:val="17"/>
                <w:color w:val="auto"/>
              </w:rPr>
              <w:t>9</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8</w:t>
            </w:r>
          </w:p>
        </w:tc>
        <w:tc>
          <w:tcPr>
            <w:tcW w:w="0" w:type="dxa"/>
            <w:vAlign w:val="bottom"/>
          </w:tcPr>
          <w:p>
            <w:pPr>
              <w:spacing w:after="0"/>
              <w:rPr>
                <w:sz w:val="1"/>
                <w:szCs w:val="1"/>
                <w:color w:val="auto"/>
              </w:rPr>
            </w:pPr>
          </w:p>
        </w:tc>
      </w:tr>
      <w:tr>
        <w:trPr>
          <w:trHeight w:val="212"/>
        </w:trPr>
        <w:tc>
          <w:tcPr>
            <w:tcW w:w="55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Net earnings atributable to AbbVie Inc.</w:t>
            </w:r>
          </w:p>
        </w:tc>
        <w:tc>
          <w:tcPr>
            <w:tcW w:w="800" w:type="dxa"/>
            <w:vAlign w:val="bottom"/>
            <w:tcBorders>
              <w:bottom w:val="single" w:sz="8" w:color="auto"/>
            </w:tcBorders>
          </w:tcPr>
          <w:p>
            <w:pPr>
              <w:jc w:val="right"/>
              <w:ind w:right="620"/>
              <w:spacing w:after="0" w:line="205" w:lineRule="exact"/>
              <w:rPr>
                <w:sz w:val="20"/>
                <w:szCs w:val="20"/>
                <w:color w:val="auto"/>
              </w:rPr>
            </w:pPr>
            <w:r>
              <w:rPr>
                <w:rFonts w:ascii="Calibri" w:cs="Calibri" w:eastAsia="Calibri" w:hAnsi="Calibri"/>
                <w:sz w:val="17"/>
                <w:szCs w:val="17"/>
                <w:color w:val="auto"/>
                <w:w w:val="92"/>
              </w:rPr>
              <w:t>$</w:t>
            </w:r>
          </w:p>
        </w:tc>
        <w:tc>
          <w:tcPr>
            <w:tcW w:w="580" w:type="dxa"/>
            <w:vAlign w:val="bottom"/>
            <w:tcBorders>
              <w:bottom w:val="single" w:sz="8" w:color="auto"/>
            </w:tcBorders>
          </w:tcPr>
          <w:p>
            <w:pPr>
              <w:jc w:val="right"/>
              <w:ind w:right="15"/>
              <w:spacing w:after="0" w:line="205" w:lineRule="exact"/>
              <w:rPr>
                <w:sz w:val="20"/>
                <w:szCs w:val="20"/>
                <w:color w:val="auto"/>
              </w:rPr>
            </w:pPr>
            <w:r>
              <w:rPr>
                <w:rFonts w:ascii="Calibri" w:cs="Calibri" w:eastAsia="Calibri" w:hAnsi="Calibri"/>
                <w:sz w:val="17"/>
                <w:szCs w:val="17"/>
                <w:color w:val="auto"/>
              </w:rPr>
              <w:t>1,561</w:t>
            </w:r>
          </w:p>
        </w:tc>
        <w:tc>
          <w:tcPr>
            <w:tcW w:w="880" w:type="dxa"/>
            <w:vAlign w:val="bottom"/>
            <w:tcBorders>
              <w:bottom w:val="single" w:sz="8" w:color="auto"/>
            </w:tcBorders>
          </w:tcPr>
          <w:p>
            <w:pPr>
              <w:jc w:val="right"/>
              <w:ind w:right="638"/>
              <w:spacing w:after="0" w:line="205" w:lineRule="exact"/>
              <w:rPr>
                <w:sz w:val="20"/>
                <w:szCs w:val="20"/>
                <w:color w:val="auto"/>
              </w:rPr>
            </w:pPr>
            <w:r>
              <w:rPr>
                <w:rFonts w:ascii="Calibri" w:cs="Calibri" w:eastAsia="Calibri" w:hAnsi="Calibri"/>
                <w:sz w:val="17"/>
                <w:szCs w:val="17"/>
                <w:color w:val="auto"/>
              </w:rPr>
              <w:t>$</w:t>
            </w:r>
          </w:p>
        </w:tc>
        <w:tc>
          <w:tcPr>
            <w:tcW w:w="5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1,778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ind w:right="16"/>
              <w:spacing w:after="0" w:line="205" w:lineRule="exact"/>
              <w:rPr>
                <w:sz w:val="20"/>
                <w:szCs w:val="20"/>
                <w:color w:val="auto"/>
              </w:rPr>
            </w:pPr>
            <w:r>
              <w:rPr>
                <w:rFonts w:ascii="Calibri" w:cs="Calibri" w:eastAsia="Calibri" w:hAnsi="Calibri"/>
                <w:sz w:val="17"/>
                <w:szCs w:val="17"/>
                <w:color w:val="auto"/>
              </w:rPr>
              <w:t>4,300</w:t>
            </w:r>
          </w:p>
        </w:tc>
        <w:tc>
          <w:tcPr>
            <w:tcW w:w="60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4,041</w:t>
            </w:r>
          </w:p>
        </w:tc>
        <w:tc>
          <w:tcPr>
            <w:tcW w:w="0" w:type="dxa"/>
            <w:vAlign w:val="bottom"/>
          </w:tcPr>
          <w:p>
            <w:pPr>
              <w:spacing w:after="0"/>
              <w:rPr>
                <w:sz w:val="1"/>
                <w:szCs w:val="1"/>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5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Per share data</w:t>
            </w:r>
          </w:p>
        </w:tc>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Basic earnings per share atributable to AbbVie Inc.</w:t>
            </w:r>
          </w:p>
        </w:tc>
        <w:tc>
          <w:tcPr>
            <w:tcW w:w="800" w:type="dxa"/>
            <w:vAlign w:val="bottom"/>
            <w:shd w:val="clear" w:color="auto" w:fill="CCEEFF"/>
          </w:tcPr>
          <w:p>
            <w:pPr>
              <w:jc w:val="right"/>
              <w:ind w:right="620"/>
              <w:spacing w:after="0" w:line="205" w:lineRule="exact"/>
              <w:rPr>
                <w:sz w:val="20"/>
                <w:szCs w:val="20"/>
                <w:color w:val="auto"/>
              </w:rPr>
            </w:pPr>
            <w:r>
              <w:rPr>
                <w:rFonts w:ascii="Calibri" w:cs="Calibri" w:eastAsia="Calibri" w:hAnsi="Calibri"/>
                <w:sz w:val="17"/>
                <w:szCs w:val="17"/>
                <w:color w:val="auto"/>
                <w:w w:val="92"/>
              </w:rPr>
              <w:t>$</w:t>
            </w:r>
          </w:p>
        </w:tc>
        <w:tc>
          <w:tcPr>
            <w:tcW w:w="580" w:type="dxa"/>
            <w:vAlign w:val="bottom"/>
            <w:shd w:val="clear" w:color="auto" w:fill="CCEEFF"/>
          </w:tcPr>
          <w:p>
            <w:pPr>
              <w:jc w:val="right"/>
              <w:ind w:right="15"/>
              <w:spacing w:after="0" w:line="205" w:lineRule="exact"/>
              <w:rPr>
                <w:sz w:val="20"/>
                <w:szCs w:val="20"/>
                <w:color w:val="auto"/>
              </w:rPr>
            </w:pPr>
            <w:r>
              <w:rPr>
                <w:rFonts w:ascii="Calibri" w:cs="Calibri" w:eastAsia="Calibri" w:hAnsi="Calibri"/>
                <w:sz w:val="17"/>
                <w:szCs w:val="17"/>
                <w:color w:val="auto"/>
              </w:rPr>
              <w:t>0.88</w:t>
            </w:r>
          </w:p>
        </w:tc>
        <w:tc>
          <w:tcPr>
            <w:tcW w:w="880" w:type="dxa"/>
            <w:vAlign w:val="bottom"/>
            <w:shd w:val="clear" w:color="auto" w:fill="CCEEFF"/>
          </w:tcPr>
          <w:p>
            <w:pPr>
              <w:jc w:val="right"/>
              <w:ind w:right="638"/>
              <w:spacing w:after="0" w:line="205" w:lineRule="exact"/>
              <w:rPr>
                <w:sz w:val="20"/>
                <w:szCs w:val="20"/>
                <w:color w:val="auto"/>
              </w:rPr>
            </w:pPr>
            <w:r>
              <w:rPr>
                <w:rFonts w:ascii="Calibri" w:cs="Calibri" w:eastAsia="Calibri" w:hAnsi="Calibri"/>
                <w:sz w:val="17"/>
                <w:szCs w:val="17"/>
                <w:color w:val="auto"/>
              </w:rPr>
              <w:t>$</w:t>
            </w:r>
          </w:p>
        </w:tc>
        <w:tc>
          <w:tcPr>
            <w:tcW w:w="5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shd w:val="clear" w:color="auto" w:fill="CCEEFF"/>
          </w:tcPr>
          <w:p>
            <w:pPr>
              <w:jc w:val="right"/>
              <w:ind w:right="16"/>
              <w:spacing w:after="0" w:line="205" w:lineRule="exact"/>
              <w:rPr>
                <w:sz w:val="20"/>
                <w:szCs w:val="20"/>
                <w:color w:val="auto"/>
              </w:rPr>
            </w:pPr>
            <w:r>
              <w:rPr>
                <w:rFonts w:ascii="Calibri" w:cs="Calibri" w:eastAsia="Calibri" w:hAnsi="Calibri"/>
                <w:sz w:val="17"/>
                <w:szCs w:val="17"/>
                <w:color w:val="auto"/>
              </w:rPr>
              <w:t>2.41</w:t>
            </w:r>
          </w:p>
        </w:tc>
        <w:tc>
          <w:tcPr>
            <w:tcW w:w="600" w:type="dxa"/>
            <w:vAlign w:val="bottom"/>
            <w:shd w:val="clear" w:color="auto" w:fill="CCEEFF"/>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2.27</w:t>
            </w:r>
          </w:p>
        </w:tc>
        <w:tc>
          <w:tcPr>
            <w:tcW w:w="0" w:type="dxa"/>
            <w:vAlign w:val="bottom"/>
          </w:tcPr>
          <w:p>
            <w:pPr>
              <w:spacing w:after="0"/>
              <w:rPr>
                <w:sz w:val="1"/>
                <w:szCs w:val="1"/>
                <w:color w:val="auto"/>
              </w:rPr>
            </w:pPr>
          </w:p>
        </w:tc>
      </w:tr>
      <w:tr>
        <w:trPr>
          <w:trHeight w:val="212"/>
        </w:trPr>
        <w:tc>
          <w:tcPr>
            <w:tcW w:w="55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Diluted earnings per share atributable to AbbVie Inc.</w:t>
            </w:r>
          </w:p>
        </w:tc>
        <w:tc>
          <w:tcPr>
            <w:tcW w:w="800" w:type="dxa"/>
            <w:vAlign w:val="bottom"/>
            <w:tcBorders>
              <w:bottom w:val="single" w:sz="8" w:color="auto"/>
            </w:tcBorders>
          </w:tcPr>
          <w:p>
            <w:pPr>
              <w:jc w:val="right"/>
              <w:ind w:right="620"/>
              <w:spacing w:after="0" w:line="205" w:lineRule="exact"/>
              <w:rPr>
                <w:sz w:val="20"/>
                <w:szCs w:val="20"/>
                <w:color w:val="auto"/>
              </w:rPr>
            </w:pPr>
            <w:r>
              <w:rPr>
                <w:rFonts w:ascii="Calibri" w:cs="Calibri" w:eastAsia="Calibri" w:hAnsi="Calibri"/>
                <w:sz w:val="17"/>
                <w:szCs w:val="17"/>
                <w:color w:val="auto"/>
                <w:w w:val="92"/>
              </w:rPr>
              <w:t>$</w:t>
            </w:r>
          </w:p>
        </w:tc>
        <w:tc>
          <w:tcPr>
            <w:tcW w:w="580" w:type="dxa"/>
            <w:vAlign w:val="bottom"/>
            <w:tcBorders>
              <w:bottom w:val="single" w:sz="8" w:color="auto"/>
            </w:tcBorders>
          </w:tcPr>
          <w:p>
            <w:pPr>
              <w:jc w:val="right"/>
              <w:ind w:right="15"/>
              <w:spacing w:after="0" w:line="205" w:lineRule="exact"/>
              <w:rPr>
                <w:sz w:val="20"/>
                <w:szCs w:val="20"/>
                <w:color w:val="auto"/>
              </w:rPr>
            </w:pPr>
            <w:r>
              <w:rPr>
                <w:rFonts w:ascii="Calibri" w:cs="Calibri" w:eastAsia="Calibri" w:hAnsi="Calibri"/>
                <w:sz w:val="17"/>
                <w:szCs w:val="17"/>
                <w:color w:val="auto"/>
              </w:rPr>
              <w:t>0.88</w:t>
            </w:r>
          </w:p>
        </w:tc>
        <w:tc>
          <w:tcPr>
            <w:tcW w:w="880" w:type="dxa"/>
            <w:vAlign w:val="bottom"/>
            <w:tcBorders>
              <w:bottom w:val="single" w:sz="8" w:color="auto"/>
            </w:tcBorders>
          </w:tcPr>
          <w:p>
            <w:pPr>
              <w:jc w:val="right"/>
              <w:ind w:right="638"/>
              <w:spacing w:after="0" w:line="205" w:lineRule="exact"/>
              <w:rPr>
                <w:sz w:val="20"/>
                <w:szCs w:val="20"/>
                <w:color w:val="auto"/>
              </w:rPr>
            </w:pPr>
            <w:r>
              <w:rPr>
                <w:rFonts w:ascii="Calibri" w:cs="Calibri" w:eastAsia="Calibri" w:hAnsi="Calibri"/>
                <w:sz w:val="17"/>
                <w:szCs w:val="17"/>
                <w:color w:val="auto"/>
              </w:rPr>
              <w:t>$</w:t>
            </w:r>
          </w:p>
        </w:tc>
        <w:tc>
          <w:tcPr>
            <w:tcW w:w="5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ind w:right="16"/>
              <w:spacing w:after="0" w:line="205" w:lineRule="exact"/>
              <w:rPr>
                <w:sz w:val="20"/>
                <w:szCs w:val="20"/>
                <w:color w:val="auto"/>
              </w:rPr>
            </w:pPr>
            <w:r>
              <w:rPr>
                <w:rFonts w:ascii="Calibri" w:cs="Calibri" w:eastAsia="Calibri" w:hAnsi="Calibri"/>
                <w:sz w:val="17"/>
                <w:szCs w:val="17"/>
                <w:color w:val="auto"/>
              </w:rPr>
              <w:t>2.41</w:t>
            </w:r>
          </w:p>
        </w:tc>
        <w:tc>
          <w:tcPr>
            <w:tcW w:w="60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2.26</w:t>
            </w:r>
          </w:p>
        </w:tc>
        <w:tc>
          <w:tcPr>
            <w:tcW w:w="0" w:type="dxa"/>
            <w:vAlign w:val="bottom"/>
          </w:tcPr>
          <w:p>
            <w:pPr>
              <w:spacing w:after="0"/>
              <w:rPr>
                <w:sz w:val="1"/>
                <w:szCs w:val="1"/>
                <w:color w:val="auto"/>
              </w:rPr>
            </w:pPr>
          </w:p>
        </w:tc>
      </w:tr>
      <w:tr>
        <w:trPr>
          <w:trHeight w:val="245"/>
        </w:trPr>
        <w:tc>
          <w:tcPr>
            <w:tcW w:w="55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Weighted-average basic shares outstanding</w:t>
            </w:r>
          </w:p>
        </w:tc>
        <w:tc>
          <w:tcPr>
            <w:tcW w:w="800" w:type="dxa"/>
            <w:vAlign w:val="bottom"/>
          </w:tcPr>
          <w:p>
            <w:pPr>
              <w:spacing w:after="0"/>
              <w:rPr>
                <w:sz w:val="18"/>
                <w:szCs w:val="18"/>
                <w:color w:val="auto"/>
              </w:rPr>
            </w:pPr>
          </w:p>
        </w:tc>
        <w:tc>
          <w:tcPr>
            <w:tcW w:w="580" w:type="dxa"/>
            <w:vAlign w:val="bottom"/>
          </w:tcPr>
          <w:p>
            <w:pPr>
              <w:jc w:val="right"/>
              <w:ind w:right="15"/>
              <w:spacing w:after="0" w:line="205" w:lineRule="exact"/>
              <w:rPr>
                <w:sz w:val="20"/>
                <w:szCs w:val="20"/>
                <w:color w:val="auto"/>
              </w:rPr>
            </w:pPr>
            <w:r>
              <w:rPr>
                <w:rFonts w:ascii="Calibri" w:cs="Calibri" w:eastAsia="Calibri" w:hAnsi="Calibri"/>
                <w:sz w:val="17"/>
                <w:szCs w:val="17"/>
                <w:color w:val="auto"/>
              </w:rPr>
              <w:t>1,769</w:t>
            </w:r>
          </w:p>
        </w:tc>
        <w:tc>
          <w:tcPr>
            <w:tcW w:w="880" w:type="dxa"/>
            <w:vAlign w:val="bottom"/>
          </w:tcPr>
          <w:p>
            <w:pPr>
              <w:spacing w:after="0"/>
              <w:rPr>
                <w:sz w:val="18"/>
                <w:szCs w:val="18"/>
                <w:color w:val="auto"/>
              </w:rPr>
            </w:pPr>
          </w:p>
        </w:tc>
        <w:tc>
          <w:tcPr>
            <w:tcW w:w="540" w:type="dxa"/>
            <w:vAlign w:val="bottom"/>
          </w:tcPr>
          <w:p>
            <w:pPr>
              <w:jc w:val="right"/>
              <w:spacing w:after="0" w:line="205" w:lineRule="exact"/>
              <w:rPr>
                <w:sz w:val="20"/>
                <w:szCs w:val="20"/>
                <w:color w:val="auto"/>
              </w:rPr>
            </w:pPr>
            <w:r>
              <w:rPr>
                <w:rFonts w:ascii="Calibri" w:cs="Calibri" w:eastAsia="Calibri" w:hAnsi="Calibri"/>
                <w:sz w:val="17"/>
                <w:szCs w:val="17"/>
                <w:color w:val="auto"/>
              </w:rPr>
              <w:t>1,767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line="205" w:lineRule="exact"/>
              <w:rPr>
                <w:sz w:val="20"/>
                <w:szCs w:val="20"/>
                <w:color w:val="auto"/>
              </w:rPr>
            </w:pPr>
            <w:r>
              <w:rPr>
                <w:rFonts w:ascii="Calibri" w:cs="Calibri" w:eastAsia="Calibri" w:hAnsi="Calibri"/>
                <w:sz w:val="17"/>
                <w:szCs w:val="17"/>
                <w:color w:val="auto"/>
              </w:rPr>
              <w:t>1,769</w:t>
            </w:r>
          </w:p>
        </w:tc>
        <w:tc>
          <w:tcPr>
            <w:tcW w:w="6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1,768</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Weighted-average diluted shares outstanding</w:t>
            </w: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7"/>
                <w:szCs w:val="17"/>
                <w:color w:val="auto"/>
              </w:rPr>
              <w:t>1,772</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1,771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7"/>
                <w:szCs w:val="17"/>
                <w:color w:val="auto"/>
              </w:rPr>
              <w:t>1,772</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1,772</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374650</wp:posOffset>
            </wp:positionV>
            <wp:extent cx="491490" cy="90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1</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 w:name="page4"/>
    <w:bookmarkEnd w:id="3"/>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Condensed Consolidated Statements of Comprehensive Income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center"/>
              <w:ind w:right="320"/>
              <w:spacing w:after="0"/>
              <w:rPr>
                <w:sz w:val="20"/>
                <w:szCs w:val="20"/>
                <w:color w:val="auto"/>
              </w:rPr>
            </w:pPr>
            <w:r>
              <w:rPr>
                <w:rFonts w:ascii="Calibri" w:cs="Calibri" w:eastAsia="Calibri" w:hAnsi="Calibri"/>
                <w:sz w:val="14"/>
                <w:szCs w:val="14"/>
                <w:b w:val="1"/>
                <w:bCs w:val="1"/>
                <w:color w:val="auto"/>
                <w:w w:val="97"/>
              </w:rPr>
              <w:t>Three months ended</w:t>
            </w:r>
          </w:p>
        </w:tc>
        <w:tc>
          <w:tcPr>
            <w:tcW w:w="220" w:type="dxa"/>
            <w:vAlign w:val="bottom"/>
          </w:tcPr>
          <w:p>
            <w:pPr>
              <w:spacing w:after="0"/>
              <w:rPr>
                <w:sz w:val="14"/>
                <w:szCs w:val="14"/>
                <w:color w:val="auto"/>
              </w:rPr>
            </w:pPr>
          </w:p>
        </w:tc>
        <w:tc>
          <w:tcPr>
            <w:tcW w:w="1840" w:type="dxa"/>
            <w:vAlign w:val="bottom"/>
            <w:gridSpan w:val="3"/>
          </w:tcPr>
          <w:p>
            <w:pPr>
              <w:jc w:val="right"/>
              <w:ind w:right="376"/>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center"/>
              <w:ind w:right="320"/>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220" w:type="dxa"/>
            <w:vAlign w:val="bottom"/>
          </w:tcPr>
          <w:p>
            <w:pPr>
              <w:spacing w:after="0"/>
              <w:rPr>
                <w:sz w:val="14"/>
                <w:szCs w:val="14"/>
                <w:color w:val="auto"/>
              </w:rPr>
            </w:pPr>
          </w:p>
        </w:tc>
        <w:tc>
          <w:tcPr>
            <w:tcW w:w="1840" w:type="dxa"/>
            <w:vAlign w:val="bottom"/>
            <w:gridSpan w:val="3"/>
          </w:tcPr>
          <w:p>
            <w:pPr>
              <w:jc w:val="right"/>
              <w:ind w:right="536"/>
              <w:spacing w:after="0" w:line="164" w:lineRule="exact"/>
              <w:rPr>
                <w:sz w:val="20"/>
                <w:szCs w:val="20"/>
                <w:color w:val="auto"/>
              </w:rPr>
            </w:pPr>
            <w:r>
              <w:rPr>
                <w:rFonts w:ascii="Calibri" w:cs="Calibri" w:eastAsia="Calibri" w:hAnsi="Calibri"/>
                <w:sz w:val="14"/>
                <w:szCs w:val="14"/>
                <w:b w:val="1"/>
                <w:bCs w:val="1"/>
                <w:color w:val="auto"/>
              </w:rPr>
              <w:t>September 30,</w:t>
            </w:r>
          </w:p>
        </w:tc>
        <w:tc>
          <w:tcPr>
            <w:tcW w:w="0" w:type="dxa"/>
            <w:vAlign w:val="bottom"/>
          </w:tcPr>
          <w:p>
            <w:pPr>
              <w:spacing w:after="0"/>
              <w:rPr>
                <w:sz w:val="1"/>
                <w:szCs w:val="1"/>
                <w:color w:val="auto"/>
              </w:rPr>
            </w:pPr>
          </w:p>
        </w:tc>
      </w:tr>
      <w:tr>
        <w:trPr>
          <w:trHeight w:val="30"/>
        </w:trPr>
        <w:tc>
          <w:tcPr>
            <w:tcW w:w="70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18"/>
              <w:spacing w:after="0" w:line="156"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3"/>
                <w:szCs w:val="13"/>
                <w:color w:val="auto"/>
              </w:rPr>
            </w:pPr>
          </w:p>
        </w:tc>
        <w:tc>
          <w:tcPr>
            <w:tcW w:w="760" w:type="dxa"/>
            <w:vAlign w:val="bottom"/>
          </w:tcPr>
          <w:p>
            <w:pPr>
              <w:jc w:val="right"/>
              <w:ind w:right="276"/>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8"/>
              <w:spacing w:after="0" w:line="156"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3"/>
                <w:szCs w:val="13"/>
                <w:color w:val="auto"/>
              </w:rPr>
            </w:pPr>
          </w:p>
        </w:tc>
        <w:tc>
          <w:tcPr>
            <w:tcW w:w="740" w:type="dxa"/>
            <w:vAlign w:val="bottom"/>
          </w:tcPr>
          <w:p>
            <w:pPr>
              <w:jc w:val="right"/>
              <w:ind w:right="256"/>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7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Net earnings</w:t>
            </w:r>
          </w:p>
        </w:tc>
        <w:tc>
          <w:tcPr>
            <w:tcW w:w="220" w:type="dxa"/>
            <w:vAlign w:val="bottom"/>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80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1,564</w:t>
            </w:r>
          </w:p>
        </w:tc>
        <w:tc>
          <w:tcPr>
            <w:tcW w:w="280" w:type="dxa"/>
            <w:vAlign w:val="bottom"/>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7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80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4,309</w:t>
            </w:r>
          </w:p>
        </w:tc>
        <w:tc>
          <w:tcPr>
            <w:tcW w:w="30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7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4,049</w:t>
            </w:r>
          </w:p>
        </w:tc>
        <w:tc>
          <w:tcPr>
            <w:tcW w:w="0" w:type="dxa"/>
            <w:vAlign w:val="bottom"/>
          </w:tcPr>
          <w:p>
            <w:pPr>
              <w:spacing w:after="0"/>
              <w:rPr>
                <w:sz w:val="1"/>
                <w:szCs w:val="1"/>
                <w:color w:val="auto"/>
              </w:rPr>
            </w:pPr>
          </w:p>
        </w:tc>
      </w:tr>
      <w:tr>
        <w:trPr>
          <w:trHeight w:val="258"/>
        </w:trPr>
        <w:tc>
          <w:tcPr>
            <w:tcW w:w="7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7020" w:type="dxa"/>
            <w:vAlign w:val="bottom"/>
            <w:shd w:val="clear" w:color="auto" w:fill="CCEEFF"/>
          </w:tcPr>
          <w:p>
            <w:pPr>
              <w:ind w:left="20"/>
              <w:spacing w:after="0" w:line="160" w:lineRule="exact"/>
              <w:rPr>
                <w:sz w:val="20"/>
                <w:szCs w:val="20"/>
                <w:color w:val="auto"/>
              </w:rPr>
            </w:pPr>
            <w:r>
              <w:rPr>
                <w:rFonts w:ascii="Calibri" w:cs="Calibri" w:eastAsia="Calibri" w:hAnsi="Calibri"/>
                <w:sz w:val="17"/>
                <w:szCs w:val="17"/>
                <w:color w:val="auto"/>
                <w:w w:val="99"/>
              </w:rPr>
              <w:t>Foreign currency translaton adjustments, net of tax expense (beneft) of $25 for the three months and</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20" w:type="dxa"/>
            <w:vAlign w:val="bottom"/>
            <w:shd w:val="clear" w:color="auto" w:fill="CCEEFF"/>
          </w:tcPr>
          <w:p>
            <w:pPr>
              <w:ind w:left="20"/>
              <w:spacing w:after="0" w:line="180" w:lineRule="exact"/>
              <w:rPr>
                <w:sz w:val="20"/>
                <w:szCs w:val="20"/>
                <w:color w:val="auto"/>
              </w:rPr>
            </w:pPr>
            <w:r>
              <w:rPr>
                <w:rFonts w:ascii="Calibri" w:cs="Calibri" w:eastAsia="Calibri" w:hAnsi="Calibri"/>
                <w:sz w:val="17"/>
                <w:szCs w:val="17"/>
                <w:color w:val="auto"/>
                <w:w w:val="98"/>
              </w:rPr>
              <w:t>$1 the nine months ended September 30, 2024 and $(17) for the three months and $(11) nine months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20" w:type="dxa"/>
            <w:vAlign w:val="bottom"/>
            <w:tcBorders>
              <w:bottom w:val="single" w:sz="8" w:color="CCEEFF"/>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ended September 30, 2023</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574</w:t>
            </w: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21</w:t>
            </w: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(279)</w:t>
            </w:r>
          </w:p>
        </w:tc>
        <w:tc>
          <w:tcPr>
            <w:tcW w:w="0" w:type="dxa"/>
            <w:vAlign w:val="bottom"/>
          </w:tcPr>
          <w:p>
            <w:pPr>
              <w:spacing w:after="0"/>
              <w:rPr>
                <w:sz w:val="1"/>
                <w:szCs w:val="1"/>
                <w:color w:val="auto"/>
              </w:rPr>
            </w:pPr>
          </w:p>
        </w:tc>
      </w:tr>
      <w:tr>
        <w:trPr>
          <w:trHeight w:val="159"/>
        </w:trPr>
        <w:tc>
          <w:tcPr>
            <w:tcW w:w="7020" w:type="dxa"/>
            <w:vAlign w:val="bottom"/>
          </w:tcPr>
          <w:p>
            <w:pPr>
              <w:ind w:left="20"/>
              <w:spacing w:after="0" w:line="160" w:lineRule="exact"/>
              <w:rPr>
                <w:sz w:val="20"/>
                <w:szCs w:val="20"/>
                <w:color w:val="auto"/>
              </w:rPr>
            </w:pPr>
            <w:r>
              <w:rPr>
                <w:rFonts w:ascii="Calibri" w:cs="Calibri" w:eastAsia="Calibri" w:hAnsi="Calibri"/>
                <w:sz w:val="17"/>
                <w:szCs w:val="17"/>
                <w:color w:val="auto"/>
              </w:rPr>
              <w:t>Net investment hedging actvites, net of tax expense (beneft) of $(91) for the three months and $(11)</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20" w:type="dxa"/>
            <w:vAlign w:val="bottom"/>
          </w:tcPr>
          <w:p>
            <w:pPr>
              <w:ind w:left="20"/>
              <w:spacing w:after="0" w:line="180" w:lineRule="exact"/>
              <w:rPr>
                <w:sz w:val="20"/>
                <w:szCs w:val="20"/>
                <w:color w:val="auto"/>
              </w:rPr>
            </w:pPr>
            <w:r>
              <w:rPr>
                <w:rFonts w:ascii="Calibri" w:cs="Calibri" w:eastAsia="Calibri" w:hAnsi="Calibri"/>
                <w:sz w:val="17"/>
                <w:szCs w:val="17"/>
                <w:color w:val="auto"/>
              </w:rPr>
              <w:t>for the nine months ended September 30, 2024 and $84 for the three months and $26 nine months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020" w:type="dxa"/>
            <w:vAlign w:val="bottom"/>
          </w:tcPr>
          <w:p>
            <w:pPr>
              <w:ind w:left="20"/>
              <w:spacing w:after="0" w:line="205" w:lineRule="exact"/>
              <w:rPr>
                <w:sz w:val="20"/>
                <w:szCs w:val="20"/>
                <w:color w:val="auto"/>
              </w:rPr>
            </w:pPr>
            <w:r>
              <w:rPr>
                <w:rFonts w:ascii="Calibri" w:cs="Calibri" w:eastAsia="Calibri" w:hAnsi="Calibri"/>
                <w:sz w:val="17"/>
                <w:szCs w:val="17"/>
                <w:color w:val="auto"/>
              </w:rPr>
              <w:t>ended September 30, 2023</w:t>
            </w: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Calibri" w:cs="Calibri" w:eastAsia="Calibri" w:hAnsi="Calibri"/>
                <w:sz w:val="17"/>
                <w:szCs w:val="17"/>
                <w:color w:val="auto"/>
              </w:rPr>
              <w:t>(330)</w:t>
            </w:r>
          </w:p>
        </w:tc>
        <w:tc>
          <w:tcPr>
            <w:tcW w:w="28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Calibri" w:cs="Calibri" w:eastAsia="Calibri" w:hAnsi="Calibri"/>
                <w:sz w:val="17"/>
                <w:szCs w:val="17"/>
                <w:color w:val="auto"/>
              </w:rPr>
              <w:t>302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Calibri" w:cs="Calibri" w:eastAsia="Calibri" w:hAnsi="Calibri"/>
                <w:sz w:val="17"/>
                <w:szCs w:val="17"/>
                <w:color w:val="auto"/>
              </w:rPr>
              <w:t>(39)</w:t>
            </w:r>
          </w:p>
        </w:tc>
        <w:tc>
          <w:tcPr>
            <w:tcW w:w="30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Calibri" w:cs="Calibri" w:eastAsia="Calibri" w:hAnsi="Calibri"/>
                <w:sz w:val="17"/>
                <w:szCs w:val="17"/>
                <w:color w:val="auto"/>
              </w:rPr>
              <w:t>89</w:t>
            </w:r>
          </w:p>
        </w:tc>
        <w:tc>
          <w:tcPr>
            <w:tcW w:w="0" w:type="dxa"/>
            <w:vAlign w:val="bottom"/>
          </w:tcPr>
          <w:p>
            <w:pPr>
              <w:spacing w:after="0"/>
              <w:rPr>
                <w:sz w:val="1"/>
                <w:szCs w:val="1"/>
                <w:color w:val="auto"/>
              </w:rPr>
            </w:pPr>
          </w:p>
        </w:tc>
      </w:tr>
      <w:tr>
        <w:trPr>
          <w:trHeight w:val="22"/>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020" w:type="dxa"/>
            <w:vAlign w:val="bottom"/>
            <w:shd w:val="clear" w:color="auto" w:fill="CCEEFF"/>
          </w:tcPr>
          <w:p>
            <w:pPr>
              <w:ind w:left="20"/>
              <w:spacing w:after="0" w:line="160" w:lineRule="exact"/>
              <w:rPr>
                <w:sz w:val="20"/>
                <w:szCs w:val="20"/>
                <w:color w:val="auto"/>
              </w:rPr>
            </w:pPr>
            <w:r>
              <w:rPr>
                <w:rFonts w:ascii="Calibri" w:cs="Calibri" w:eastAsia="Calibri" w:hAnsi="Calibri"/>
                <w:sz w:val="17"/>
                <w:szCs w:val="17"/>
                <w:color w:val="auto"/>
              </w:rPr>
              <w:t>Pension and post-employment benefts, net of tax expense (beneft) of $(1) for the three months and</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20" w:type="dxa"/>
            <w:vAlign w:val="bottom"/>
            <w:shd w:val="clear" w:color="auto" w:fill="CCEEFF"/>
          </w:tcPr>
          <w:p>
            <w:pPr>
              <w:ind w:left="20"/>
              <w:spacing w:after="0" w:line="180" w:lineRule="exact"/>
              <w:rPr>
                <w:sz w:val="20"/>
                <w:szCs w:val="20"/>
                <w:color w:val="auto"/>
              </w:rPr>
            </w:pPr>
            <w:r>
              <w:rPr>
                <w:rFonts w:ascii="Calibri" w:cs="Calibri" w:eastAsia="Calibri" w:hAnsi="Calibri"/>
                <w:sz w:val="17"/>
                <w:szCs w:val="17"/>
                <w:color w:val="auto"/>
              </w:rPr>
              <w:t>$3 for the nine months ended September 30, 2024 and $1 for the three months and $11 for the nine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20" w:type="dxa"/>
            <w:vAlign w:val="bottom"/>
            <w:tcBorders>
              <w:bottom w:val="single" w:sz="8" w:color="CCEEFF"/>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months ended September 30, 2023</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w:t>
            </w: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15</w:t>
            </w: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38</w:t>
            </w:r>
          </w:p>
        </w:tc>
        <w:tc>
          <w:tcPr>
            <w:tcW w:w="0" w:type="dxa"/>
            <w:vAlign w:val="bottom"/>
          </w:tcPr>
          <w:p>
            <w:pPr>
              <w:spacing w:after="0"/>
              <w:rPr>
                <w:sz w:val="1"/>
                <w:szCs w:val="1"/>
                <w:color w:val="auto"/>
              </w:rPr>
            </w:pPr>
          </w:p>
        </w:tc>
      </w:tr>
      <w:tr>
        <w:trPr>
          <w:trHeight w:val="159"/>
        </w:trPr>
        <w:tc>
          <w:tcPr>
            <w:tcW w:w="7020" w:type="dxa"/>
            <w:vAlign w:val="bottom"/>
          </w:tcPr>
          <w:p>
            <w:pPr>
              <w:ind w:left="20"/>
              <w:spacing w:after="0" w:line="160" w:lineRule="exact"/>
              <w:rPr>
                <w:sz w:val="20"/>
                <w:szCs w:val="20"/>
                <w:color w:val="auto"/>
              </w:rPr>
            </w:pPr>
            <w:r>
              <w:rPr>
                <w:rFonts w:ascii="Calibri" w:cs="Calibri" w:eastAsia="Calibri" w:hAnsi="Calibri"/>
                <w:sz w:val="17"/>
                <w:szCs w:val="17"/>
                <w:color w:val="auto"/>
              </w:rPr>
              <w:t>Cash fow hedging actvites, net of tax expense (beneft) of $(8) for the three months and $(3) for the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20" w:type="dxa"/>
            <w:vAlign w:val="bottom"/>
          </w:tcPr>
          <w:p>
            <w:pPr>
              <w:ind w:left="20"/>
              <w:spacing w:after="0" w:line="180" w:lineRule="exact"/>
              <w:rPr>
                <w:sz w:val="20"/>
                <w:szCs w:val="20"/>
                <w:color w:val="auto"/>
              </w:rPr>
            </w:pPr>
            <w:r>
              <w:rPr>
                <w:rFonts w:ascii="Calibri" w:cs="Calibri" w:eastAsia="Calibri" w:hAnsi="Calibri"/>
                <w:sz w:val="17"/>
                <w:szCs w:val="17"/>
                <w:color w:val="auto"/>
              </w:rPr>
              <w:t>nine months ended September 30, 2024 and $7 for the three months and $(1) for the nine months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020" w:type="dxa"/>
            <w:vAlign w:val="bottom"/>
          </w:tcPr>
          <w:p>
            <w:pPr>
              <w:ind w:left="20"/>
              <w:spacing w:after="0" w:line="205" w:lineRule="exact"/>
              <w:rPr>
                <w:sz w:val="20"/>
                <w:szCs w:val="20"/>
                <w:color w:val="auto"/>
              </w:rPr>
            </w:pPr>
            <w:r>
              <w:rPr>
                <w:rFonts w:ascii="Calibri" w:cs="Calibri" w:eastAsia="Calibri" w:hAnsi="Calibri"/>
                <w:sz w:val="17"/>
                <w:szCs w:val="17"/>
                <w:color w:val="auto"/>
              </w:rPr>
              <w:t>ended September 30, 2023</w:t>
            </w: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Calibri" w:cs="Calibri" w:eastAsia="Calibri" w:hAnsi="Calibri"/>
                <w:sz w:val="17"/>
                <w:szCs w:val="17"/>
                <w:color w:val="auto"/>
              </w:rPr>
              <w:t>(62)</w:t>
            </w:r>
          </w:p>
        </w:tc>
        <w:tc>
          <w:tcPr>
            <w:tcW w:w="28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Calibri" w:cs="Calibri" w:eastAsia="Calibri" w:hAnsi="Calibri"/>
                <w:sz w:val="17"/>
                <w:szCs w:val="17"/>
                <w:color w:val="auto"/>
              </w:rPr>
              <w:t>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Calibri" w:cs="Calibri" w:eastAsia="Calibri" w:hAnsi="Calibri"/>
                <w:sz w:val="17"/>
                <w:szCs w:val="17"/>
                <w:color w:val="auto"/>
              </w:rPr>
              <w:t>(26)</w:t>
            </w:r>
          </w:p>
        </w:tc>
        <w:tc>
          <w:tcPr>
            <w:tcW w:w="30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0" w:type="dxa"/>
            <w:vAlign w:val="bottom"/>
          </w:tcPr>
          <w:p>
            <w:pPr>
              <w:spacing w:after="0"/>
              <w:rPr>
                <w:sz w:val="1"/>
                <w:szCs w:val="1"/>
                <w:color w:val="auto"/>
              </w:rPr>
            </w:pPr>
          </w:p>
        </w:tc>
      </w:tr>
      <w:tr>
        <w:trPr>
          <w:trHeight w:val="22"/>
        </w:trPr>
        <w:tc>
          <w:tcPr>
            <w:tcW w:w="7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0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Other comprehensive income (loss)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179</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(101)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(29)</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(154)</w:t>
            </w:r>
          </w:p>
        </w:tc>
        <w:tc>
          <w:tcPr>
            <w:tcW w:w="0" w:type="dxa"/>
            <w:vAlign w:val="bottom"/>
          </w:tcPr>
          <w:p>
            <w:pPr>
              <w:spacing w:after="0"/>
              <w:rPr>
                <w:sz w:val="1"/>
                <w:szCs w:val="1"/>
                <w:color w:val="auto"/>
              </w:rPr>
            </w:pPr>
          </w:p>
        </w:tc>
      </w:tr>
      <w:tr>
        <w:trPr>
          <w:trHeight w:val="212"/>
        </w:trPr>
        <w:tc>
          <w:tcPr>
            <w:tcW w:w="7020" w:type="dxa"/>
            <w:vAlign w:val="bottom"/>
          </w:tcPr>
          <w:p>
            <w:pPr>
              <w:ind w:left="20"/>
              <w:spacing w:after="0" w:line="205" w:lineRule="exact"/>
              <w:rPr>
                <w:sz w:val="20"/>
                <w:szCs w:val="20"/>
                <w:color w:val="auto"/>
              </w:rPr>
            </w:pPr>
            <w:r>
              <w:rPr>
                <w:rFonts w:ascii="Calibri" w:cs="Calibri" w:eastAsia="Calibri" w:hAnsi="Calibri"/>
                <w:sz w:val="17"/>
                <w:szCs w:val="17"/>
                <w:color w:val="auto"/>
              </w:rPr>
              <w:t>Comprehensive income</w:t>
            </w:r>
          </w:p>
        </w:tc>
        <w:tc>
          <w:tcPr>
            <w:tcW w:w="220" w:type="dxa"/>
            <w:vAlign w:val="bottom"/>
          </w:tcPr>
          <w:p>
            <w:pPr>
              <w:spacing w:after="0"/>
              <w:rPr>
                <w:sz w:val="18"/>
                <w:szCs w:val="18"/>
                <w:color w:val="auto"/>
              </w:rPr>
            </w:pPr>
          </w:p>
        </w:tc>
        <w:tc>
          <w:tcPr>
            <w:tcW w:w="80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1,743</w:t>
            </w:r>
          </w:p>
        </w:tc>
        <w:tc>
          <w:tcPr>
            <w:tcW w:w="280" w:type="dxa"/>
            <w:vAlign w:val="bottom"/>
          </w:tcPr>
          <w:p>
            <w:pPr>
              <w:spacing w:after="0"/>
              <w:rPr>
                <w:sz w:val="18"/>
                <w:szCs w:val="18"/>
                <w:color w:val="auto"/>
              </w:rPr>
            </w:pPr>
          </w:p>
        </w:tc>
        <w:tc>
          <w:tcPr>
            <w:tcW w:w="760" w:type="dxa"/>
            <w:vAlign w:val="bottom"/>
          </w:tcPr>
          <w:p>
            <w:pPr>
              <w:jc w:val="right"/>
              <w:spacing w:after="0" w:line="205" w:lineRule="exact"/>
              <w:rPr>
                <w:sz w:val="20"/>
                <w:szCs w:val="20"/>
                <w:color w:val="auto"/>
              </w:rPr>
            </w:pPr>
            <w:r>
              <w:rPr>
                <w:rFonts w:ascii="Calibri" w:cs="Calibri" w:eastAsia="Calibri" w:hAnsi="Calibri"/>
                <w:sz w:val="17"/>
                <w:szCs w:val="17"/>
                <w:color w:val="auto"/>
              </w:rPr>
              <w:t>1,680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4,280</w:t>
            </w:r>
          </w:p>
        </w:tc>
        <w:tc>
          <w:tcPr>
            <w:tcW w:w="300" w:type="dxa"/>
            <w:vAlign w:val="bottom"/>
          </w:tcPr>
          <w:p>
            <w:pPr>
              <w:spacing w:after="0"/>
              <w:rPr>
                <w:sz w:val="18"/>
                <w:szCs w:val="18"/>
                <w:color w:val="auto"/>
              </w:rPr>
            </w:pPr>
          </w:p>
        </w:tc>
        <w:tc>
          <w:tcPr>
            <w:tcW w:w="740" w:type="dxa"/>
            <w:vAlign w:val="bottom"/>
          </w:tcPr>
          <w:p>
            <w:pPr>
              <w:jc w:val="right"/>
              <w:spacing w:after="0" w:line="205" w:lineRule="exact"/>
              <w:rPr>
                <w:sz w:val="20"/>
                <w:szCs w:val="20"/>
                <w:color w:val="auto"/>
              </w:rPr>
            </w:pPr>
            <w:r>
              <w:rPr>
                <w:rFonts w:ascii="Calibri" w:cs="Calibri" w:eastAsia="Calibri" w:hAnsi="Calibri"/>
                <w:sz w:val="17"/>
                <w:szCs w:val="17"/>
                <w:color w:val="auto"/>
              </w:rPr>
              <w:t>3,895</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Comprehensive income atributable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3</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8</w:t>
            </w:r>
          </w:p>
        </w:tc>
        <w:tc>
          <w:tcPr>
            <w:tcW w:w="0" w:type="dxa"/>
            <w:vAlign w:val="bottom"/>
          </w:tcPr>
          <w:p>
            <w:pPr>
              <w:spacing w:after="0"/>
              <w:rPr>
                <w:sz w:val="1"/>
                <w:szCs w:val="1"/>
                <w:color w:val="auto"/>
              </w:rPr>
            </w:pPr>
          </w:p>
        </w:tc>
      </w:tr>
      <w:tr>
        <w:trPr>
          <w:trHeight w:val="212"/>
        </w:trPr>
        <w:tc>
          <w:tcPr>
            <w:tcW w:w="70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Comprehensive income atributable to AbbVie Inc.</w:t>
            </w:r>
          </w:p>
        </w:tc>
        <w:tc>
          <w:tcPr>
            <w:tcW w:w="22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80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1,740</w:t>
            </w:r>
          </w:p>
        </w:tc>
        <w:tc>
          <w:tcPr>
            <w:tcW w:w="28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7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1,677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80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4,271</w:t>
            </w:r>
          </w:p>
        </w:tc>
        <w:tc>
          <w:tcPr>
            <w:tcW w:w="300" w:type="dxa"/>
            <w:vAlign w:val="bottom"/>
            <w:tcBorders>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7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3,887</w:t>
            </w:r>
          </w:p>
        </w:tc>
        <w:tc>
          <w:tcPr>
            <w:tcW w:w="0" w:type="dxa"/>
            <w:vAlign w:val="bottom"/>
          </w:tcPr>
          <w:p>
            <w:pPr>
              <w:spacing w:after="0"/>
              <w:rPr>
                <w:sz w:val="1"/>
                <w:szCs w:val="1"/>
                <w:color w:val="auto"/>
              </w:rPr>
            </w:pPr>
          </w:p>
        </w:tc>
      </w:tr>
      <w:tr>
        <w:trPr>
          <w:trHeight w:val="26"/>
        </w:trPr>
        <w:tc>
          <w:tcPr>
            <w:tcW w:w="7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816610</wp:posOffset>
            </wp:positionV>
            <wp:extent cx="491490" cy="90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2</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 w:name="page5"/>
    <w:bookmarkEnd w:id="4"/>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Condensed Consolidated Balance Sheets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share data)</w:t>
            </w:r>
          </w:p>
        </w:tc>
        <w:tc>
          <w:tcPr>
            <w:tcW w:w="200" w:type="dxa"/>
            <w:vAlign w:val="bottom"/>
          </w:tcPr>
          <w:p>
            <w:pPr>
              <w:spacing w:after="0"/>
              <w:rPr>
                <w:sz w:val="14"/>
                <w:szCs w:val="14"/>
                <w:color w:val="auto"/>
              </w:rPr>
            </w:pPr>
          </w:p>
        </w:tc>
        <w:tc>
          <w:tcPr>
            <w:tcW w:w="1220" w:type="dxa"/>
            <w:vAlign w:val="bottom"/>
          </w:tcPr>
          <w:p>
            <w:pPr>
              <w:jc w:val="center"/>
              <w:ind w:right="155"/>
              <w:spacing w:after="0"/>
              <w:rPr>
                <w:sz w:val="20"/>
                <w:szCs w:val="20"/>
                <w:color w:val="auto"/>
              </w:rPr>
            </w:pPr>
            <w:r>
              <w:rPr>
                <w:rFonts w:ascii="Calibri" w:cs="Calibri" w:eastAsia="Calibri" w:hAnsi="Calibri"/>
                <w:sz w:val="14"/>
                <w:szCs w:val="14"/>
                <w:b w:val="1"/>
                <w:bCs w:val="1"/>
                <w:color w:val="auto"/>
                <w:w w:val="96"/>
              </w:rPr>
              <w:t>September 30,</w:t>
            </w:r>
          </w:p>
        </w:tc>
        <w:tc>
          <w:tcPr>
            <w:tcW w:w="240" w:type="dxa"/>
            <w:vAlign w:val="bottom"/>
          </w:tcPr>
          <w:p>
            <w:pPr>
              <w:spacing w:after="0"/>
              <w:rPr>
                <w:sz w:val="14"/>
                <w:szCs w:val="14"/>
                <w:color w:val="auto"/>
              </w:rPr>
            </w:pPr>
          </w:p>
        </w:tc>
        <w:tc>
          <w:tcPr>
            <w:tcW w:w="1160" w:type="dxa"/>
            <w:vAlign w:val="bottom"/>
          </w:tcPr>
          <w:p>
            <w:pPr>
              <w:jc w:val="right"/>
              <w:ind w:right="215"/>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63"/>
        </w:trPr>
        <w:tc>
          <w:tcPr>
            <w:tcW w:w="8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35"/>
              <w:spacing w:after="0" w:line="164" w:lineRule="exact"/>
              <w:rPr>
                <w:sz w:val="20"/>
                <w:szCs w:val="20"/>
                <w:color w:val="auto"/>
              </w:rPr>
            </w:pPr>
            <w:r>
              <w:rPr>
                <w:rFonts w:ascii="Calibri" w:cs="Calibri" w:eastAsia="Calibri" w:hAnsi="Calibri"/>
                <w:sz w:val="14"/>
                <w:szCs w:val="14"/>
                <w:b w:val="1"/>
                <w:bCs w:val="1"/>
                <w:color w:val="auto"/>
                <w:w w:val="98"/>
              </w:rPr>
              <w:t>2024</w:t>
            </w:r>
          </w:p>
        </w:tc>
        <w:tc>
          <w:tcPr>
            <w:tcW w:w="240" w:type="dxa"/>
            <w:vAlign w:val="bottom"/>
          </w:tcPr>
          <w:p>
            <w:pPr>
              <w:spacing w:after="0"/>
              <w:rPr>
                <w:sz w:val="14"/>
                <w:szCs w:val="14"/>
                <w:color w:val="auto"/>
              </w:rPr>
            </w:pPr>
          </w:p>
        </w:tc>
        <w:tc>
          <w:tcPr>
            <w:tcW w:w="1160" w:type="dxa"/>
            <w:vAlign w:val="bottom"/>
          </w:tcPr>
          <w:p>
            <w:pPr>
              <w:jc w:val="right"/>
              <w:ind w:right="45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8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5"/>
              <w:spacing w:after="0" w:line="198" w:lineRule="exact"/>
              <w:rPr>
                <w:sz w:val="20"/>
                <w:szCs w:val="20"/>
                <w:color w:val="auto"/>
              </w:rPr>
            </w:pPr>
            <w:r>
              <w:rPr>
                <w:rFonts w:ascii="Calibri" w:cs="Calibri" w:eastAsia="Calibri" w:hAnsi="Calibri"/>
                <w:sz w:val="17"/>
                <w:szCs w:val="17"/>
                <w:color w:val="auto"/>
                <w:w w:val="98"/>
              </w:rPr>
              <w:t>(unaudited)</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420" w:type="dxa"/>
            <w:vAlign w:val="bottom"/>
          </w:tcPr>
          <w:p>
            <w:pPr>
              <w:ind w:left="20"/>
              <w:spacing w:after="0"/>
              <w:rPr>
                <w:sz w:val="20"/>
                <w:szCs w:val="20"/>
                <w:color w:val="auto"/>
              </w:rPr>
            </w:pPr>
            <w:r>
              <w:rPr>
                <w:rFonts w:ascii="Calibri" w:cs="Calibri" w:eastAsia="Calibri" w:hAnsi="Calibri"/>
                <w:sz w:val="17"/>
                <w:szCs w:val="17"/>
                <w:b w:val="1"/>
                <w:bCs w:val="1"/>
                <w:color w:val="auto"/>
              </w:rPr>
              <w:t>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20" w:type="dxa"/>
            <w:vAlign w:val="bottom"/>
          </w:tcPr>
          <w:p>
            <w:pPr>
              <w:ind w:left="160"/>
              <w:spacing w:after="0"/>
              <w:rPr>
                <w:sz w:val="20"/>
                <w:szCs w:val="20"/>
                <w:color w:val="auto"/>
              </w:rPr>
            </w:pPr>
            <w:r>
              <w:rPr>
                <w:rFonts w:ascii="Calibri" w:cs="Calibri" w:eastAsia="Calibri" w:hAnsi="Calibri"/>
                <w:sz w:val="17"/>
                <w:szCs w:val="17"/>
                <w:b w:val="1"/>
                <w:bCs w:val="1"/>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420" w:type="dxa"/>
            <w:vAlign w:val="bottom"/>
            <w:shd w:val="clear" w:color="auto" w:fill="CCEEFF"/>
          </w:tcPr>
          <w:p>
            <w:pPr>
              <w:ind w:left="160"/>
              <w:spacing w:after="0" w:line="205" w:lineRule="exact"/>
              <w:rPr>
                <w:sz w:val="20"/>
                <w:szCs w:val="20"/>
                <w:color w:val="auto"/>
              </w:rPr>
            </w:pPr>
            <w:r>
              <w:rPr>
                <w:rFonts w:ascii="Calibri" w:cs="Calibri" w:eastAsia="Calibri" w:hAnsi="Calibri"/>
                <w:sz w:val="17"/>
                <w:szCs w:val="17"/>
                <w:color w:val="auto"/>
              </w:rPr>
              <w:t>Cash and equivalents</w:t>
            </w:r>
          </w:p>
        </w:tc>
        <w:tc>
          <w:tcPr>
            <w:tcW w:w="2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7,257</w:t>
            </w: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12,814</w:t>
            </w: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color w:val="auto"/>
              </w:rPr>
              <w:t>Short-term investments</w:t>
            </w:r>
          </w:p>
        </w:tc>
        <w:tc>
          <w:tcPr>
            <w:tcW w:w="200" w:type="dxa"/>
            <w:vAlign w:val="bottom"/>
          </w:tcPr>
          <w:p>
            <w:pPr>
              <w:spacing w:after="0"/>
              <w:rPr>
                <w:sz w:val="18"/>
                <w:szCs w:val="18"/>
                <w:color w:val="auto"/>
              </w:rPr>
            </w:pPr>
          </w:p>
        </w:tc>
        <w:tc>
          <w:tcPr>
            <w:tcW w:w="122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28</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11,472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11,155</w:t>
            </w: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color w:val="auto"/>
              </w:rPr>
              <w:t>Inventories</w:t>
            </w:r>
          </w:p>
        </w:tc>
        <w:tc>
          <w:tcPr>
            <w:tcW w:w="200" w:type="dxa"/>
            <w:vAlign w:val="bottom"/>
          </w:tcPr>
          <w:p>
            <w:pPr>
              <w:spacing w:after="0"/>
              <w:rPr>
                <w:sz w:val="18"/>
                <w:szCs w:val="18"/>
                <w:color w:val="auto"/>
              </w:rPr>
            </w:pPr>
          </w:p>
        </w:tc>
        <w:tc>
          <w:tcPr>
            <w:tcW w:w="122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4,450</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4,099</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auto"/>
            </w:tcBorders>
            <w:shd w:val="clear" w:color="auto" w:fill="CCEEFF"/>
          </w:tcPr>
          <w:p>
            <w:pPr>
              <w:ind w:left="160"/>
              <w:spacing w:after="0"/>
              <w:rPr>
                <w:sz w:val="20"/>
                <w:szCs w:val="20"/>
                <w:color w:val="auto"/>
              </w:rPr>
            </w:pPr>
            <w:r>
              <w:rPr>
                <w:rFonts w:ascii="Calibri" w:cs="Calibri" w:eastAsia="Calibri" w:hAnsi="Calibri"/>
                <w:sz w:val="17"/>
                <w:szCs w:val="17"/>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Calibri" w:cs="Calibri" w:eastAsia="Calibri" w:hAnsi="Calibri"/>
                <w:sz w:val="17"/>
                <w:szCs w:val="17"/>
                <w:color w:val="auto"/>
              </w:rPr>
              <w:t>4,578</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4,932</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tcPr>
          <w:p>
            <w:pPr>
              <w:ind w:left="160"/>
              <w:spacing w:after="0" w:line="205" w:lineRule="exact"/>
              <w:rPr>
                <w:sz w:val="20"/>
                <w:szCs w:val="20"/>
                <w:color w:val="auto"/>
              </w:rPr>
            </w:pPr>
            <w:r>
              <w:rPr>
                <w:rFonts w:ascii="Calibri" w:cs="Calibri" w:eastAsia="Calibri" w:hAnsi="Calibri"/>
                <w:sz w:val="17"/>
                <w:szCs w:val="17"/>
                <w:b w:val="1"/>
                <w:bCs w:val="1"/>
                <w:color w:val="auto"/>
              </w:rPr>
              <w:t>Total 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27,785</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33,002</w:t>
            </w:r>
          </w:p>
        </w:tc>
        <w:tc>
          <w:tcPr>
            <w:tcW w:w="0" w:type="dxa"/>
            <w:vAlign w:val="bottom"/>
          </w:tcPr>
          <w:p>
            <w:pPr>
              <w:spacing w:after="0"/>
              <w:rPr>
                <w:sz w:val="1"/>
                <w:szCs w:val="1"/>
                <w:color w:val="auto"/>
              </w:rPr>
            </w:pPr>
          </w:p>
        </w:tc>
      </w:tr>
      <w:tr>
        <w:trPr>
          <w:trHeight w:val="142"/>
        </w:trPr>
        <w:tc>
          <w:tcPr>
            <w:tcW w:w="8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color w:val="auto"/>
              </w:rPr>
              <w:t>Investments</w:t>
            </w:r>
          </w:p>
        </w:tc>
        <w:tc>
          <w:tcPr>
            <w:tcW w:w="200" w:type="dxa"/>
            <w:vAlign w:val="bottom"/>
          </w:tcPr>
          <w:p>
            <w:pPr>
              <w:spacing w:after="0"/>
              <w:rPr>
                <w:sz w:val="18"/>
                <w:szCs w:val="18"/>
                <w:color w:val="auto"/>
              </w:rPr>
            </w:pPr>
          </w:p>
        </w:tc>
        <w:tc>
          <w:tcPr>
            <w:tcW w:w="122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267</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304</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Property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5,141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4,989</w:t>
            </w: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color w:val="auto"/>
              </w:rPr>
              <w:t>Intangible assets, net</w:t>
            </w:r>
          </w:p>
        </w:tc>
        <w:tc>
          <w:tcPr>
            <w:tcW w:w="200" w:type="dxa"/>
            <w:vAlign w:val="bottom"/>
          </w:tcPr>
          <w:p>
            <w:pPr>
              <w:spacing w:after="0"/>
              <w:rPr>
                <w:sz w:val="18"/>
                <w:szCs w:val="18"/>
                <w:color w:val="auto"/>
              </w:rPr>
            </w:pPr>
          </w:p>
        </w:tc>
        <w:tc>
          <w:tcPr>
            <w:tcW w:w="122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66,646</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55,610</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35,295</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32,293</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tcPr>
          <w:p>
            <w:pPr>
              <w:ind w:left="160"/>
              <w:spacing w:after="0" w:line="205" w:lineRule="exact"/>
              <w:rPr>
                <w:sz w:val="20"/>
                <w:szCs w:val="20"/>
                <w:color w:val="auto"/>
              </w:rPr>
            </w:pPr>
            <w:r>
              <w:rPr>
                <w:rFonts w:ascii="Calibri" w:cs="Calibri" w:eastAsia="Calibri" w:hAnsi="Calibri"/>
                <w:sz w:val="17"/>
                <w:szCs w:val="17"/>
                <w:color w:val="auto"/>
              </w:rPr>
              <w:t>Other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8,288</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8,513</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auto"/>
            </w:tcBorders>
            <w:shd w:val="clear" w:color="auto" w:fill="CCEEFF"/>
          </w:tcPr>
          <w:p>
            <w:pPr>
              <w:ind w:left="160"/>
              <w:spacing w:after="0" w:line="205" w:lineRule="exact"/>
              <w:rPr>
                <w:sz w:val="20"/>
                <w:szCs w:val="20"/>
                <w:color w:val="auto"/>
              </w:rPr>
            </w:pPr>
            <w:r>
              <w:rPr>
                <w:rFonts w:ascii="Calibri" w:cs="Calibri" w:eastAsia="Calibri" w:hAnsi="Calibri"/>
                <w:sz w:val="17"/>
                <w:szCs w:val="17"/>
                <w:b w:val="1"/>
                <w:bCs w:val="1"/>
                <w:color w:val="auto"/>
              </w:rPr>
              <w:t>Total assets</w:t>
            </w:r>
          </w:p>
        </w:tc>
        <w:tc>
          <w:tcPr>
            <w:tcW w:w="20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bottom w:val="single" w:sz="8" w:color="auto"/>
            </w:tcBorders>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143,422</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134,711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Liabilites and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b w:val="1"/>
                <w:bCs w:val="1"/>
                <w:color w:val="auto"/>
              </w:rPr>
              <w:t>Current liabilites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Current porton of long-term debt and fnance lease obligatons</w:t>
            </w:r>
          </w:p>
        </w:tc>
        <w:tc>
          <w:tcPr>
            <w:tcW w:w="2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22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12,570</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7,191</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tcPr>
          <w:p>
            <w:pPr>
              <w:ind w:left="160"/>
              <w:spacing w:after="0" w:line="205" w:lineRule="exact"/>
              <w:rPr>
                <w:sz w:val="20"/>
                <w:szCs w:val="20"/>
                <w:color w:val="auto"/>
              </w:rPr>
            </w:pPr>
            <w:r>
              <w:rPr>
                <w:rFonts w:ascii="Calibri" w:cs="Calibri" w:eastAsia="Calibri" w:hAnsi="Calibri"/>
                <w:sz w:val="17"/>
                <w:szCs w:val="17"/>
                <w:color w:val="auto"/>
              </w:rPr>
              <w:t>Accounts payable and accrued liabilites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30,492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30,650</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shd w:val="clear" w:color="auto" w:fill="CCEEFF"/>
          </w:tcPr>
          <w:p>
            <w:pPr>
              <w:ind w:left="160"/>
              <w:spacing w:after="0" w:line="205" w:lineRule="exact"/>
              <w:rPr>
                <w:sz w:val="20"/>
                <w:szCs w:val="20"/>
                <w:color w:val="auto"/>
              </w:rPr>
            </w:pPr>
            <w:r>
              <w:rPr>
                <w:rFonts w:ascii="Calibri" w:cs="Calibri" w:eastAsia="Calibri" w:hAnsi="Calibri"/>
                <w:sz w:val="17"/>
                <w:szCs w:val="17"/>
                <w:b w:val="1"/>
                <w:bCs w:val="1"/>
                <w:color w:val="auto"/>
              </w:rPr>
              <w:t>Total current liabilites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43,062</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37,841</w:t>
            </w:r>
          </w:p>
        </w:tc>
        <w:tc>
          <w:tcPr>
            <w:tcW w:w="0" w:type="dxa"/>
            <w:vAlign w:val="bottom"/>
          </w:tcPr>
          <w:p>
            <w:pPr>
              <w:spacing w:after="0"/>
              <w:rPr>
                <w:sz w:val="1"/>
                <w:szCs w:val="1"/>
                <w:color w:val="auto"/>
              </w:rPr>
            </w:pPr>
          </w:p>
        </w:tc>
      </w:tr>
      <w:tr>
        <w:trPr>
          <w:trHeight w:val="232"/>
        </w:trPr>
        <w:tc>
          <w:tcPr>
            <w:tcW w:w="8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60"/>
              <w:spacing w:after="0" w:line="205" w:lineRule="exact"/>
              <w:rPr>
                <w:sz w:val="20"/>
                <w:szCs w:val="20"/>
                <w:color w:val="auto"/>
              </w:rPr>
            </w:pPr>
            <w:r>
              <w:rPr>
                <w:rFonts w:ascii="Calibri" w:cs="Calibri" w:eastAsia="Calibri" w:hAnsi="Calibri"/>
                <w:sz w:val="17"/>
                <w:szCs w:val="17"/>
                <w:color w:val="auto"/>
              </w:rPr>
              <w:t>Long-term debt and fnance lease obligatons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58,509</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52,194</w:t>
            </w: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color w:val="auto"/>
              </w:rPr>
              <w:t>Deferred income taxes</w:t>
            </w:r>
          </w:p>
        </w:tc>
        <w:tc>
          <w:tcPr>
            <w:tcW w:w="200" w:type="dxa"/>
            <w:vAlign w:val="bottom"/>
          </w:tcPr>
          <w:p>
            <w:pPr>
              <w:spacing w:after="0"/>
              <w:rPr>
                <w:sz w:val="18"/>
                <w:szCs w:val="18"/>
                <w:color w:val="auto"/>
              </w:rPr>
            </w:pPr>
          </w:p>
        </w:tc>
        <w:tc>
          <w:tcPr>
            <w:tcW w:w="122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2,749</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1,952</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Other long-term liabilites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33,031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32,327</w:t>
            </w:r>
          </w:p>
        </w:tc>
        <w:tc>
          <w:tcPr>
            <w:tcW w:w="0" w:type="dxa"/>
            <w:vAlign w:val="bottom"/>
          </w:tcPr>
          <w:p>
            <w:pPr>
              <w:spacing w:after="0"/>
              <w:rPr>
                <w:sz w:val="1"/>
                <w:szCs w:val="1"/>
                <w:color w:val="auto"/>
              </w:rPr>
            </w:pPr>
          </w:p>
        </w:tc>
      </w:tr>
      <w:tr>
        <w:trPr>
          <w:trHeight w:val="245"/>
        </w:trPr>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60"/>
              <w:spacing w:after="0" w:line="205" w:lineRule="exact"/>
              <w:rPr>
                <w:sz w:val="20"/>
                <w:szCs w:val="20"/>
                <w:color w:val="auto"/>
              </w:rPr>
            </w:pPr>
            <w:r>
              <w:rPr>
                <w:rFonts w:ascii="Calibri" w:cs="Calibri" w:eastAsia="Calibri" w:hAnsi="Calibri"/>
                <w:sz w:val="17"/>
                <w:szCs w:val="17"/>
                <w:color w:val="auto"/>
              </w:rPr>
              <w:t>Commitments and contngencies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60"/>
              <w:spacing w:after="0" w:line="205" w:lineRule="exact"/>
              <w:rPr>
                <w:sz w:val="20"/>
                <w:szCs w:val="20"/>
                <w:color w:val="auto"/>
              </w:rPr>
            </w:pPr>
            <w:r>
              <w:rPr>
                <w:rFonts w:ascii="Calibri" w:cs="Calibri" w:eastAsia="Calibri" w:hAnsi="Calibri"/>
                <w:sz w:val="17"/>
                <w:szCs w:val="17"/>
                <w:b w:val="1"/>
                <w:bCs w:val="1"/>
                <w:color w:val="auto"/>
              </w:rPr>
              <w:t>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420" w:type="dxa"/>
            <w:vAlign w:val="bottom"/>
          </w:tcPr>
          <w:p>
            <w:pPr>
              <w:ind w:left="180"/>
              <w:spacing w:after="0" w:line="160" w:lineRule="exact"/>
              <w:rPr>
                <w:sz w:val="20"/>
                <w:szCs w:val="20"/>
                <w:color w:val="auto"/>
              </w:rPr>
            </w:pPr>
            <w:r>
              <w:rPr>
                <w:rFonts w:ascii="Calibri" w:cs="Calibri" w:eastAsia="Calibri" w:hAnsi="Calibri"/>
                <w:sz w:val="17"/>
                <w:szCs w:val="17"/>
                <w:color w:val="auto"/>
                <w:w w:val="98"/>
              </w:rPr>
              <w:t>Common stock, $0.01 par value, 4,000,000,000 shares authorized, 1,831,415,039 shares issued as of September 30, 2024</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420" w:type="dxa"/>
            <w:vAlign w:val="bottom"/>
          </w:tcPr>
          <w:p>
            <w:pPr>
              <w:ind w:left="180"/>
              <w:spacing w:after="0" w:line="205" w:lineRule="exact"/>
              <w:rPr>
                <w:sz w:val="20"/>
                <w:szCs w:val="20"/>
                <w:color w:val="auto"/>
              </w:rPr>
            </w:pPr>
            <w:r>
              <w:rPr>
                <w:rFonts w:ascii="Calibri" w:cs="Calibri" w:eastAsia="Calibri" w:hAnsi="Calibri"/>
                <w:sz w:val="17"/>
                <w:szCs w:val="17"/>
                <w:color w:val="auto"/>
              </w:rPr>
              <w:t>and 1,823,046,087 as of December 31, 2023</w:t>
            </w:r>
          </w:p>
        </w:tc>
        <w:tc>
          <w:tcPr>
            <w:tcW w:w="20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Calibri" w:cs="Calibri" w:eastAsia="Calibri" w:hAnsi="Calibri"/>
                <w:sz w:val="17"/>
                <w:szCs w:val="17"/>
                <w:color w:val="auto"/>
              </w:rPr>
              <w:t>18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22"/>
        </w:trPr>
        <w:tc>
          <w:tcPr>
            <w:tcW w:w="8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20" w:type="dxa"/>
            <w:vAlign w:val="bottom"/>
            <w:shd w:val="clear" w:color="auto" w:fill="CCEEFF"/>
          </w:tcPr>
          <w:p>
            <w:pPr>
              <w:ind w:left="180"/>
              <w:spacing w:after="0" w:line="160" w:lineRule="exact"/>
              <w:rPr>
                <w:sz w:val="20"/>
                <w:szCs w:val="20"/>
                <w:color w:val="auto"/>
              </w:rPr>
            </w:pPr>
            <w:r>
              <w:rPr>
                <w:rFonts w:ascii="Calibri" w:cs="Calibri" w:eastAsia="Calibri" w:hAnsi="Calibri"/>
                <w:sz w:val="17"/>
                <w:szCs w:val="17"/>
                <w:color w:val="auto"/>
                <w:w w:val="98"/>
              </w:rPr>
              <w:t>Common stock held in treasury, at cost, 64,310,426 shares as of September 30, 2024 and 57,105,354 as of December 31,</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420" w:type="dxa"/>
            <w:vAlign w:val="bottom"/>
            <w:tcBorders>
              <w:bottom w:val="single" w:sz="8" w:color="CCEEFF"/>
            </w:tcBorders>
            <w:shd w:val="clear" w:color="auto" w:fill="CCEEFF"/>
          </w:tcPr>
          <w:p>
            <w:pPr>
              <w:ind w:left="180"/>
              <w:spacing w:after="0" w:line="205" w:lineRule="exact"/>
              <w:rPr>
                <w:sz w:val="20"/>
                <w:szCs w:val="20"/>
                <w:color w:val="auto"/>
              </w:rPr>
            </w:pPr>
            <w:r>
              <w:rPr>
                <w:rFonts w:ascii="Calibri" w:cs="Calibri" w:eastAsia="Calibri" w:hAnsi="Calibri"/>
                <w:sz w:val="17"/>
                <w:szCs w:val="17"/>
                <w:color w:val="auto"/>
              </w:rPr>
              <w:t>2023</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(7,848)</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(6,533)</w:t>
            </w:r>
          </w:p>
        </w:tc>
        <w:tc>
          <w:tcPr>
            <w:tcW w:w="0" w:type="dxa"/>
            <w:vAlign w:val="bottom"/>
          </w:tcPr>
          <w:p>
            <w:pPr>
              <w:spacing w:after="0"/>
              <w:rPr>
                <w:sz w:val="1"/>
                <w:szCs w:val="1"/>
                <w:color w:val="auto"/>
              </w:rPr>
            </w:pPr>
          </w:p>
        </w:tc>
      </w:tr>
      <w:tr>
        <w:trPr>
          <w:trHeight w:val="212"/>
        </w:trPr>
        <w:tc>
          <w:tcPr>
            <w:tcW w:w="8420" w:type="dxa"/>
            <w:vAlign w:val="bottom"/>
          </w:tcPr>
          <w:p>
            <w:pPr>
              <w:ind w:left="160"/>
              <w:spacing w:after="0" w:line="205" w:lineRule="exact"/>
              <w:rPr>
                <w:sz w:val="20"/>
                <w:szCs w:val="20"/>
                <w:color w:val="auto"/>
              </w:rPr>
            </w:pPr>
            <w:r>
              <w:rPr>
                <w:rFonts w:ascii="Calibri" w:cs="Calibri" w:eastAsia="Calibri" w:hAnsi="Calibri"/>
                <w:sz w:val="17"/>
                <w:szCs w:val="17"/>
                <w:color w:val="auto"/>
              </w:rPr>
              <w:t>Additonal paid-in capital</w:t>
            </w:r>
          </w:p>
        </w:tc>
        <w:tc>
          <w:tcPr>
            <w:tcW w:w="200" w:type="dxa"/>
            <w:vAlign w:val="bottom"/>
          </w:tcPr>
          <w:p>
            <w:pPr>
              <w:spacing w:after="0"/>
              <w:rPr>
                <w:sz w:val="18"/>
                <w:szCs w:val="18"/>
                <w:color w:val="auto"/>
              </w:rPr>
            </w:pPr>
          </w:p>
        </w:tc>
        <w:tc>
          <w:tcPr>
            <w:tcW w:w="122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21,160</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20,180</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Accumulated defcit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(4,964)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(1,000)</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tcPr>
          <w:p>
            <w:pPr>
              <w:ind w:left="160"/>
              <w:spacing w:after="0" w:line="205" w:lineRule="exact"/>
              <w:rPr>
                <w:sz w:val="20"/>
                <w:szCs w:val="20"/>
                <w:color w:val="auto"/>
              </w:rPr>
            </w:pPr>
            <w:r>
              <w:rPr>
                <w:rFonts w:ascii="Calibri" w:cs="Calibri" w:eastAsia="Calibri" w:hAnsi="Calibri"/>
                <w:sz w:val="17"/>
                <w:szCs w:val="17"/>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(2,334)</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(2,305)</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60"/>
              <w:spacing w:after="0" w:line="205" w:lineRule="exact"/>
              <w:rPr>
                <w:sz w:val="20"/>
                <w:szCs w:val="20"/>
                <w:color w:val="auto"/>
              </w:rPr>
            </w:pPr>
            <w:r>
              <w:rPr>
                <w:rFonts w:ascii="Calibri" w:cs="Calibri" w:eastAsia="Calibri" w:hAnsi="Calibri"/>
                <w:sz w:val="17"/>
                <w:szCs w:val="17"/>
                <w:b w:val="1"/>
                <w:bCs w:val="1"/>
                <w:color w:val="auto"/>
              </w:rPr>
              <w:t>Total 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6,032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10,360</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tcPr>
          <w:p>
            <w:pPr>
              <w:ind w:left="160"/>
              <w:spacing w:after="0" w:line="205" w:lineRule="exact"/>
              <w:rPr>
                <w:sz w:val="20"/>
                <w:szCs w:val="20"/>
                <w:color w:val="auto"/>
              </w:rPr>
            </w:pPr>
            <w:r>
              <w:rPr>
                <w:rFonts w:ascii="Calibri" w:cs="Calibri" w:eastAsia="Calibri" w:hAnsi="Calibri"/>
                <w:sz w:val="17"/>
                <w:szCs w:val="17"/>
                <w:color w:val="auto"/>
              </w:rPr>
              <w:t>Noncontrolling interest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39</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37</w:t>
            </w:r>
          </w:p>
        </w:tc>
        <w:tc>
          <w:tcPr>
            <w:tcW w:w="0" w:type="dxa"/>
            <w:vAlign w:val="bottom"/>
          </w:tcPr>
          <w:p>
            <w:pPr>
              <w:spacing w:after="0"/>
              <w:rPr>
                <w:sz w:val="1"/>
                <w:szCs w:val="1"/>
                <w:color w:val="auto"/>
              </w:rPr>
            </w:pPr>
          </w:p>
        </w:tc>
      </w:tr>
      <w:tr>
        <w:trPr>
          <w:trHeight w:val="212"/>
        </w:trPr>
        <w:tc>
          <w:tcPr>
            <w:tcW w:w="8420" w:type="dxa"/>
            <w:vAlign w:val="bottom"/>
            <w:tcBorders>
              <w:bottom w:val="single" w:sz="8" w:color="auto"/>
            </w:tcBorders>
            <w:shd w:val="clear" w:color="auto" w:fill="CCEEFF"/>
          </w:tcPr>
          <w:p>
            <w:pPr>
              <w:ind w:left="160"/>
              <w:spacing w:after="0" w:line="205" w:lineRule="exact"/>
              <w:rPr>
                <w:sz w:val="20"/>
                <w:szCs w:val="20"/>
                <w:color w:val="auto"/>
              </w:rPr>
            </w:pPr>
            <w:r>
              <w:rPr>
                <w:rFonts w:ascii="Calibri" w:cs="Calibri" w:eastAsia="Calibri" w:hAnsi="Calibri"/>
                <w:sz w:val="17"/>
                <w:szCs w:val="17"/>
                <w:b w:val="1"/>
                <w:bCs w:val="1"/>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6,071</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10,397</w:t>
            </w:r>
          </w:p>
        </w:tc>
        <w:tc>
          <w:tcPr>
            <w:tcW w:w="0" w:type="dxa"/>
            <w:vAlign w:val="bottom"/>
          </w:tcPr>
          <w:p>
            <w:pPr>
              <w:spacing w:after="0"/>
              <w:rPr>
                <w:sz w:val="1"/>
                <w:szCs w:val="1"/>
                <w:color w:val="auto"/>
              </w:rPr>
            </w:pPr>
          </w:p>
        </w:tc>
      </w:tr>
      <w:tr>
        <w:trPr>
          <w:trHeight w:val="232"/>
        </w:trPr>
        <w:tc>
          <w:tcPr>
            <w:tcW w:w="8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20" w:type="dxa"/>
            <w:vAlign w:val="bottom"/>
            <w:tcBorders>
              <w:bottom w:val="single" w:sz="8" w:color="auto"/>
            </w:tcBorders>
            <w:shd w:val="clear" w:color="auto" w:fill="CCEEFF"/>
          </w:tcPr>
          <w:p>
            <w:pPr>
              <w:ind w:left="160"/>
              <w:spacing w:after="0" w:line="205" w:lineRule="exact"/>
              <w:rPr>
                <w:sz w:val="20"/>
                <w:szCs w:val="20"/>
                <w:color w:val="auto"/>
              </w:rPr>
            </w:pPr>
            <w:r>
              <w:rPr>
                <w:rFonts w:ascii="Calibri" w:cs="Calibri" w:eastAsia="Calibri" w:hAnsi="Calibri"/>
                <w:sz w:val="17"/>
                <w:szCs w:val="17"/>
                <w:b w:val="1"/>
                <w:bCs w:val="1"/>
                <w:color w:val="auto"/>
              </w:rPr>
              <w:t>Total liabilites and equity</w:t>
            </w:r>
          </w:p>
        </w:tc>
        <w:tc>
          <w:tcPr>
            <w:tcW w:w="20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bottom w:val="single" w:sz="8" w:color="auto"/>
            </w:tcBorders>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143,422</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134,711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382905</wp:posOffset>
            </wp:positionV>
            <wp:extent cx="491490" cy="90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3</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 w:name="page6"/>
    <w:bookmarkEnd w:id="5"/>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Condensed Consolidated Statements of Equity (unaudited)</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1"/>
              <w:spacing w:after="0"/>
              <w:rPr>
                <w:sz w:val="20"/>
                <w:szCs w:val="20"/>
                <w:color w:val="auto"/>
              </w:rPr>
            </w:pPr>
            <w:r>
              <w:rPr>
                <w:rFonts w:ascii="Calibri" w:cs="Calibri" w:eastAsia="Calibri" w:hAnsi="Calibri"/>
                <w:sz w:val="14"/>
                <w:szCs w:val="14"/>
                <w:b w:val="1"/>
                <w:bCs w:val="1"/>
                <w:color w:val="auto"/>
                <w:w w:val="95"/>
              </w:rPr>
              <w:t>Retained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29"/>
        </w:trPr>
        <w:tc>
          <w:tcPr>
            <w:tcW w:w="2820" w:type="dxa"/>
            <w:vAlign w:val="bottom"/>
          </w:tcPr>
          <w:p>
            <w:pPr>
              <w:spacing w:after="0"/>
              <w:rPr>
                <w:sz w:val="11"/>
                <w:szCs w:val="11"/>
                <w:color w:val="auto"/>
              </w:rPr>
            </w:pPr>
          </w:p>
        </w:tc>
        <w:tc>
          <w:tcPr>
            <w:tcW w:w="1280" w:type="dxa"/>
            <w:vAlign w:val="bottom"/>
          </w:tcPr>
          <w:p>
            <w:pPr>
              <w:jc w:val="center"/>
              <w:ind w:left="171"/>
              <w:spacing w:after="0" w:line="129" w:lineRule="exact"/>
              <w:rPr>
                <w:sz w:val="20"/>
                <w:szCs w:val="20"/>
                <w:color w:val="auto"/>
              </w:rPr>
            </w:pPr>
            <w:r>
              <w:rPr>
                <w:rFonts w:ascii="Calibri" w:cs="Calibri" w:eastAsia="Calibri" w:hAnsi="Calibri"/>
                <w:sz w:val="14"/>
                <w:szCs w:val="14"/>
                <w:b w:val="1"/>
                <w:bCs w:val="1"/>
                <w:color w:val="auto"/>
                <w:w w:val="98"/>
              </w:rPr>
              <w:t>Common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91"/>
              <w:spacing w:after="0" w:line="129" w:lineRule="exact"/>
              <w:rPr>
                <w:sz w:val="20"/>
                <w:szCs w:val="20"/>
                <w:color w:val="auto"/>
              </w:rPr>
            </w:pPr>
            <w:r>
              <w:rPr>
                <w:rFonts w:ascii="Calibri" w:cs="Calibri" w:eastAsia="Calibri" w:hAnsi="Calibri"/>
                <w:sz w:val="14"/>
                <w:szCs w:val="14"/>
                <w:b w:val="1"/>
                <w:bCs w:val="1"/>
                <w:color w:val="auto"/>
              </w:rPr>
              <w:t>earnings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2"/>
        </w:trPr>
        <w:tc>
          <w:tcPr>
            <w:tcW w:w="2820" w:type="dxa"/>
            <w:vAlign w:val="bottom"/>
          </w:tcPr>
          <w:p>
            <w:pPr>
              <w:spacing w:after="0"/>
              <w:rPr>
                <w:sz w:val="12"/>
                <w:szCs w:val="12"/>
                <w:color w:val="auto"/>
              </w:rPr>
            </w:pPr>
          </w:p>
        </w:tc>
        <w:tc>
          <w:tcPr>
            <w:tcW w:w="1280" w:type="dxa"/>
            <w:vAlign w:val="bottom"/>
          </w:tcPr>
          <w:p>
            <w:pPr>
              <w:jc w:val="center"/>
              <w:ind w:left="191"/>
              <w:spacing w:after="0" w:line="142" w:lineRule="exact"/>
              <w:rPr>
                <w:sz w:val="20"/>
                <w:szCs w:val="20"/>
                <w:color w:val="auto"/>
              </w:rPr>
            </w:pPr>
            <w:r>
              <w:rPr>
                <w:rFonts w:ascii="Calibri" w:cs="Calibri" w:eastAsia="Calibri" w:hAnsi="Calibri"/>
                <w:sz w:val="14"/>
                <w:szCs w:val="14"/>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71"/>
              <w:spacing w:after="0" w:line="142" w:lineRule="exact"/>
              <w:rPr>
                <w:sz w:val="20"/>
                <w:szCs w:val="20"/>
                <w:color w:val="auto"/>
              </w:rPr>
            </w:pPr>
            <w:r>
              <w:rPr>
                <w:rFonts w:ascii="Calibri" w:cs="Calibri" w:eastAsia="Calibri" w:hAnsi="Calibri"/>
                <w:sz w:val="14"/>
                <w:szCs w:val="14"/>
                <w:b w:val="1"/>
                <w:bCs w:val="1"/>
                <w:color w:val="auto"/>
                <w:w w:val="98"/>
              </w:rPr>
              <w:t>Common</w:t>
            </w:r>
          </w:p>
        </w:tc>
        <w:tc>
          <w:tcPr>
            <w:tcW w:w="1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Calibri" w:cs="Calibri" w:eastAsia="Calibri" w:hAnsi="Calibri"/>
                <w:sz w:val="14"/>
                <w:szCs w:val="14"/>
                <w:b w:val="1"/>
                <w:bCs w:val="1"/>
                <w:color w:val="auto"/>
                <w:w w:val="94"/>
              </w:rPr>
              <w:t>Treasury</w:t>
            </w:r>
          </w:p>
        </w:tc>
        <w:tc>
          <w:tcPr>
            <w:tcW w:w="160" w:type="dxa"/>
            <w:vAlign w:val="bottom"/>
          </w:tcPr>
          <w:p>
            <w:pPr>
              <w:spacing w:after="0"/>
              <w:rPr>
                <w:sz w:val="12"/>
                <w:szCs w:val="12"/>
                <w:color w:val="auto"/>
              </w:rPr>
            </w:pPr>
          </w:p>
        </w:tc>
        <w:tc>
          <w:tcPr>
            <w:tcW w:w="780" w:type="dxa"/>
            <w:vAlign w:val="bottom"/>
          </w:tcPr>
          <w:p>
            <w:pPr>
              <w:jc w:val="right"/>
              <w:ind w:right="111"/>
              <w:spacing w:after="0" w:line="142" w:lineRule="exact"/>
              <w:rPr>
                <w:sz w:val="20"/>
                <w:szCs w:val="20"/>
                <w:color w:val="auto"/>
              </w:rPr>
            </w:pPr>
            <w:r>
              <w:rPr>
                <w:rFonts w:ascii="Calibri" w:cs="Calibri" w:eastAsia="Calibri" w:hAnsi="Calibri"/>
                <w:sz w:val="14"/>
                <w:szCs w:val="14"/>
                <w:b w:val="1"/>
                <w:bCs w:val="1"/>
                <w:color w:val="auto"/>
              </w:rPr>
              <w:t>Additonal</w:t>
            </w:r>
          </w:p>
        </w:tc>
        <w:tc>
          <w:tcPr>
            <w:tcW w:w="160" w:type="dxa"/>
            <w:vAlign w:val="bottom"/>
          </w:tcPr>
          <w:p>
            <w:pPr>
              <w:spacing w:after="0"/>
              <w:rPr>
                <w:sz w:val="12"/>
                <w:szCs w:val="12"/>
                <w:color w:val="auto"/>
              </w:rPr>
            </w:pPr>
          </w:p>
        </w:tc>
        <w:tc>
          <w:tcPr>
            <w:tcW w:w="980" w:type="dxa"/>
            <w:vAlign w:val="bottom"/>
          </w:tcPr>
          <w:p>
            <w:pPr>
              <w:jc w:val="center"/>
              <w:ind w:right="91"/>
              <w:spacing w:after="0" w:line="142" w:lineRule="exact"/>
              <w:rPr>
                <w:sz w:val="20"/>
                <w:szCs w:val="20"/>
                <w:color w:val="auto"/>
              </w:rPr>
            </w:pPr>
            <w:r>
              <w:rPr>
                <w:rFonts w:ascii="Calibri" w:cs="Calibri" w:eastAsia="Calibri" w:hAnsi="Calibri"/>
                <w:sz w:val="14"/>
                <w:szCs w:val="14"/>
                <w:b w:val="1"/>
                <w:bCs w:val="1"/>
                <w:color w:val="auto"/>
                <w:w w:val="98"/>
              </w:rPr>
              <w:t>(accumulated</w:t>
            </w:r>
          </w:p>
        </w:tc>
        <w:tc>
          <w:tcPr>
            <w:tcW w:w="1280" w:type="dxa"/>
            <w:vAlign w:val="bottom"/>
            <w:gridSpan w:val="2"/>
          </w:tcPr>
          <w:p>
            <w:pPr>
              <w:jc w:val="right"/>
              <w:ind w:right="11"/>
              <w:spacing w:after="0" w:line="142" w:lineRule="exact"/>
              <w:rPr>
                <w:sz w:val="20"/>
                <w:szCs w:val="20"/>
                <w:color w:val="auto"/>
              </w:rPr>
            </w:pPr>
            <w:r>
              <w:rPr>
                <w:rFonts w:ascii="Calibri" w:cs="Calibri" w:eastAsia="Calibri" w:hAnsi="Calibri"/>
                <w:sz w:val="14"/>
                <w:szCs w:val="14"/>
                <w:b w:val="1"/>
                <w:bCs w:val="1"/>
                <w:color w:val="auto"/>
              </w:rPr>
              <w:t>Accumulated other</w:t>
            </w:r>
          </w:p>
        </w:tc>
        <w:tc>
          <w:tcPr>
            <w:tcW w:w="180" w:type="dxa"/>
            <w:vAlign w:val="bottom"/>
          </w:tcPr>
          <w:p>
            <w:pPr>
              <w:spacing w:after="0"/>
              <w:rPr>
                <w:sz w:val="12"/>
                <w:szCs w:val="12"/>
                <w:color w:val="auto"/>
              </w:rPr>
            </w:pPr>
          </w:p>
        </w:tc>
        <w:tc>
          <w:tcPr>
            <w:tcW w:w="1080" w:type="dxa"/>
            <w:vAlign w:val="bottom"/>
          </w:tcPr>
          <w:p>
            <w:pPr>
              <w:jc w:val="right"/>
              <w:ind w:right="131"/>
              <w:spacing w:after="0" w:line="142" w:lineRule="exact"/>
              <w:rPr>
                <w:sz w:val="20"/>
                <w:szCs w:val="20"/>
                <w:color w:val="auto"/>
              </w:rPr>
            </w:pPr>
            <w:r>
              <w:rPr>
                <w:rFonts w:ascii="Calibri" w:cs="Calibri" w:eastAsia="Calibri" w:hAnsi="Calibri"/>
                <w:sz w:val="14"/>
                <w:szCs w:val="14"/>
                <w:b w:val="1"/>
                <w:bCs w:val="1"/>
                <w:color w:val="auto"/>
                <w:w w:val="98"/>
              </w:rPr>
              <w:t>Noncontrolling</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6"/>
        </w:trPr>
        <w:tc>
          <w:tcPr>
            <w:tcW w:w="28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1280" w:type="dxa"/>
            <w:vAlign w:val="bottom"/>
          </w:tcPr>
          <w:p>
            <w:pPr>
              <w:jc w:val="center"/>
              <w:ind w:left="171"/>
              <w:spacing w:after="0" w:line="164" w:lineRule="exact"/>
              <w:rPr>
                <w:sz w:val="20"/>
                <w:szCs w:val="20"/>
                <w:color w:val="auto"/>
              </w:rPr>
            </w:pPr>
            <w:r>
              <w:rPr>
                <w:rFonts w:ascii="Calibri" w:cs="Calibri" w:eastAsia="Calibri" w:hAnsi="Calibri"/>
                <w:sz w:val="14"/>
                <w:szCs w:val="14"/>
                <w:b w:val="1"/>
                <w:bCs w:val="1"/>
                <w:color w:val="auto"/>
                <w:w w:val="97"/>
              </w:rPr>
              <w:t>outstanding</w:t>
            </w:r>
          </w:p>
        </w:tc>
        <w:tc>
          <w:tcPr>
            <w:tcW w:w="140" w:type="dxa"/>
            <w:vAlign w:val="bottom"/>
          </w:tcPr>
          <w:p>
            <w:pPr>
              <w:spacing w:after="0"/>
              <w:rPr>
                <w:sz w:val="15"/>
                <w:szCs w:val="15"/>
                <w:color w:val="auto"/>
              </w:rPr>
            </w:pPr>
          </w:p>
        </w:tc>
        <w:tc>
          <w:tcPr>
            <w:tcW w:w="68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stock</w:t>
            </w:r>
          </w:p>
        </w:tc>
        <w:tc>
          <w:tcPr>
            <w:tcW w:w="18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Calibri" w:cs="Calibri" w:eastAsia="Calibri" w:hAnsi="Calibri"/>
                <w:sz w:val="14"/>
                <w:szCs w:val="14"/>
                <w:b w:val="1"/>
                <w:bCs w:val="1"/>
                <w:color w:val="auto"/>
              </w:rPr>
              <w:t>stock</w:t>
            </w:r>
          </w:p>
        </w:tc>
        <w:tc>
          <w:tcPr>
            <w:tcW w:w="94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paid-in capital</w:t>
            </w:r>
          </w:p>
        </w:tc>
        <w:tc>
          <w:tcPr>
            <w:tcW w:w="160" w:type="dxa"/>
            <w:vAlign w:val="bottom"/>
          </w:tcPr>
          <w:p>
            <w:pPr>
              <w:spacing w:after="0"/>
              <w:rPr>
                <w:sz w:val="15"/>
                <w:szCs w:val="15"/>
                <w:color w:val="auto"/>
              </w:rPr>
            </w:pPr>
          </w:p>
        </w:tc>
        <w:tc>
          <w:tcPr>
            <w:tcW w:w="980" w:type="dxa"/>
            <w:vAlign w:val="bottom"/>
          </w:tcPr>
          <w:p>
            <w:pPr>
              <w:jc w:val="center"/>
              <w:ind w:right="71"/>
              <w:spacing w:after="0" w:line="164" w:lineRule="exact"/>
              <w:rPr>
                <w:sz w:val="20"/>
                <w:szCs w:val="20"/>
                <w:color w:val="auto"/>
              </w:rPr>
            </w:pPr>
            <w:r>
              <w:rPr>
                <w:rFonts w:ascii="Calibri" w:cs="Calibri" w:eastAsia="Calibri" w:hAnsi="Calibri"/>
                <w:sz w:val="14"/>
                <w:szCs w:val="14"/>
                <w:b w:val="1"/>
                <w:bCs w:val="1"/>
                <w:color w:val="auto"/>
              </w:rPr>
              <w:t>defcit)</w:t>
            </w:r>
          </w:p>
        </w:tc>
        <w:tc>
          <w:tcPr>
            <w:tcW w:w="128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comprehensive loss</w:t>
            </w:r>
          </w:p>
        </w:tc>
        <w:tc>
          <w:tcPr>
            <w:tcW w:w="180" w:type="dxa"/>
            <w:vAlign w:val="bottom"/>
          </w:tcPr>
          <w:p>
            <w:pPr>
              <w:spacing w:after="0"/>
              <w:rPr>
                <w:sz w:val="15"/>
                <w:szCs w:val="15"/>
                <w:color w:val="auto"/>
              </w:rPr>
            </w:pPr>
          </w:p>
        </w:tc>
        <w:tc>
          <w:tcPr>
            <w:tcW w:w="1080" w:type="dxa"/>
            <w:vAlign w:val="bottom"/>
          </w:tcPr>
          <w:p>
            <w:pPr>
              <w:jc w:val="right"/>
              <w:ind w:right="331"/>
              <w:spacing w:after="0"/>
              <w:rPr>
                <w:sz w:val="20"/>
                <w:szCs w:val="20"/>
                <w:color w:val="auto"/>
              </w:rPr>
            </w:pPr>
            <w:r>
              <w:rPr>
                <w:rFonts w:ascii="Calibri" w:cs="Calibri" w:eastAsia="Calibri" w:hAnsi="Calibri"/>
                <w:sz w:val="14"/>
                <w:szCs w:val="14"/>
                <w:b w:val="1"/>
                <w:bCs w:val="1"/>
                <w:color w:val="auto"/>
              </w:rPr>
              <w:t>interest</w:t>
            </w:r>
          </w:p>
        </w:tc>
        <w:tc>
          <w:tcPr>
            <w:tcW w:w="220" w:type="dxa"/>
            <w:vAlign w:val="bottom"/>
          </w:tcPr>
          <w:p>
            <w:pPr>
              <w:spacing w:after="0"/>
              <w:rPr>
                <w:sz w:val="15"/>
                <w:szCs w:val="15"/>
                <w:color w:val="auto"/>
              </w:rPr>
            </w:pPr>
          </w:p>
        </w:tc>
        <w:tc>
          <w:tcPr>
            <w:tcW w:w="600" w:type="dxa"/>
            <w:vAlign w:val="bottom"/>
          </w:tcPr>
          <w:p>
            <w:pPr>
              <w:jc w:val="right"/>
              <w:ind w:right="171"/>
              <w:spacing w:after="0" w:line="164" w:lineRule="exact"/>
              <w:rPr>
                <w:sz w:val="20"/>
                <w:szCs w:val="20"/>
                <w:color w:val="auto"/>
              </w:rPr>
            </w:pPr>
            <w:r>
              <w:rPr>
                <w:rFonts w:ascii="Calibri" w:cs="Calibri" w:eastAsia="Calibri" w:hAnsi="Calibri"/>
                <w:sz w:val="14"/>
                <w:szCs w:val="14"/>
                <w:b w:val="1"/>
                <w:bCs w:val="1"/>
                <w:color w:val="auto"/>
              </w:rPr>
              <w:t>Total</w:t>
            </w:r>
          </w:p>
        </w:tc>
      </w:tr>
      <w:tr>
        <w:trPr>
          <w:trHeight w:val="30"/>
        </w:trPr>
        <w:tc>
          <w:tcPr>
            <w:tcW w:w="2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6"/>
        </w:trPr>
        <w:tc>
          <w:tcPr>
            <w:tcW w:w="28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b w:val="1"/>
                <w:bCs w:val="1"/>
                <w:color w:val="auto"/>
              </w:rPr>
              <w:t>Balance at June 30, 2023</w:t>
            </w:r>
          </w:p>
        </w:tc>
        <w:tc>
          <w:tcPr>
            <w:tcW w:w="12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1,765</w:t>
            </w:r>
          </w:p>
        </w:tc>
        <w:tc>
          <w:tcPr>
            <w:tcW w:w="14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18</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(6,528)</w:t>
            </w:r>
          </w:p>
        </w:tc>
        <w:tc>
          <w:tcPr>
            <w:tcW w:w="160" w:type="dxa"/>
            <w:vAlign w:val="bottom"/>
            <w:tcBorders>
              <w:bottom w:val="single" w:sz="8" w:color="CCEEFF"/>
            </w:tcBorders>
            <w:shd w:val="clear" w:color="auto" w:fill="CCEEFF"/>
          </w:tcPr>
          <w:p>
            <w:pPr>
              <w:ind w:left="60"/>
              <w:spacing w:after="0" w:line="156"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19,839</w:t>
            </w:r>
          </w:p>
        </w:tc>
        <w:tc>
          <w:tcPr>
            <w:tcW w:w="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1,789</w:t>
            </w:r>
          </w:p>
        </w:tc>
        <w:tc>
          <w:tcPr>
            <w:tcW w:w="480" w:type="dxa"/>
            <w:vAlign w:val="bottom"/>
            <w:tcBorders>
              <w:bottom w:val="single" w:sz="8" w:color="CCEEFF"/>
            </w:tcBorders>
            <w:shd w:val="clear" w:color="auto" w:fill="CCEEFF"/>
          </w:tcPr>
          <w:p>
            <w:pPr>
              <w:ind w:left="60"/>
              <w:spacing w:after="0" w:line="156"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(2,252)</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32</w:t>
            </w:r>
          </w:p>
        </w:tc>
        <w:tc>
          <w:tcPr>
            <w:tcW w:w="22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12,898</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Net earnings atributable to AbbVie Inc.</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1,778</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1,778</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Other comprehensive loss, net of tax</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(101)</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(101)</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Dividends declared</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(2,634)</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(2,634)</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Purchases of treasury stock</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(4)</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Stock-based compensaton plans and other</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7</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182</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189</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8"/>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Change in noncontrolling interest</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3</w:t>
            </w: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w:t>
            </w:r>
          </w:p>
        </w:tc>
      </w:tr>
      <w:tr>
        <w:trPr>
          <w:trHeight w:val="156"/>
        </w:trPr>
        <w:tc>
          <w:tcPr>
            <w:tcW w:w="28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b w:val="1"/>
                <w:bCs w:val="1"/>
                <w:color w:val="auto"/>
              </w:rPr>
              <w:t>Balance at September 30, 2023</w:t>
            </w:r>
          </w:p>
        </w:tc>
        <w:tc>
          <w:tcPr>
            <w:tcW w:w="12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1,765</w:t>
            </w:r>
          </w:p>
        </w:tc>
        <w:tc>
          <w:tcPr>
            <w:tcW w:w="14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18</w:t>
            </w:r>
          </w:p>
        </w:tc>
        <w:tc>
          <w:tcPr>
            <w:tcW w:w="18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(6,525)</w:t>
            </w:r>
          </w:p>
        </w:tc>
        <w:tc>
          <w:tcPr>
            <w:tcW w:w="160" w:type="dxa"/>
            <w:vAlign w:val="bottom"/>
            <w:tcBorders>
              <w:top w:val="single" w:sz="8" w:color="auto"/>
            </w:tcBorders>
          </w:tcPr>
          <w:p>
            <w:pPr>
              <w:ind w:left="60"/>
              <w:spacing w:after="0" w:line="156" w:lineRule="exact"/>
              <w:rPr>
                <w:sz w:val="20"/>
                <w:szCs w:val="20"/>
                <w:color w:val="auto"/>
              </w:rPr>
            </w:pPr>
            <w:r>
              <w:rPr>
                <w:rFonts w:ascii="Calibri" w:cs="Calibri" w:eastAsia="Calibri" w:hAnsi="Calibri"/>
                <w:sz w:val="14"/>
                <w:szCs w:val="14"/>
                <w:color w:val="auto"/>
              </w:rPr>
              <w:t>$</w:t>
            </w:r>
          </w:p>
        </w:tc>
        <w:tc>
          <w:tcPr>
            <w:tcW w:w="7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20,021</w:t>
            </w:r>
          </w:p>
        </w:tc>
        <w:tc>
          <w:tcPr>
            <w:tcW w:w="16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933</w:t>
            </w:r>
          </w:p>
        </w:tc>
        <w:tc>
          <w:tcPr>
            <w:tcW w:w="480" w:type="dxa"/>
            <w:vAlign w:val="bottom"/>
            <w:tcBorders>
              <w:top w:val="single" w:sz="8" w:color="auto"/>
            </w:tcBorders>
          </w:tcPr>
          <w:p>
            <w:pPr>
              <w:ind w:left="60"/>
              <w:spacing w:after="0" w:line="156"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(2,353)</w:t>
            </w:r>
          </w:p>
        </w:tc>
        <w:tc>
          <w:tcPr>
            <w:tcW w:w="18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10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35</w:t>
            </w:r>
          </w:p>
        </w:tc>
        <w:tc>
          <w:tcPr>
            <w:tcW w:w="22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12,129</w:t>
            </w:r>
          </w:p>
        </w:tc>
      </w:tr>
      <w:tr>
        <w:trPr>
          <w:trHeight w:val="30"/>
        </w:trPr>
        <w:tc>
          <w:tcPr>
            <w:tcW w:w="2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2"/>
        </w:trPr>
        <w:tc>
          <w:tcPr>
            <w:tcW w:w="2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2024</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1,766</w:t>
            </w:r>
          </w:p>
        </w:tc>
        <w:tc>
          <w:tcPr>
            <w:tcW w:w="14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18</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(7,838)</w:t>
            </w:r>
          </w:p>
        </w:tc>
        <w:tc>
          <w:tcPr>
            <w:tcW w:w="160" w:type="dxa"/>
            <w:vAlign w:val="bottom"/>
          </w:tcPr>
          <w:p>
            <w:pPr>
              <w:ind w:left="60"/>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20,879</w:t>
            </w:r>
          </w:p>
        </w:tc>
        <w:tc>
          <w:tcPr>
            <w:tcW w:w="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(3,768)</w:t>
            </w:r>
          </w:p>
        </w:tc>
        <w:tc>
          <w:tcPr>
            <w:tcW w:w="480" w:type="dxa"/>
            <w:vAlign w:val="bottom"/>
          </w:tcPr>
          <w:p>
            <w:pPr>
              <w:ind w:left="6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(2,513)</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43</w:t>
            </w:r>
          </w:p>
        </w:tc>
        <w:tc>
          <w:tcPr>
            <w:tcW w:w="22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6,821</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Net earnings atributable to AbbVie Inc.</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1,561</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1,561</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Other comprehensive income, net of tax</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179</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179</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Dividends declared</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(2,757)</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(2,757)</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Purchases of treasury stock</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(17)</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(17)</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Stock-based compensaton plans and other</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7</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281</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288</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Change in noncontrolling interest</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(4)</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(4)</w:t>
            </w:r>
          </w:p>
        </w:tc>
      </w:tr>
      <w:tr>
        <w:trPr>
          <w:trHeight w:val="30"/>
        </w:trPr>
        <w:tc>
          <w:tcPr>
            <w:tcW w:w="2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1"/>
        </w:trPr>
        <w:tc>
          <w:tcPr>
            <w:tcW w:w="28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b w:val="1"/>
                <w:bCs w:val="1"/>
                <w:color w:val="auto"/>
              </w:rPr>
              <w:t>Balance at September 30, 2024</w:t>
            </w:r>
          </w:p>
        </w:tc>
        <w:tc>
          <w:tcPr>
            <w:tcW w:w="12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1,767</w:t>
            </w:r>
          </w:p>
        </w:tc>
        <w:tc>
          <w:tcPr>
            <w:tcW w:w="14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18</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(7,848)</w:t>
            </w:r>
          </w:p>
        </w:tc>
        <w:tc>
          <w:tcPr>
            <w:tcW w:w="160" w:type="dxa"/>
            <w:vAlign w:val="bottom"/>
            <w:tcBorders>
              <w:bottom w:val="single" w:sz="8" w:color="CCEEFF"/>
            </w:tcBorders>
            <w:shd w:val="clear" w:color="auto" w:fill="CCEEFF"/>
          </w:tcPr>
          <w:p>
            <w:pPr>
              <w:ind w:left="60"/>
              <w:spacing w:after="0" w:line="156"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21,160</w:t>
            </w:r>
          </w:p>
        </w:tc>
        <w:tc>
          <w:tcPr>
            <w:tcW w:w="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(4,964)</w:t>
            </w:r>
          </w:p>
        </w:tc>
        <w:tc>
          <w:tcPr>
            <w:tcW w:w="480" w:type="dxa"/>
            <w:vAlign w:val="bottom"/>
            <w:tcBorders>
              <w:bottom w:val="single" w:sz="8" w:color="CCEEFF"/>
            </w:tcBorders>
            <w:shd w:val="clear" w:color="auto" w:fill="CCEEFF"/>
          </w:tcPr>
          <w:p>
            <w:pPr>
              <w:ind w:left="60"/>
              <w:spacing w:after="0" w:line="156"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(2,334)</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39</w:t>
            </w:r>
          </w:p>
        </w:tc>
        <w:tc>
          <w:tcPr>
            <w:tcW w:w="22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6,071</w:t>
            </w: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December 31, 2022</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1,769</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18</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(4,594)</w:t>
            </w:r>
          </w:p>
        </w:tc>
        <w:tc>
          <w:tcPr>
            <w:tcW w:w="160" w:type="dxa"/>
            <w:vAlign w:val="bottom"/>
            <w:tcBorders>
              <w:bottom w:val="single" w:sz="8" w:color="CCEEFF"/>
            </w:tcBorders>
            <w:shd w:val="clear" w:color="auto" w:fill="CCEEFF"/>
          </w:tcPr>
          <w:p>
            <w:pPr>
              <w:ind w:left="60"/>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19,245</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4,784</w:t>
            </w:r>
          </w:p>
        </w:tc>
        <w:tc>
          <w:tcPr>
            <w:tcW w:w="480" w:type="dxa"/>
            <w:vAlign w:val="bottom"/>
            <w:tcBorders>
              <w:bottom w:val="single" w:sz="8" w:color="CCEEFF"/>
            </w:tcBorders>
            <w:shd w:val="clear" w:color="auto" w:fill="CCEEFF"/>
          </w:tcPr>
          <w:p>
            <w:pPr>
              <w:ind w:left="6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(2,199)</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33</w:t>
            </w:r>
          </w:p>
        </w:tc>
        <w:tc>
          <w:tcPr>
            <w:tcW w:w="22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17,287</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Net earnings atributable to AbbVie Inc.</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4,041</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4,041</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Other comprehensive loss, net of tax</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(154)</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(154)</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Dividends declared</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(7,892)</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(7,892)</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Purchases of treasury stock</w:t>
            </w:r>
          </w:p>
        </w:tc>
        <w:tc>
          <w:tcPr>
            <w:tcW w:w="12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(12)</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(1,969)</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(1,969)</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Stock-based compensaton plans and other</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8</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38</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776</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814</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8"/>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Change in noncontrolling interest</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2</w:t>
            </w: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w:t>
            </w:r>
          </w:p>
        </w:tc>
      </w:tr>
      <w:tr>
        <w:trPr>
          <w:trHeight w:val="156"/>
        </w:trPr>
        <w:tc>
          <w:tcPr>
            <w:tcW w:w="28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b w:val="1"/>
                <w:bCs w:val="1"/>
                <w:color w:val="auto"/>
              </w:rPr>
              <w:t>Balance at September 30, 2023</w:t>
            </w:r>
          </w:p>
        </w:tc>
        <w:tc>
          <w:tcPr>
            <w:tcW w:w="12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1,765</w:t>
            </w:r>
          </w:p>
        </w:tc>
        <w:tc>
          <w:tcPr>
            <w:tcW w:w="14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18</w:t>
            </w:r>
          </w:p>
        </w:tc>
        <w:tc>
          <w:tcPr>
            <w:tcW w:w="18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(6,525)</w:t>
            </w:r>
          </w:p>
        </w:tc>
        <w:tc>
          <w:tcPr>
            <w:tcW w:w="160" w:type="dxa"/>
            <w:vAlign w:val="bottom"/>
            <w:tcBorders>
              <w:top w:val="single" w:sz="8" w:color="auto"/>
            </w:tcBorders>
          </w:tcPr>
          <w:p>
            <w:pPr>
              <w:ind w:left="60"/>
              <w:spacing w:after="0" w:line="156" w:lineRule="exact"/>
              <w:rPr>
                <w:sz w:val="20"/>
                <w:szCs w:val="20"/>
                <w:color w:val="auto"/>
              </w:rPr>
            </w:pPr>
            <w:r>
              <w:rPr>
                <w:rFonts w:ascii="Calibri" w:cs="Calibri" w:eastAsia="Calibri" w:hAnsi="Calibri"/>
                <w:sz w:val="14"/>
                <w:szCs w:val="14"/>
                <w:color w:val="auto"/>
              </w:rPr>
              <w:t>$</w:t>
            </w:r>
          </w:p>
        </w:tc>
        <w:tc>
          <w:tcPr>
            <w:tcW w:w="7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20,021</w:t>
            </w:r>
          </w:p>
        </w:tc>
        <w:tc>
          <w:tcPr>
            <w:tcW w:w="16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933</w:t>
            </w:r>
          </w:p>
        </w:tc>
        <w:tc>
          <w:tcPr>
            <w:tcW w:w="480" w:type="dxa"/>
            <w:vAlign w:val="bottom"/>
            <w:tcBorders>
              <w:top w:val="single" w:sz="8" w:color="auto"/>
            </w:tcBorders>
          </w:tcPr>
          <w:p>
            <w:pPr>
              <w:ind w:left="60"/>
              <w:spacing w:after="0" w:line="156"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(2,353)</w:t>
            </w:r>
          </w:p>
        </w:tc>
        <w:tc>
          <w:tcPr>
            <w:tcW w:w="18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w:t>
            </w:r>
          </w:p>
        </w:tc>
        <w:tc>
          <w:tcPr>
            <w:tcW w:w="108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35</w:t>
            </w:r>
          </w:p>
        </w:tc>
        <w:tc>
          <w:tcPr>
            <w:tcW w:w="22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12,129</w:t>
            </w:r>
          </w:p>
        </w:tc>
      </w:tr>
      <w:tr>
        <w:trPr>
          <w:trHeight w:val="30"/>
        </w:trPr>
        <w:tc>
          <w:tcPr>
            <w:tcW w:w="2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2"/>
        </w:trPr>
        <w:tc>
          <w:tcPr>
            <w:tcW w:w="2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Balance at December 31, 2023</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1,766</w:t>
            </w:r>
          </w:p>
        </w:tc>
        <w:tc>
          <w:tcPr>
            <w:tcW w:w="14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18</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(6,533)</w:t>
            </w:r>
          </w:p>
        </w:tc>
        <w:tc>
          <w:tcPr>
            <w:tcW w:w="160" w:type="dxa"/>
            <w:vAlign w:val="bottom"/>
          </w:tcPr>
          <w:p>
            <w:pPr>
              <w:ind w:left="60"/>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20,180</w:t>
            </w:r>
          </w:p>
        </w:tc>
        <w:tc>
          <w:tcPr>
            <w:tcW w:w="16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(1,000)</w:t>
            </w:r>
          </w:p>
        </w:tc>
        <w:tc>
          <w:tcPr>
            <w:tcW w:w="480" w:type="dxa"/>
            <w:vAlign w:val="bottom"/>
          </w:tcPr>
          <w:p>
            <w:pPr>
              <w:ind w:left="6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(2,305)</w:t>
            </w:r>
          </w:p>
        </w:tc>
        <w:tc>
          <w:tcPr>
            <w:tcW w:w="1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37</w:t>
            </w:r>
          </w:p>
        </w:tc>
        <w:tc>
          <w:tcPr>
            <w:tcW w:w="22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10,397</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Net earnings atributable to AbbVie Inc.</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4,300</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4,300</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Other comprehensive loss, net of tax</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(29)</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(29)</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Dividends declared</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(8,264)</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(8,264)</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Purchases of treasury stock</w:t>
            </w:r>
          </w:p>
        </w:tc>
        <w:tc>
          <w:tcPr>
            <w:tcW w:w="1280" w:type="dxa"/>
            <w:vAlign w:val="bottom"/>
          </w:tcPr>
          <w:p>
            <w:pPr>
              <w:jc w:val="right"/>
              <w:spacing w:after="0" w:line="164" w:lineRule="exact"/>
              <w:rPr>
                <w:sz w:val="20"/>
                <w:szCs w:val="20"/>
                <w:color w:val="auto"/>
              </w:rPr>
            </w:pPr>
            <w:r>
              <w:rPr>
                <w:rFonts w:ascii="Calibri" w:cs="Calibri" w:eastAsia="Calibri" w:hAnsi="Calibri"/>
                <w:sz w:val="14"/>
                <w:szCs w:val="14"/>
                <w:color w:val="auto"/>
              </w:rPr>
              <w:t>(7)</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(1,350)</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(1,350)</w:t>
            </w:r>
          </w:p>
        </w:tc>
      </w:tr>
      <w:tr>
        <w:trPr>
          <w:trHeight w:val="30"/>
        </w:trPr>
        <w:tc>
          <w:tcPr>
            <w:tcW w:w="2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28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Stock-based compensaton plans and other</w:t>
            </w:r>
          </w:p>
        </w:tc>
        <w:tc>
          <w:tcPr>
            <w:tcW w:w="12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35</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980</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1,015</w:t>
            </w:r>
          </w:p>
        </w:tc>
      </w:tr>
      <w:tr>
        <w:trPr>
          <w:trHeight w:val="163"/>
        </w:trPr>
        <w:tc>
          <w:tcPr>
            <w:tcW w:w="2820" w:type="dxa"/>
            <w:vAlign w:val="bottom"/>
          </w:tcPr>
          <w:p>
            <w:pPr>
              <w:ind w:left="20"/>
              <w:spacing w:after="0" w:line="164" w:lineRule="exact"/>
              <w:rPr>
                <w:sz w:val="20"/>
                <w:szCs w:val="20"/>
                <w:color w:val="auto"/>
              </w:rPr>
            </w:pPr>
            <w:r>
              <w:rPr>
                <w:rFonts w:ascii="Calibri" w:cs="Calibri" w:eastAsia="Calibri" w:hAnsi="Calibri"/>
                <w:sz w:val="14"/>
                <w:szCs w:val="14"/>
                <w:color w:val="auto"/>
              </w:rPr>
              <w:t>Change in noncontrolling interest</w:t>
            </w:r>
          </w:p>
        </w:tc>
        <w:tc>
          <w:tcPr>
            <w:tcW w:w="12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w:t>
            </w:r>
          </w:p>
        </w:tc>
        <w:tc>
          <w:tcPr>
            <w:tcW w:w="2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color w:val="auto"/>
              </w:rPr>
              <w:t>2</w:t>
            </w:r>
          </w:p>
        </w:tc>
      </w:tr>
      <w:tr>
        <w:trPr>
          <w:trHeight w:val="30"/>
        </w:trPr>
        <w:tc>
          <w:tcPr>
            <w:tcW w:w="2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1"/>
        </w:trPr>
        <w:tc>
          <w:tcPr>
            <w:tcW w:w="28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b w:val="1"/>
                <w:bCs w:val="1"/>
                <w:color w:val="auto"/>
              </w:rPr>
              <w:t>Balance at September 30, 2024</w:t>
            </w:r>
          </w:p>
        </w:tc>
        <w:tc>
          <w:tcPr>
            <w:tcW w:w="12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1,767</w:t>
            </w:r>
          </w:p>
        </w:tc>
        <w:tc>
          <w:tcPr>
            <w:tcW w:w="14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18</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(7,848)</w:t>
            </w:r>
          </w:p>
        </w:tc>
        <w:tc>
          <w:tcPr>
            <w:tcW w:w="160" w:type="dxa"/>
            <w:vAlign w:val="bottom"/>
            <w:tcBorders>
              <w:bottom w:val="single" w:sz="8" w:color="CCEEFF"/>
            </w:tcBorders>
            <w:shd w:val="clear" w:color="auto" w:fill="CCEEFF"/>
          </w:tcPr>
          <w:p>
            <w:pPr>
              <w:ind w:left="60"/>
              <w:spacing w:after="0" w:line="156"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21,160</w:t>
            </w:r>
          </w:p>
        </w:tc>
        <w:tc>
          <w:tcPr>
            <w:tcW w:w="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(4,964)</w:t>
            </w:r>
          </w:p>
        </w:tc>
        <w:tc>
          <w:tcPr>
            <w:tcW w:w="480" w:type="dxa"/>
            <w:vAlign w:val="bottom"/>
            <w:tcBorders>
              <w:bottom w:val="single" w:sz="8" w:color="CCEEFF"/>
            </w:tcBorders>
            <w:shd w:val="clear" w:color="auto" w:fill="CCEEFF"/>
          </w:tcPr>
          <w:p>
            <w:pPr>
              <w:ind w:left="60"/>
              <w:spacing w:after="0" w:line="156"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(2,334)</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39</w:t>
            </w:r>
          </w:p>
        </w:tc>
        <w:tc>
          <w:tcPr>
            <w:tcW w:w="22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6,071</w:t>
            </w: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382905</wp:posOffset>
            </wp:positionV>
            <wp:extent cx="491490" cy="90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4</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 w:name="page7"/>
    <w:bookmarkEnd w:id="6"/>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Condensed Consolidated Statements of Cash Flows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74"/>
              <w:spacing w:after="0" w:line="164" w:lineRule="exact"/>
              <w:rPr>
                <w:sz w:val="20"/>
                <w:szCs w:val="20"/>
                <w:color w:val="auto"/>
              </w:rPr>
            </w:pPr>
            <w:r>
              <w:rPr>
                <w:rFonts w:ascii="Calibri" w:cs="Calibri" w:eastAsia="Calibri" w:hAnsi="Calibri"/>
                <w:sz w:val="14"/>
                <w:szCs w:val="14"/>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4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(brackets denote cash outlows)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95"/>
              <w:spacing w:after="0" w:line="156"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3"/>
                <w:szCs w:val="13"/>
                <w:color w:val="auto"/>
              </w:rPr>
            </w:pPr>
          </w:p>
        </w:tc>
        <w:tc>
          <w:tcPr>
            <w:tcW w:w="820" w:type="dxa"/>
            <w:vAlign w:val="bottom"/>
          </w:tcPr>
          <w:p>
            <w:pPr>
              <w:jc w:val="right"/>
              <w:ind w:right="455"/>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8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Cash fows from operatng actvites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Net earnings</w:t>
            </w:r>
          </w:p>
        </w:tc>
        <w:tc>
          <w:tcPr>
            <w:tcW w:w="320" w:type="dxa"/>
            <w:vAlign w:val="bottom"/>
            <w:shd w:val="clear" w:color="auto" w:fill="CCEEFF"/>
          </w:tcPr>
          <w:p>
            <w:pPr>
              <w:jc w:val="right"/>
              <w:ind w:right="134"/>
              <w:spacing w:after="0"/>
              <w:rPr>
                <w:sz w:val="20"/>
                <w:szCs w:val="20"/>
                <w:color w:val="auto"/>
              </w:rPr>
            </w:pPr>
            <w:r>
              <w:rPr>
                <w:rFonts w:ascii="Calibri" w:cs="Calibri" w:eastAsia="Calibri" w:hAnsi="Calibri"/>
                <w:sz w:val="17"/>
                <w:szCs w:val="17"/>
                <w:color w:val="auto"/>
                <w:w w:val="92"/>
              </w:rPr>
              <w:t>$</w:t>
            </w: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4,309</w:t>
            </w:r>
          </w:p>
        </w:tc>
        <w:tc>
          <w:tcPr>
            <w:tcW w:w="580" w:type="dxa"/>
            <w:vAlign w:val="bottom"/>
            <w:shd w:val="clear" w:color="auto" w:fill="CCEEFF"/>
          </w:tcPr>
          <w:p>
            <w:pPr>
              <w:jc w:val="right"/>
              <w:ind w:right="334"/>
              <w:spacing w:after="0"/>
              <w:rPr>
                <w:sz w:val="20"/>
                <w:szCs w:val="20"/>
                <w:color w:val="auto"/>
              </w:rPr>
            </w:pPr>
            <w:r>
              <w:rPr>
                <w:rFonts w:ascii="Calibri" w:cs="Calibri" w:eastAsia="Calibri" w:hAnsi="Calibri"/>
                <w:sz w:val="17"/>
                <w:szCs w:val="17"/>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4,049</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Adjustments to reconcile net earnings to net cash from operatng actvites: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Depreciaton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558</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565</w:t>
            </w:r>
          </w:p>
        </w:tc>
        <w:tc>
          <w:tcPr>
            <w:tcW w:w="0" w:type="dxa"/>
            <w:vAlign w:val="bottom"/>
          </w:tcPr>
          <w:p>
            <w:pPr>
              <w:spacing w:after="0"/>
              <w:rPr>
                <w:sz w:val="1"/>
                <w:szCs w:val="1"/>
                <w:color w:val="auto"/>
              </w:rPr>
            </w:pPr>
          </w:p>
        </w:tc>
      </w:tr>
      <w:tr>
        <w:trPr>
          <w:trHeight w:val="212"/>
        </w:trPr>
        <w:tc>
          <w:tcPr>
            <w:tcW w:w="8440" w:type="dxa"/>
            <w:vAlign w:val="bottom"/>
          </w:tcPr>
          <w:p>
            <w:pPr>
              <w:ind w:left="160"/>
              <w:spacing w:after="0" w:line="205" w:lineRule="exact"/>
              <w:rPr>
                <w:sz w:val="20"/>
                <w:szCs w:val="20"/>
                <w:color w:val="auto"/>
              </w:rPr>
            </w:pPr>
            <w:r>
              <w:rPr>
                <w:rFonts w:ascii="Calibri" w:cs="Calibri" w:eastAsia="Calibri" w:hAnsi="Calibri"/>
                <w:sz w:val="17"/>
                <w:szCs w:val="17"/>
                <w:color w:val="auto"/>
              </w:rPr>
              <w:t>Amortzaton of intangible assets</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5,726</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6,057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(682)</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(1,498)</w:t>
            </w:r>
          </w:p>
        </w:tc>
        <w:tc>
          <w:tcPr>
            <w:tcW w:w="0" w:type="dxa"/>
            <w:vAlign w:val="bottom"/>
          </w:tcPr>
          <w:p>
            <w:pPr>
              <w:spacing w:after="0"/>
              <w:rPr>
                <w:sz w:val="1"/>
                <w:szCs w:val="1"/>
                <w:color w:val="auto"/>
              </w:rPr>
            </w:pPr>
          </w:p>
        </w:tc>
      </w:tr>
      <w:tr>
        <w:trPr>
          <w:trHeight w:val="212"/>
        </w:trPr>
        <w:tc>
          <w:tcPr>
            <w:tcW w:w="8440" w:type="dxa"/>
            <w:vAlign w:val="bottom"/>
          </w:tcPr>
          <w:p>
            <w:pPr>
              <w:ind w:left="160"/>
              <w:spacing w:after="0" w:line="205" w:lineRule="exact"/>
              <w:rPr>
                <w:sz w:val="20"/>
                <w:szCs w:val="20"/>
                <w:color w:val="auto"/>
              </w:rPr>
            </w:pPr>
            <w:r>
              <w:rPr>
                <w:rFonts w:ascii="Calibri" w:cs="Calibri" w:eastAsia="Calibri" w:hAnsi="Calibri"/>
                <w:sz w:val="17"/>
                <w:szCs w:val="17"/>
                <w:color w:val="auto"/>
              </w:rPr>
              <w:t>Change in fair value of contngent consideraton liabilites</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3,492</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3,432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Payments of contngent consideraton liabilites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(1,456)</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(407)</w:t>
            </w:r>
          </w:p>
        </w:tc>
        <w:tc>
          <w:tcPr>
            <w:tcW w:w="0" w:type="dxa"/>
            <w:vAlign w:val="bottom"/>
          </w:tcPr>
          <w:p>
            <w:pPr>
              <w:spacing w:after="0"/>
              <w:rPr>
                <w:sz w:val="1"/>
                <w:szCs w:val="1"/>
                <w:color w:val="auto"/>
              </w:rPr>
            </w:pPr>
          </w:p>
        </w:tc>
      </w:tr>
      <w:tr>
        <w:trPr>
          <w:trHeight w:val="212"/>
        </w:trPr>
        <w:tc>
          <w:tcPr>
            <w:tcW w:w="8440" w:type="dxa"/>
            <w:vAlign w:val="bottom"/>
          </w:tcPr>
          <w:p>
            <w:pPr>
              <w:ind w:left="160"/>
              <w:spacing w:after="0" w:line="205" w:lineRule="exact"/>
              <w:rPr>
                <w:sz w:val="20"/>
                <w:szCs w:val="20"/>
                <w:color w:val="auto"/>
              </w:rPr>
            </w:pPr>
            <w:r>
              <w:rPr>
                <w:rFonts w:ascii="Calibri" w:cs="Calibri" w:eastAsia="Calibri" w:hAnsi="Calibri"/>
                <w:sz w:val="17"/>
                <w:szCs w:val="17"/>
                <w:color w:val="auto"/>
              </w:rPr>
              <w:t>Stock-based compensaton</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747</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622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Acquired IPR&amp;D and milestones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1,183</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496</w:t>
            </w:r>
          </w:p>
        </w:tc>
        <w:tc>
          <w:tcPr>
            <w:tcW w:w="0" w:type="dxa"/>
            <w:vAlign w:val="bottom"/>
          </w:tcPr>
          <w:p>
            <w:pPr>
              <w:spacing w:after="0"/>
              <w:rPr>
                <w:sz w:val="1"/>
                <w:szCs w:val="1"/>
                <w:color w:val="auto"/>
              </w:rPr>
            </w:pPr>
          </w:p>
        </w:tc>
      </w:tr>
      <w:tr>
        <w:trPr>
          <w:trHeight w:val="212"/>
        </w:trPr>
        <w:tc>
          <w:tcPr>
            <w:tcW w:w="8440" w:type="dxa"/>
            <w:vAlign w:val="bottom"/>
          </w:tcPr>
          <w:p>
            <w:pPr>
              <w:ind w:left="160"/>
              <w:spacing w:after="0" w:line="205" w:lineRule="exact"/>
              <w:rPr>
                <w:sz w:val="20"/>
                <w:szCs w:val="20"/>
                <w:color w:val="auto"/>
              </w:rPr>
            </w:pPr>
            <w:r>
              <w:rPr>
                <w:rFonts w:ascii="Calibri" w:cs="Calibri" w:eastAsia="Calibri" w:hAnsi="Calibri"/>
                <w:sz w:val="17"/>
                <w:szCs w:val="17"/>
                <w:color w:val="auto"/>
              </w:rPr>
              <w:t>Non-cash litgaton reserve adjustments, net of cash payments</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341</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(205)</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Impairment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2,824</w:t>
            </w:r>
          </w:p>
        </w:tc>
        <w:tc>
          <w:tcPr>
            <w:tcW w:w="0" w:type="dxa"/>
            <w:vAlign w:val="bottom"/>
          </w:tcPr>
          <w:p>
            <w:pPr>
              <w:spacing w:after="0"/>
              <w:rPr>
                <w:sz w:val="1"/>
                <w:szCs w:val="1"/>
                <w:color w:val="auto"/>
              </w:rPr>
            </w:pPr>
          </w:p>
        </w:tc>
      </w:tr>
      <w:tr>
        <w:trPr>
          <w:trHeight w:val="212"/>
        </w:trPr>
        <w:tc>
          <w:tcPr>
            <w:tcW w:w="8440" w:type="dxa"/>
            <w:vAlign w:val="bottom"/>
          </w:tcPr>
          <w:p>
            <w:pPr>
              <w:ind w:left="160"/>
              <w:spacing w:after="0" w:line="205" w:lineRule="exact"/>
              <w:rPr>
                <w:sz w:val="20"/>
                <w:szCs w:val="20"/>
                <w:color w:val="auto"/>
              </w:rPr>
            </w:pPr>
            <w:r>
              <w:rPr>
                <w:rFonts w:ascii="Calibri" w:cs="Calibri" w:eastAsia="Calibri" w:hAnsi="Calibri"/>
                <w:sz w:val="17"/>
                <w:szCs w:val="17"/>
                <w:color w:val="auto"/>
              </w:rPr>
              <w:t>Other, net</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(75)</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(219)</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Calibri" w:cs="Calibri" w:eastAsia="Calibri" w:hAnsi="Calibri"/>
                <w:sz w:val="17"/>
                <w:szCs w:val="17"/>
                <w:color w:val="auto"/>
              </w:rPr>
              <w:t>Changes in operatng assets and liabilites, net of acquisitons: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320"/>
              <w:spacing w:after="0" w:line="205" w:lineRule="exact"/>
              <w:rPr>
                <w:sz w:val="20"/>
                <w:szCs w:val="20"/>
                <w:color w:val="auto"/>
              </w:rPr>
            </w:pPr>
            <w:r>
              <w:rPr>
                <w:rFonts w:ascii="Calibri" w:cs="Calibri" w:eastAsia="Calibri" w:hAnsi="Calibri"/>
                <w:sz w:val="17"/>
                <w:szCs w:val="17"/>
                <w:color w:val="auto"/>
              </w:rPr>
              <w:t>Accounts receivable</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(180)</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(273)</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320"/>
              <w:spacing w:after="0"/>
              <w:rPr>
                <w:sz w:val="20"/>
                <w:szCs w:val="20"/>
                <w:color w:val="auto"/>
              </w:rPr>
            </w:pPr>
            <w:r>
              <w:rPr>
                <w:rFonts w:ascii="Calibri" w:cs="Calibri" w:eastAsia="Calibri" w:hAnsi="Calibri"/>
                <w:sz w:val="17"/>
                <w:szCs w:val="17"/>
                <w:color w:val="auto"/>
              </w:rPr>
              <w:t>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(191)</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(513)</w:t>
            </w:r>
          </w:p>
        </w:tc>
        <w:tc>
          <w:tcPr>
            <w:tcW w:w="0" w:type="dxa"/>
            <w:vAlign w:val="bottom"/>
          </w:tcPr>
          <w:p>
            <w:pPr>
              <w:spacing w:after="0"/>
              <w:rPr>
                <w:sz w:val="1"/>
                <w:szCs w:val="1"/>
                <w:color w:val="auto"/>
              </w:rPr>
            </w:pPr>
          </w:p>
        </w:tc>
      </w:tr>
      <w:tr>
        <w:trPr>
          <w:trHeight w:val="212"/>
        </w:trPr>
        <w:tc>
          <w:tcPr>
            <w:tcW w:w="8440" w:type="dxa"/>
            <w:vAlign w:val="bottom"/>
          </w:tcPr>
          <w:p>
            <w:pPr>
              <w:ind w:left="320"/>
              <w:spacing w:after="0" w:line="205" w:lineRule="exact"/>
              <w:rPr>
                <w:sz w:val="20"/>
                <w:szCs w:val="20"/>
                <w:color w:val="auto"/>
              </w:rPr>
            </w:pPr>
            <w:r>
              <w:rPr>
                <w:rFonts w:ascii="Calibri" w:cs="Calibri" w:eastAsia="Calibri" w:hAnsi="Calibri"/>
                <w:sz w:val="17"/>
                <w:szCs w:val="17"/>
                <w:color w:val="auto"/>
              </w:rPr>
              <w:t>Prepaid expenses and other assets</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461</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394</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320"/>
              <w:spacing w:after="0"/>
              <w:rPr>
                <w:sz w:val="20"/>
                <w:szCs w:val="20"/>
                <w:color w:val="auto"/>
              </w:rPr>
            </w:pPr>
            <w:r>
              <w:rPr>
                <w:rFonts w:ascii="Calibri" w:cs="Calibri" w:eastAsia="Calibri" w:hAnsi="Calibri"/>
                <w:sz w:val="17"/>
                <w:szCs w:val="17"/>
                <w:color w:val="auto"/>
              </w:rPr>
              <w:t>Accounts payable and other liabilites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(1,070)</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3,661</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auto"/>
            </w:tcBorders>
          </w:tcPr>
          <w:p>
            <w:pPr>
              <w:ind w:left="320"/>
              <w:spacing w:after="0" w:line="205" w:lineRule="exact"/>
              <w:rPr>
                <w:sz w:val="20"/>
                <w:szCs w:val="20"/>
                <w:color w:val="auto"/>
              </w:rPr>
            </w:pPr>
            <w:r>
              <w:rPr>
                <w:rFonts w:ascii="Calibri" w:cs="Calibri" w:eastAsia="Calibri" w:hAnsi="Calibri"/>
                <w:sz w:val="17"/>
                <w:szCs w:val="17"/>
                <w:color w:val="auto"/>
              </w:rPr>
              <w:t>Income tax assets and liabilites,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(1,405)</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(899)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Cash fows from operatng actvites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11,758</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18,086</w:t>
            </w:r>
          </w:p>
        </w:tc>
        <w:tc>
          <w:tcPr>
            <w:tcW w:w="0" w:type="dxa"/>
            <w:vAlign w:val="bottom"/>
          </w:tcPr>
          <w:p>
            <w:pPr>
              <w:spacing w:after="0"/>
              <w:rPr>
                <w:sz w:val="1"/>
                <w:szCs w:val="1"/>
                <w:color w:val="auto"/>
              </w:rPr>
            </w:pPr>
          </w:p>
        </w:tc>
      </w:tr>
      <w:tr>
        <w:trPr>
          <w:trHeight w:val="90"/>
        </w:trPr>
        <w:tc>
          <w:tcPr>
            <w:tcW w:w="8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Cash fows from investng actvites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Acquisitons of businesses, net of cash acquired</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(17,493)</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Other acquisitons and investments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(1,232)</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(670)</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Acquisitons of property and equipment</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(683)</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(572)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Purchases of investment securites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(46)</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(43)</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Sales and maturites of investment securites</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516</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41</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(8)</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35</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Cash fows from investng actvites</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(18,946)</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(1,209)</w:t>
            </w:r>
          </w:p>
        </w:tc>
        <w:tc>
          <w:tcPr>
            <w:tcW w:w="0" w:type="dxa"/>
            <w:vAlign w:val="bottom"/>
          </w:tcPr>
          <w:p>
            <w:pPr>
              <w:spacing w:after="0"/>
              <w:rPr>
                <w:sz w:val="1"/>
                <w:szCs w:val="1"/>
                <w:color w:val="auto"/>
              </w:rPr>
            </w:pPr>
          </w:p>
        </w:tc>
      </w:tr>
      <w:tr>
        <w:trPr>
          <w:trHeight w:val="97"/>
        </w:trPr>
        <w:tc>
          <w:tcPr>
            <w:tcW w:w="84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Cash fows from fnancing actvites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Proceeds from issuance of other short-term borrowings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5,008</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Repayments of other short-term borrowings</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(5,008)</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Proceeds from issuance of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14,963</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Repayments of long-term debt and fnance lease obligatons</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(3,851)</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(2,355)</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Debt issuance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(99)</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Dividends paid</w:t>
            </w:r>
          </w:p>
        </w:tc>
        <w:tc>
          <w:tcPr>
            <w:tcW w:w="3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(8,273)</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(7,913)</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Purchases of treasury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(1,350)</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(1,969)</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Proceeds from the exercise of stock optons</w:t>
            </w:r>
          </w:p>
        </w:tc>
        <w:tc>
          <w:tcPr>
            <w:tcW w:w="320" w:type="dxa"/>
            <w:vAlign w:val="bottom"/>
          </w:tcPr>
          <w:p>
            <w:pPr>
              <w:spacing w:after="0"/>
              <w:rPr>
                <w:sz w:val="18"/>
                <w:szCs w:val="18"/>
                <w:color w:val="auto"/>
              </w:rPr>
            </w:pPr>
          </w:p>
        </w:tc>
        <w:tc>
          <w:tcPr>
            <w:tcW w:w="10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204</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149</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Payments of contngent consideraton liabilites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Calibri" w:cs="Calibri" w:eastAsia="Calibri" w:hAnsi="Calibri"/>
                <w:sz w:val="17"/>
                <w:szCs w:val="17"/>
                <w:color w:val="auto"/>
              </w:rPr>
              <w:t>—</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(735)</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Other,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56</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Cash fows from fnancing actvites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line="205" w:lineRule="exact"/>
              <w:rPr>
                <w:sz w:val="20"/>
                <w:szCs w:val="20"/>
                <w:color w:val="auto"/>
              </w:rPr>
            </w:pPr>
            <w:r>
              <w:rPr>
                <w:rFonts w:ascii="Calibri" w:cs="Calibri" w:eastAsia="Calibri" w:hAnsi="Calibri"/>
                <w:sz w:val="17"/>
                <w:szCs w:val="17"/>
                <w:color w:val="auto"/>
              </w:rPr>
              <w:t>1,650</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(12,773)</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Efect of exchange rate changes on cash and equivalents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(19)</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Net change in cash and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(5,557)</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4,086</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Cash and equivalents, beginning of period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12,814</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9,201</w:t>
            </w:r>
          </w:p>
        </w:tc>
        <w:tc>
          <w:tcPr>
            <w:tcW w:w="0" w:type="dxa"/>
            <w:vAlign w:val="bottom"/>
          </w:tcPr>
          <w:p>
            <w:pPr>
              <w:spacing w:after="0"/>
              <w:rPr>
                <w:sz w:val="1"/>
                <w:szCs w:val="1"/>
                <w:color w:val="auto"/>
              </w:rPr>
            </w:pPr>
          </w:p>
        </w:tc>
      </w:tr>
      <w:tr>
        <w:trPr>
          <w:trHeight w:val="129"/>
        </w:trPr>
        <w:tc>
          <w:tcPr>
            <w:tcW w:w="84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Cash and equivalents, end of period</w:t>
            </w: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80" w:type="dxa"/>
            <w:vAlign w:val="bottom"/>
            <w:tcBorders>
              <w:bottom w:val="single" w:sz="8" w:color="auto"/>
            </w:tcBorders>
          </w:tcPr>
          <w:p>
            <w:pPr>
              <w:jc w:val="right"/>
              <w:ind w:right="35"/>
              <w:spacing w:after="0" w:line="205" w:lineRule="exact"/>
              <w:rPr>
                <w:sz w:val="20"/>
                <w:szCs w:val="20"/>
                <w:color w:val="auto"/>
              </w:rPr>
            </w:pPr>
            <w:r>
              <w:rPr>
                <w:rFonts w:ascii="Calibri" w:cs="Calibri" w:eastAsia="Calibri" w:hAnsi="Calibri"/>
                <w:sz w:val="17"/>
                <w:szCs w:val="17"/>
                <w:color w:val="auto"/>
              </w:rPr>
              <w:t>7,257</w:t>
            </w:r>
          </w:p>
        </w:tc>
        <w:tc>
          <w:tcPr>
            <w:tcW w:w="58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13,287</w:t>
            </w:r>
          </w:p>
        </w:tc>
        <w:tc>
          <w:tcPr>
            <w:tcW w:w="0" w:type="dxa"/>
            <w:vAlign w:val="bottom"/>
          </w:tcPr>
          <w:p>
            <w:pPr>
              <w:spacing w:after="0"/>
              <w:rPr>
                <w:sz w:val="1"/>
                <w:szCs w:val="1"/>
                <w:color w:val="auto"/>
              </w:rPr>
            </w:pPr>
          </w:p>
        </w:tc>
      </w:tr>
      <w:tr>
        <w:trPr>
          <w:trHeight w:val="26"/>
        </w:trPr>
        <w:tc>
          <w:tcPr>
            <w:tcW w:w="8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374650</wp:posOffset>
            </wp:positionV>
            <wp:extent cx="491490" cy="90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5</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7" w:name="page8"/>
    <w:bookmarkEnd w:id="7"/>
    <w:p>
      <w:pPr>
        <w:spacing w:after="0"/>
        <w:rPr>
          <w:sz w:val="20"/>
          <w:szCs w:val="20"/>
          <w:color w:val="auto"/>
        </w:rPr>
      </w:pPr>
      <w:r>
        <w:rPr>
          <w:rFonts w:ascii="Calibri" w:cs="Calibri" w:eastAsia="Calibri" w:hAnsi="Calibri"/>
          <w:sz w:val="21"/>
          <w:szCs w:val="21"/>
          <w:b w:val="1"/>
          <w:bCs w:val="1"/>
          <w:color w:val="444867"/>
        </w:rPr>
        <w:t>AbbVie Inc. and Subsidiaries</w:t>
      </w:r>
    </w:p>
    <w:p>
      <w:pPr>
        <w:spacing w:after="0" w:line="229" w:lineRule="auto"/>
        <w:rPr>
          <w:sz w:val="20"/>
          <w:szCs w:val="20"/>
          <w:color w:val="auto"/>
        </w:rPr>
      </w:pPr>
      <w:r>
        <w:rPr>
          <w:rFonts w:ascii="Calibri" w:cs="Calibri" w:eastAsia="Calibri" w:hAnsi="Calibri"/>
          <w:sz w:val="21"/>
          <w:szCs w:val="21"/>
          <w:b w:val="1"/>
          <w:bCs w:val="1"/>
          <w:color w:val="444867"/>
        </w:rPr>
        <w:t>Notes to Condensed Consolidated Financial Statements (unaudited)</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Note 1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Basis of Historical Presentaton</w:t>
      </w:r>
    </w:p>
    <w:p>
      <w:pPr>
        <w:spacing w:after="0" w:line="143" w:lineRule="exact"/>
        <w:rPr>
          <w:sz w:val="20"/>
          <w:szCs w:val="20"/>
          <w:color w:val="auto"/>
        </w:rPr>
      </w:pPr>
    </w:p>
    <w:p>
      <w:pPr>
        <w:ind w:right="120"/>
        <w:spacing w:after="0" w:line="238" w:lineRule="auto"/>
        <w:rPr>
          <w:sz w:val="20"/>
          <w:szCs w:val="20"/>
          <w:color w:val="auto"/>
        </w:rPr>
      </w:pPr>
      <w:r>
        <w:rPr>
          <w:rFonts w:ascii="Calibri" w:cs="Calibri" w:eastAsia="Calibri" w:hAnsi="Calibri"/>
          <w:sz w:val="17"/>
          <w:szCs w:val="17"/>
          <w:color w:val="auto"/>
        </w:rPr>
        <w:t>The unaudited interim condensed consolidated fnancial statements of AbbVie Inc. (AbbVie or the company) have been prepared pursuant to the rules and regulatons of the U.S. Securites and Exchange Commission. Accordingly, certain informaton and footnote disclosures normally included in annual fnancial statements prepared in accordance with generally accepted accountng principles in the United States (U.S. GAAP) have been omited. These unaudited interim condensed consolidated fnancial statements should be read in conjuncton with the company’s audited consolidated fnancial statements and notes included in the company’s Annual Report on Form 10-K for the year ended December 31, 2023.</w:t>
      </w:r>
    </w:p>
    <w:p>
      <w:pPr>
        <w:spacing w:after="0" w:line="144" w:lineRule="exact"/>
        <w:rPr>
          <w:sz w:val="20"/>
          <w:szCs w:val="20"/>
          <w:color w:val="auto"/>
        </w:rPr>
      </w:pPr>
    </w:p>
    <w:p>
      <w:pPr>
        <w:ind w:right="120"/>
        <w:spacing w:after="0" w:line="238" w:lineRule="auto"/>
        <w:rPr>
          <w:sz w:val="20"/>
          <w:szCs w:val="20"/>
          <w:color w:val="auto"/>
        </w:rPr>
      </w:pPr>
      <w:r>
        <w:rPr>
          <w:rFonts w:ascii="Calibri" w:cs="Calibri" w:eastAsia="Calibri" w:hAnsi="Calibri"/>
          <w:sz w:val="17"/>
          <w:szCs w:val="17"/>
          <w:color w:val="auto"/>
        </w:rPr>
        <w:t>It is management’s opinion that these fnancial statements include all normal and recurring adjustments necessary for a fair presentaton of the company’s fnancial positon and operatng results. Net revenues and net earnings for any interim period are not necessarily indicatve of future or annual results. Certain other reclassifcatons were made to conform the prior period interim condensed consolidated fnancial statements to the current period presentaton.</w:t>
      </w:r>
    </w:p>
    <w:p>
      <w:pPr>
        <w:spacing w:after="0" w:line="130" w:lineRule="exact"/>
        <w:rPr>
          <w:sz w:val="20"/>
          <w:szCs w:val="20"/>
          <w:color w:val="auto"/>
        </w:rPr>
      </w:pPr>
    </w:p>
    <w:p>
      <w:pPr>
        <w:ind w:right="240"/>
        <w:spacing w:after="0" w:line="237" w:lineRule="auto"/>
        <w:rPr>
          <w:sz w:val="20"/>
          <w:szCs w:val="20"/>
          <w:color w:val="auto"/>
        </w:rPr>
      </w:pPr>
      <w:r>
        <w:rPr>
          <w:rFonts w:ascii="Calibri" w:cs="Calibri" w:eastAsia="Calibri" w:hAnsi="Calibri"/>
          <w:sz w:val="17"/>
          <w:szCs w:val="17"/>
          <w:color w:val="auto"/>
        </w:rPr>
        <w:t>AbbVie completed its previously announced acquisitons of ImmunoGen, Inc. (ImmunoGen) on February 12, 2024 and Cerevel Therapeutcs Holdings, Inc. (Cerevel Therapeutcs) on August 1, 2024. See Note 4 and Note 8 for additonal informaton regarding these acquisitons.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Recent Accountng Pronouncements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Recent Accountng Pronouncements Not Yet Adopted</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color w:val="auto"/>
        </w:rPr>
        <w:t>ASU No. 2023-09</w:t>
      </w:r>
    </w:p>
    <w:p>
      <w:pPr>
        <w:spacing w:after="0" w:line="143" w:lineRule="exact"/>
        <w:rPr>
          <w:sz w:val="20"/>
          <w:szCs w:val="20"/>
          <w:color w:val="auto"/>
        </w:rPr>
      </w:pPr>
    </w:p>
    <w:p>
      <w:pPr>
        <w:ind w:right="140" w:firstLine="387"/>
        <w:spacing w:after="0" w:line="238" w:lineRule="auto"/>
        <w:rPr>
          <w:sz w:val="20"/>
          <w:szCs w:val="20"/>
          <w:color w:val="auto"/>
        </w:rPr>
      </w:pPr>
      <w:r>
        <w:rPr>
          <w:rFonts w:ascii="Calibri" w:cs="Calibri" w:eastAsia="Calibri" w:hAnsi="Calibri"/>
          <w:sz w:val="17"/>
          <w:szCs w:val="17"/>
          <w:color w:val="auto"/>
        </w:rPr>
        <w:t xml:space="preserve">In December 2023, the Financial Accountng Standards Board (FASB) issued Accountng Standards Update (ASU) No. 2023-09, </w:t>
      </w:r>
      <w:r>
        <w:rPr>
          <w:rFonts w:ascii="Calibri" w:cs="Calibri" w:eastAsia="Calibri" w:hAnsi="Calibri"/>
          <w:sz w:val="17"/>
          <w:szCs w:val="17"/>
          <w:i w:val="1"/>
          <w:iCs w:val="1"/>
          <w:color w:val="auto"/>
        </w:rPr>
        <w:t>Income Taxes - Improvements to</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Income Tax Disclosures (Topic 740)</w:t>
      </w:r>
      <w:r>
        <w:rPr>
          <w:rFonts w:ascii="Calibri" w:cs="Calibri" w:eastAsia="Calibri" w:hAnsi="Calibri"/>
          <w:sz w:val="17"/>
          <w:szCs w:val="17"/>
          <w:color w:val="auto"/>
        </w:rPr>
        <w:t>. The standard requires disaggregaton of the efectve rate reconciliaton into standard categories, enhances disclosure of income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taxes paid, and modifes other income tax-related disclosures. The standard will be efectve for AbbVie startng in annual periods in 2025, with early adopton permited. AbbVie is currently assessing the impact of adoptng this guidance on its consolidated fnancial statements.</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color w:val="auto"/>
        </w:rPr>
        <w:t>ASU No. 2023-07</w:t>
      </w:r>
    </w:p>
    <w:p>
      <w:pPr>
        <w:spacing w:after="0" w:line="143" w:lineRule="exact"/>
        <w:rPr>
          <w:sz w:val="20"/>
          <w:szCs w:val="20"/>
          <w:color w:val="auto"/>
        </w:rPr>
      </w:pPr>
    </w:p>
    <w:p>
      <w:pPr>
        <w:ind w:right="60" w:firstLine="387"/>
        <w:spacing w:after="0" w:line="238" w:lineRule="auto"/>
        <w:rPr>
          <w:sz w:val="20"/>
          <w:szCs w:val="20"/>
          <w:color w:val="auto"/>
        </w:rPr>
      </w:pPr>
      <w:r>
        <w:rPr>
          <w:rFonts w:ascii="Calibri" w:cs="Calibri" w:eastAsia="Calibri" w:hAnsi="Calibri"/>
          <w:sz w:val="17"/>
          <w:szCs w:val="17"/>
          <w:color w:val="auto"/>
        </w:rPr>
        <w:t xml:space="preserve">In November 2023, the FASB issued ASU No. 2023-07 </w:t>
      </w:r>
      <w:r>
        <w:rPr>
          <w:rFonts w:ascii="Calibri" w:cs="Calibri" w:eastAsia="Calibri" w:hAnsi="Calibri"/>
          <w:sz w:val="17"/>
          <w:szCs w:val="17"/>
          <w:i w:val="1"/>
          <w:iCs w:val="1"/>
          <w:color w:val="auto"/>
        </w:rPr>
        <w:t>Segment Reportng - Improving Reportable Segment Disclosures (Topic 280)</w:t>
      </w:r>
      <w:r>
        <w:rPr>
          <w:rFonts w:ascii="Calibri" w:cs="Calibri" w:eastAsia="Calibri" w:hAnsi="Calibri"/>
          <w:sz w:val="17"/>
          <w:szCs w:val="17"/>
          <w:color w:val="auto"/>
        </w:rPr>
        <w:t>. The standard requires disclosures to include signifcant segment expenses that are regularly provided to the chief operatng decision maker (CODM), a descripton of other segment items by reportable segment, and any additonal measures of a segment's proft or loss used by the CODM when deciding how to allocate resources. The ASU also requires all annual disclosures currently required by Topic 280 to be included in interim periods. The standard is efectve for AbbVie startng in annual periods in 2024 and interim periods in 2025, with early adopton permited and requires retrospectve applicaton to all prior periods presented in the fnancial statements. AbbVie is currently assessing the impact of adoptng this guidance on its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6</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 w:name="page9"/>
    <w:bookmarkEnd w:id="8"/>
    <w:p>
      <w:pPr>
        <w:spacing w:after="0"/>
        <w:rPr>
          <w:sz w:val="20"/>
          <w:szCs w:val="20"/>
          <w:color w:val="auto"/>
        </w:rPr>
      </w:pPr>
      <w:r>
        <w:rPr>
          <w:rFonts w:ascii="Calibri" w:cs="Calibri" w:eastAsia="Calibri" w:hAnsi="Calibri"/>
          <w:sz w:val="21"/>
          <w:szCs w:val="21"/>
          <w:b w:val="1"/>
          <w:bCs w:val="1"/>
          <w:color w:val="444867"/>
        </w:rPr>
        <w:t>Note 2 Supplemental Financial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Interest Expense, Net</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9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w w:val="97"/>
              </w:rPr>
              <w:t>Three months ended</w:t>
            </w:r>
          </w:p>
        </w:tc>
        <w:tc>
          <w:tcPr>
            <w:tcW w:w="820" w:type="dxa"/>
            <w:vAlign w:val="bottom"/>
          </w:tcPr>
          <w:p>
            <w:pPr>
              <w:spacing w:after="0"/>
              <w:rPr>
                <w:sz w:val="14"/>
                <w:szCs w:val="14"/>
                <w:color w:val="auto"/>
              </w:rPr>
            </w:pPr>
          </w:p>
        </w:tc>
        <w:tc>
          <w:tcPr>
            <w:tcW w:w="1980" w:type="dxa"/>
            <w:vAlign w:val="bottom"/>
          </w:tcPr>
          <w:p>
            <w:pPr>
              <w:jc w:val="center"/>
              <w:ind w:right="751"/>
              <w:spacing w:after="0"/>
              <w:rPr>
                <w:sz w:val="20"/>
                <w:szCs w:val="20"/>
                <w:color w:val="auto"/>
              </w:rPr>
            </w:pPr>
            <w:r>
              <w:rPr>
                <w:rFonts w:ascii="Calibri" w:cs="Calibri" w:eastAsia="Calibri" w:hAnsi="Calibri"/>
                <w:sz w:val="14"/>
                <w:szCs w:val="14"/>
                <w:b w:val="1"/>
                <w:bCs w:val="1"/>
                <w:color w:val="auto"/>
                <w:w w:val="97"/>
              </w:rPr>
              <w:t>Nine months ended</w:t>
            </w:r>
          </w:p>
        </w:tc>
        <w:tc>
          <w:tcPr>
            <w:tcW w:w="0" w:type="dxa"/>
            <w:vAlign w:val="bottom"/>
          </w:tcPr>
          <w:p>
            <w:pPr>
              <w:spacing w:after="0"/>
              <w:rPr>
                <w:sz w:val="1"/>
                <w:szCs w:val="1"/>
                <w:color w:val="auto"/>
              </w:rPr>
            </w:pPr>
          </w:p>
        </w:tc>
      </w:tr>
      <w:tr>
        <w:trPr>
          <w:trHeight w:val="163"/>
        </w:trPr>
        <w:tc>
          <w:tcPr>
            <w:tcW w:w="5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gridSpan w:val="2"/>
          </w:tcPr>
          <w:p>
            <w:pPr>
              <w:jc w:val="center"/>
              <w:ind w:right="1000"/>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820" w:type="dxa"/>
            <w:vAlign w:val="bottom"/>
          </w:tcPr>
          <w:p>
            <w:pPr>
              <w:spacing w:after="0"/>
              <w:rPr>
                <w:sz w:val="14"/>
                <w:szCs w:val="14"/>
                <w:color w:val="auto"/>
              </w:rPr>
            </w:pPr>
          </w:p>
        </w:tc>
        <w:tc>
          <w:tcPr>
            <w:tcW w:w="1980" w:type="dxa"/>
            <w:vAlign w:val="bottom"/>
          </w:tcPr>
          <w:p>
            <w:pPr>
              <w:jc w:val="center"/>
              <w:ind w:right="751"/>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0" w:type="dxa"/>
            <w:vAlign w:val="bottom"/>
          </w:tcPr>
          <w:p>
            <w:pPr>
              <w:spacing w:after="0"/>
              <w:rPr>
                <w:sz w:val="1"/>
                <w:szCs w:val="1"/>
                <w:color w:val="auto"/>
              </w:rPr>
            </w:pPr>
          </w:p>
        </w:tc>
      </w:tr>
      <w:tr>
        <w:trPr>
          <w:trHeight w:val="30"/>
        </w:trPr>
        <w:tc>
          <w:tcPr>
            <w:tcW w:w="5500" w:type="dxa"/>
            <w:vAlign w:val="bottom"/>
            <w:vMerge w:val="restart"/>
          </w:tcPr>
          <w:p>
            <w:pPr>
              <w:spacing w:after="0"/>
              <w:rPr>
                <w:sz w:val="20"/>
                <w:szCs w:val="20"/>
                <w:color w:val="auto"/>
              </w:rPr>
            </w:pPr>
            <w:r>
              <w:rPr>
                <w:rFonts w:ascii="Calibri" w:cs="Calibri" w:eastAsia="Calibri" w:hAnsi="Calibri"/>
                <w:sz w:val="14"/>
                <w:szCs w:val="14"/>
                <w:b w:val="1"/>
                <w:bCs w:val="1"/>
                <w:color w:val="auto"/>
              </w:rPr>
              <w:t>(in millions)</w:t>
            </w:r>
          </w:p>
        </w:tc>
        <w:tc>
          <w:tcPr>
            <w:tcW w:w="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900" w:type="dxa"/>
            <w:vAlign w:val="bottom"/>
          </w:tcPr>
          <w:p>
            <w:pPr>
              <w:jc w:val="right"/>
              <w:ind w:right="11"/>
              <w:spacing w:after="0" w:line="156" w:lineRule="exact"/>
              <w:rPr>
                <w:sz w:val="20"/>
                <w:szCs w:val="20"/>
                <w:color w:val="auto"/>
              </w:rPr>
            </w:pPr>
            <w:r>
              <w:rPr>
                <w:rFonts w:ascii="Calibri" w:cs="Calibri" w:eastAsia="Calibri" w:hAnsi="Calibri"/>
                <w:sz w:val="14"/>
                <w:szCs w:val="14"/>
                <w:b w:val="1"/>
                <w:bCs w:val="1"/>
                <w:color w:val="auto"/>
              </w:rPr>
              <w:t>2024</w:t>
            </w:r>
          </w:p>
        </w:tc>
        <w:tc>
          <w:tcPr>
            <w:tcW w:w="1920" w:type="dxa"/>
            <w:vAlign w:val="bottom"/>
          </w:tcPr>
          <w:p>
            <w:pPr>
              <w:jc w:val="right"/>
              <w:ind w:right="471"/>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1980" w:type="dxa"/>
            <w:vAlign w:val="bottom"/>
          </w:tcPr>
          <w:p>
            <w:pPr>
              <w:jc w:val="right"/>
              <w:ind w:right="471"/>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Interest expense</w:t>
            </w:r>
          </w:p>
        </w:tc>
        <w:tc>
          <w:tcPr>
            <w:tcW w:w="2220" w:type="dxa"/>
            <w:vAlign w:val="bottom"/>
            <w:tcBorders>
              <w:top w:val="single" w:sz="8" w:color="auto"/>
            </w:tcBorders>
            <w:shd w:val="clear" w:color="auto" w:fill="CCEEFF"/>
          </w:tcPr>
          <w:p>
            <w:pPr>
              <w:jc w:val="right"/>
              <w:ind w:right="354"/>
              <w:spacing w:after="0"/>
              <w:rPr>
                <w:sz w:val="20"/>
                <w:szCs w:val="20"/>
                <w:color w:val="auto"/>
              </w:rPr>
            </w:pPr>
            <w:r>
              <w:rPr>
                <w:rFonts w:ascii="Calibri" w:cs="Calibri" w:eastAsia="Calibri" w:hAnsi="Calibri"/>
                <w:sz w:val="17"/>
                <w:szCs w:val="17"/>
                <w:color w:val="auto"/>
              </w:rPr>
              <w:t>$</w:t>
            </w:r>
          </w:p>
        </w:tc>
        <w:tc>
          <w:tcPr>
            <w:tcW w:w="860" w:type="dxa"/>
            <w:vAlign w:val="bottom"/>
            <w:tcBorders>
              <w:top w:val="single" w:sz="8" w:color="auto"/>
            </w:tcBorders>
            <w:shd w:val="clear" w:color="auto" w:fill="CCEEFF"/>
          </w:tcPr>
          <w:p>
            <w:pPr>
              <w:jc w:val="center"/>
              <w:ind w:left="314"/>
              <w:spacing w:after="0"/>
              <w:rPr>
                <w:sz w:val="20"/>
                <w:szCs w:val="20"/>
                <w:color w:val="auto"/>
              </w:rPr>
            </w:pPr>
            <w:r>
              <w:rPr>
                <w:rFonts w:ascii="Calibri" w:cs="Calibri" w:eastAsia="Calibri" w:hAnsi="Calibri"/>
                <w:sz w:val="17"/>
                <w:szCs w:val="17"/>
                <w:color w:val="auto"/>
              </w:rPr>
              <w:t>720</w:t>
            </w:r>
          </w:p>
        </w:tc>
        <w:tc>
          <w:tcPr>
            <w:tcW w:w="600" w:type="dxa"/>
            <w:vAlign w:val="bottom"/>
            <w:tcBorders>
              <w:top w:val="single" w:sz="8" w:color="auto"/>
            </w:tcBorders>
            <w:shd w:val="clear" w:color="auto" w:fill="CCEEFF"/>
          </w:tcPr>
          <w:p>
            <w:pPr>
              <w:jc w:val="right"/>
              <w:ind w:right="354"/>
              <w:spacing w:after="0"/>
              <w:rPr>
                <w:sz w:val="20"/>
                <w:szCs w:val="20"/>
                <w:color w:val="auto"/>
              </w:rPr>
            </w:pPr>
            <w:r>
              <w:rPr>
                <w:rFonts w:ascii="Calibri" w:cs="Calibri" w:eastAsia="Calibri" w:hAnsi="Calibri"/>
                <w:sz w:val="17"/>
                <w:szCs w:val="17"/>
                <w:color w:val="auto"/>
              </w:rPr>
              <w:t>$</w:t>
            </w:r>
          </w:p>
        </w:tc>
        <w:tc>
          <w:tcPr>
            <w:tcW w:w="860" w:type="dxa"/>
            <w:vAlign w:val="bottom"/>
            <w:tcBorders>
              <w:top w:val="single" w:sz="8" w:color="auto"/>
            </w:tcBorders>
            <w:shd w:val="clear" w:color="auto" w:fill="CCEEFF"/>
          </w:tcPr>
          <w:p>
            <w:pPr>
              <w:jc w:val="center"/>
              <w:ind w:left="294"/>
              <w:spacing w:after="0"/>
              <w:rPr>
                <w:sz w:val="20"/>
                <w:szCs w:val="20"/>
                <w:color w:val="auto"/>
              </w:rPr>
            </w:pPr>
            <w:r>
              <w:rPr>
                <w:rFonts w:ascii="Calibri" w:cs="Calibri" w:eastAsia="Calibri" w:hAnsi="Calibri"/>
                <w:sz w:val="17"/>
                <w:szCs w:val="17"/>
                <w:color w:val="auto"/>
                <w:w w:val="92"/>
              </w:rPr>
              <w:t>555</w:t>
            </w:r>
          </w:p>
        </w:tc>
        <w:tc>
          <w:tcPr>
            <w:tcW w:w="24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Calibri" w:cs="Calibri" w:eastAsia="Calibri" w:hAnsi="Calibri"/>
                <w:sz w:val="17"/>
                <w:szCs w:val="17"/>
                <w:color w:val="auto"/>
              </w:rPr>
              <w:t>2,106</w:t>
            </w:r>
          </w:p>
        </w:tc>
        <w:tc>
          <w:tcPr>
            <w:tcW w:w="24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1,660</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Interest income</w:t>
            </w:r>
          </w:p>
        </w:tc>
        <w:tc>
          <w:tcPr>
            <w:tcW w:w="2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294"/>
              <w:spacing w:after="0" w:line="205" w:lineRule="exact"/>
              <w:rPr>
                <w:sz w:val="20"/>
                <w:szCs w:val="20"/>
                <w:color w:val="auto"/>
              </w:rPr>
            </w:pPr>
            <w:r>
              <w:rPr>
                <w:rFonts w:ascii="Calibri" w:cs="Calibri" w:eastAsia="Calibri" w:hAnsi="Calibri"/>
                <w:sz w:val="17"/>
                <w:szCs w:val="17"/>
                <w:color w:val="auto"/>
                <w:w w:val="99"/>
              </w:rPr>
              <w:t>(129)</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254"/>
              <w:spacing w:after="0" w:line="205" w:lineRule="exact"/>
              <w:rPr>
                <w:sz w:val="20"/>
                <w:szCs w:val="20"/>
                <w:color w:val="auto"/>
              </w:rPr>
            </w:pPr>
            <w:r>
              <w:rPr>
                <w:rFonts w:ascii="Calibri" w:cs="Calibri" w:eastAsia="Calibri" w:hAnsi="Calibri"/>
                <w:sz w:val="17"/>
                <w:szCs w:val="17"/>
                <w:color w:val="auto"/>
                <w:w w:val="99"/>
              </w:rPr>
              <w:t>(157)</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(556)</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(354)</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Interest expense, net</w:t>
            </w:r>
          </w:p>
        </w:tc>
        <w:tc>
          <w:tcPr>
            <w:tcW w:w="2220" w:type="dxa"/>
            <w:vAlign w:val="bottom"/>
            <w:tcBorders>
              <w:bottom w:val="single" w:sz="8" w:color="auto"/>
            </w:tcBorders>
            <w:shd w:val="clear" w:color="auto" w:fill="CCEEFF"/>
          </w:tcPr>
          <w:p>
            <w:pPr>
              <w:jc w:val="right"/>
              <w:ind w:right="354"/>
              <w:spacing w:after="0" w:line="205" w:lineRule="exact"/>
              <w:rPr>
                <w:sz w:val="20"/>
                <w:szCs w:val="20"/>
                <w:color w:val="auto"/>
              </w:rPr>
            </w:pPr>
            <w:r>
              <w:rPr>
                <w:rFonts w:ascii="Calibri" w:cs="Calibri" w:eastAsia="Calibri" w:hAnsi="Calibri"/>
                <w:sz w:val="17"/>
                <w:szCs w:val="17"/>
                <w:color w:val="auto"/>
              </w:rPr>
              <w:t>$</w:t>
            </w:r>
          </w:p>
        </w:tc>
        <w:tc>
          <w:tcPr>
            <w:tcW w:w="860" w:type="dxa"/>
            <w:vAlign w:val="bottom"/>
            <w:tcBorders>
              <w:bottom w:val="single" w:sz="8" w:color="auto"/>
            </w:tcBorders>
            <w:shd w:val="clear" w:color="auto" w:fill="CCEEFF"/>
          </w:tcPr>
          <w:p>
            <w:pPr>
              <w:jc w:val="center"/>
              <w:ind w:left="314"/>
              <w:spacing w:after="0" w:line="205" w:lineRule="exact"/>
              <w:rPr>
                <w:sz w:val="20"/>
                <w:szCs w:val="20"/>
                <w:color w:val="auto"/>
              </w:rPr>
            </w:pPr>
            <w:r>
              <w:rPr>
                <w:rFonts w:ascii="Calibri" w:cs="Calibri" w:eastAsia="Calibri" w:hAnsi="Calibri"/>
                <w:sz w:val="17"/>
                <w:szCs w:val="17"/>
                <w:color w:val="auto"/>
              </w:rPr>
              <w:t>591</w:t>
            </w:r>
          </w:p>
        </w:tc>
        <w:tc>
          <w:tcPr>
            <w:tcW w:w="600" w:type="dxa"/>
            <w:vAlign w:val="bottom"/>
            <w:tcBorders>
              <w:bottom w:val="single" w:sz="8" w:color="auto"/>
            </w:tcBorders>
            <w:shd w:val="clear" w:color="auto" w:fill="CCEEFF"/>
          </w:tcPr>
          <w:p>
            <w:pPr>
              <w:jc w:val="right"/>
              <w:ind w:right="354"/>
              <w:spacing w:after="0" w:line="205" w:lineRule="exact"/>
              <w:rPr>
                <w:sz w:val="20"/>
                <w:szCs w:val="20"/>
                <w:color w:val="auto"/>
              </w:rPr>
            </w:pPr>
            <w:r>
              <w:rPr>
                <w:rFonts w:ascii="Calibri" w:cs="Calibri" w:eastAsia="Calibri" w:hAnsi="Calibri"/>
                <w:sz w:val="17"/>
                <w:szCs w:val="17"/>
                <w:color w:val="auto"/>
              </w:rPr>
              <w:t>$</w:t>
            </w:r>
          </w:p>
        </w:tc>
        <w:tc>
          <w:tcPr>
            <w:tcW w:w="860" w:type="dxa"/>
            <w:vAlign w:val="bottom"/>
            <w:tcBorders>
              <w:bottom w:val="single" w:sz="8" w:color="auto"/>
            </w:tcBorders>
            <w:shd w:val="clear" w:color="auto" w:fill="CCEEFF"/>
          </w:tcPr>
          <w:p>
            <w:pPr>
              <w:jc w:val="center"/>
              <w:ind w:left="294"/>
              <w:spacing w:after="0" w:line="205" w:lineRule="exact"/>
              <w:rPr>
                <w:sz w:val="20"/>
                <w:szCs w:val="20"/>
                <w:color w:val="auto"/>
              </w:rPr>
            </w:pPr>
            <w:r>
              <w:rPr>
                <w:rFonts w:ascii="Calibri" w:cs="Calibri" w:eastAsia="Calibri" w:hAnsi="Calibri"/>
                <w:sz w:val="17"/>
                <w:szCs w:val="17"/>
                <w:color w:val="auto"/>
                <w:w w:val="92"/>
              </w:rPr>
              <w:t>398</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bottom w:val="single" w:sz="8" w:color="auto"/>
            </w:tcBorders>
            <w:shd w:val="clear" w:color="auto" w:fill="CCEEFF"/>
          </w:tcPr>
          <w:p>
            <w:pPr>
              <w:jc w:val="right"/>
              <w:ind w:right="39"/>
              <w:spacing w:after="0" w:line="205" w:lineRule="exact"/>
              <w:rPr>
                <w:sz w:val="20"/>
                <w:szCs w:val="20"/>
                <w:color w:val="auto"/>
              </w:rPr>
            </w:pPr>
            <w:r>
              <w:rPr>
                <w:rFonts w:ascii="Calibri" w:cs="Calibri" w:eastAsia="Calibri" w:hAnsi="Calibri"/>
                <w:sz w:val="17"/>
                <w:szCs w:val="17"/>
                <w:color w:val="auto"/>
              </w:rPr>
              <w:t>1,550</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1,306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40" w:type="dxa"/>
            <w:vAlign w:val="bottom"/>
          </w:tcPr>
          <w:p>
            <w:pPr>
              <w:spacing w:after="0"/>
              <w:rPr>
                <w:sz w:val="20"/>
                <w:szCs w:val="20"/>
                <w:color w:val="auto"/>
              </w:rPr>
            </w:pPr>
            <w:r>
              <w:rPr>
                <w:rFonts w:ascii="Calibri" w:cs="Calibri" w:eastAsia="Calibri" w:hAnsi="Calibri"/>
                <w:sz w:val="17"/>
                <w:szCs w:val="17"/>
                <w:b w:val="1"/>
                <w:bCs w:val="1"/>
                <w:color w:val="444867"/>
              </w:rPr>
              <w:t>Inventories</w:t>
            </w: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240" w:type="dxa"/>
            <w:vAlign w:val="bottom"/>
          </w:tcPr>
          <w:p>
            <w:pPr>
              <w:spacing w:after="0"/>
              <w:rPr>
                <w:sz w:val="14"/>
                <w:szCs w:val="14"/>
                <w:color w:val="auto"/>
              </w:rPr>
            </w:pPr>
          </w:p>
        </w:tc>
        <w:tc>
          <w:tcPr>
            <w:tcW w:w="1160" w:type="dxa"/>
            <w:vAlign w:val="bottom"/>
          </w:tcPr>
          <w:p>
            <w:pPr>
              <w:jc w:val="center"/>
              <w:ind w:right="139"/>
              <w:spacing w:after="0" w:line="164" w:lineRule="exact"/>
              <w:rPr>
                <w:sz w:val="20"/>
                <w:szCs w:val="20"/>
                <w:color w:val="auto"/>
              </w:rPr>
            </w:pPr>
            <w:r>
              <w:rPr>
                <w:rFonts w:ascii="Calibri" w:cs="Calibri" w:eastAsia="Calibri" w:hAnsi="Calibri"/>
                <w:sz w:val="14"/>
                <w:szCs w:val="14"/>
                <w:b w:val="1"/>
                <w:bCs w:val="1"/>
                <w:color w:val="auto"/>
                <w:w w:val="96"/>
              </w:rPr>
              <w:t>December 31,</w:t>
            </w:r>
          </w:p>
        </w:tc>
        <w:tc>
          <w:tcPr>
            <w:tcW w:w="0" w:type="dxa"/>
            <w:vAlign w:val="bottom"/>
          </w:tcPr>
          <w:p>
            <w:pPr>
              <w:spacing w:after="0"/>
              <w:rPr>
                <w:sz w:val="1"/>
                <w:szCs w:val="1"/>
                <w:color w:val="auto"/>
              </w:rPr>
            </w:pPr>
          </w:p>
        </w:tc>
      </w:tr>
      <w:tr>
        <w:trPr>
          <w:trHeight w:val="163"/>
        </w:trPr>
        <w:tc>
          <w:tcPr>
            <w:tcW w:w="384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39"/>
              <w:spacing w:after="0" w:line="164" w:lineRule="exact"/>
              <w:rPr>
                <w:sz w:val="20"/>
                <w:szCs w:val="20"/>
                <w:color w:val="auto"/>
              </w:rPr>
            </w:pPr>
            <w:r>
              <w:rPr>
                <w:rFonts w:ascii="Calibri" w:cs="Calibri" w:eastAsia="Calibri" w:hAnsi="Calibri"/>
                <w:sz w:val="14"/>
                <w:szCs w:val="14"/>
                <w:b w:val="1"/>
                <w:bCs w:val="1"/>
                <w:color w:val="auto"/>
                <w:w w:val="98"/>
              </w:rPr>
              <w:t>2024</w:t>
            </w:r>
          </w:p>
        </w:tc>
        <w:tc>
          <w:tcPr>
            <w:tcW w:w="240" w:type="dxa"/>
            <w:vAlign w:val="bottom"/>
          </w:tcPr>
          <w:p>
            <w:pPr>
              <w:spacing w:after="0"/>
              <w:rPr>
                <w:sz w:val="14"/>
                <w:szCs w:val="14"/>
                <w:color w:val="auto"/>
              </w:rPr>
            </w:pPr>
          </w:p>
        </w:tc>
        <w:tc>
          <w:tcPr>
            <w:tcW w:w="1160" w:type="dxa"/>
            <w:vAlign w:val="bottom"/>
          </w:tcPr>
          <w:p>
            <w:pPr>
              <w:jc w:val="center"/>
              <w:ind w:right="119"/>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43"/>
        </w:trPr>
        <w:tc>
          <w:tcPr>
            <w:tcW w:w="38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Finished goods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shd w:val="clear" w:color="auto" w:fill="CCEEFF"/>
          </w:tcPr>
          <w:p>
            <w:pPr>
              <w:jc w:val="right"/>
              <w:ind w:right="39"/>
              <w:spacing w:after="0" w:line="205" w:lineRule="exact"/>
              <w:rPr>
                <w:sz w:val="20"/>
                <w:szCs w:val="20"/>
                <w:color w:val="auto"/>
              </w:rPr>
            </w:pPr>
            <w:r>
              <w:rPr>
                <w:rFonts w:ascii="Calibri" w:cs="Calibri" w:eastAsia="Calibri" w:hAnsi="Calibri"/>
                <w:sz w:val="17"/>
                <w:szCs w:val="17"/>
                <w:color w:val="auto"/>
              </w:rPr>
              <w:t>1,347</w:t>
            </w: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1,356</w:t>
            </w:r>
          </w:p>
        </w:tc>
        <w:tc>
          <w:tcPr>
            <w:tcW w:w="0" w:type="dxa"/>
            <w:vAlign w:val="bottom"/>
          </w:tcPr>
          <w:p>
            <w:pPr>
              <w:spacing w:after="0"/>
              <w:rPr>
                <w:sz w:val="1"/>
                <w:szCs w:val="1"/>
                <w:color w:val="auto"/>
              </w:rPr>
            </w:pPr>
          </w:p>
        </w:tc>
      </w:tr>
      <w:tr>
        <w:trPr>
          <w:trHeight w:val="212"/>
        </w:trPr>
        <w:tc>
          <w:tcPr>
            <w:tcW w:w="3840" w:type="dxa"/>
            <w:vAlign w:val="bottom"/>
          </w:tcPr>
          <w:p>
            <w:pPr>
              <w:ind w:left="20"/>
              <w:spacing w:after="0" w:line="205" w:lineRule="exact"/>
              <w:rPr>
                <w:sz w:val="20"/>
                <w:szCs w:val="20"/>
                <w:color w:val="auto"/>
              </w:rPr>
            </w:pPr>
            <w:r>
              <w:rPr>
                <w:rFonts w:ascii="Calibri" w:cs="Calibri" w:eastAsia="Calibri" w:hAnsi="Calibri"/>
                <w:sz w:val="17"/>
                <w:szCs w:val="17"/>
                <w:color w:val="auto"/>
              </w:rPr>
              <w:t>Work-in-process</w:t>
            </w: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9"/>
              <w:spacing w:after="0" w:line="205" w:lineRule="exact"/>
              <w:rPr>
                <w:sz w:val="20"/>
                <w:szCs w:val="20"/>
                <w:color w:val="auto"/>
              </w:rPr>
            </w:pPr>
            <w:r>
              <w:rPr>
                <w:rFonts w:ascii="Calibri" w:cs="Calibri" w:eastAsia="Calibri" w:hAnsi="Calibri"/>
                <w:sz w:val="17"/>
                <w:szCs w:val="17"/>
                <w:color w:val="auto"/>
              </w:rPr>
              <w:t>2,071</w:t>
            </w:r>
          </w:p>
        </w:tc>
        <w:tc>
          <w:tcPr>
            <w:tcW w:w="24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1,643</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Raw materials</w:t>
            </w:r>
          </w:p>
        </w:tc>
        <w:tc>
          <w:tcPr>
            <w:tcW w:w="2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Calibri" w:cs="Calibri" w:eastAsia="Calibri" w:hAnsi="Calibri"/>
                <w:sz w:val="17"/>
                <w:szCs w:val="17"/>
                <w:color w:val="auto"/>
              </w:rPr>
              <w:t>1,032</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1,100</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Inventories</w:t>
            </w:r>
          </w:p>
        </w:tc>
        <w:tc>
          <w:tcPr>
            <w:tcW w:w="2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bottom w:val="single" w:sz="8" w:color="auto"/>
            </w:tcBorders>
          </w:tcPr>
          <w:p>
            <w:pPr>
              <w:jc w:val="right"/>
              <w:ind w:right="39"/>
              <w:spacing w:after="0" w:line="205" w:lineRule="exact"/>
              <w:rPr>
                <w:sz w:val="20"/>
                <w:szCs w:val="20"/>
                <w:color w:val="auto"/>
              </w:rPr>
            </w:pPr>
            <w:r>
              <w:rPr>
                <w:rFonts w:ascii="Calibri" w:cs="Calibri" w:eastAsia="Calibri" w:hAnsi="Calibri"/>
                <w:sz w:val="17"/>
                <w:szCs w:val="17"/>
                <w:color w:val="auto"/>
              </w:rPr>
              <w:t>4,450</w:t>
            </w:r>
          </w:p>
        </w:tc>
        <w:tc>
          <w:tcPr>
            <w:tcW w:w="2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4,099</w:t>
            </w:r>
          </w:p>
        </w:tc>
        <w:tc>
          <w:tcPr>
            <w:tcW w:w="0" w:type="dxa"/>
            <w:vAlign w:val="bottom"/>
          </w:tcPr>
          <w:p>
            <w:pPr>
              <w:spacing w:after="0"/>
              <w:rPr>
                <w:sz w:val="1"/>
                <w:szCs w:val="1"/>
                <w:color w:val="auto"/>
              </w:rPr>
            </w:pPr>
          </w:p>
        </w:tc>
      </w:tr>
      <w:tr>
        <w:trPr>
          <w:trHeight w:val="26"/>
        </w:trPr>
        <w:tc>
          <w:tcPr>
            <w:tcW w:w="3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3840" w:type="dxa"/>
            <w:vAlign w:val="bottom"/>
          </w:tcPr>
          <w:p>
            <w:pPr>
              <w:spacing w:after="0"/>
              <w:rPr>
                <w:sz w:val="20"/>
                <w:szCs w:val="20"/>
                <w:color w:val="auto"/>
              </w:rPr>
            </w:pPr>
            <w:r>
              <w:rPr>
                <w:rFonts w:ascii="Calibri" w:cs="Calibri" w:eastAsia="Calibri" w:hAnsi="Calibri"/>
                <w:sz w:val="17"/>
                <w:szCs w:val="17"/>
                <w:b w:val="1"/>
                <w:bCs w:val="1"/>
                <w:color w:val="444867"/>
              </w:rPr>
              <w:t>Property and Equipment, Net</w:t>
            </w: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Calibri" w:cs="Calibri" w:eastAsia="Calibri" w:hAnsi="Calibri"/>
                <w:sz w:val="14"/>
                <w:szCs w:val="14"/>
                <w:b w:val="1"/>
                <w:bCs w:val="1"/>
                <w:color w:val="auto"/>
                <w:w w:val="96"/>
              </w:rPr>
              <w:t>September 30,</w:t>
            </w:r>
          </w:p>
        </w:tc>
        <w:tc>
          <w:tcPr>
            <w:tcW w:w="240" w:type="dxa"/>
            <w:vAlign w:val="bottom"/>
          </w:tcPr>
          <w:p>
            <w:pPr>
              <w:spacing w:after="0"/>
              <w:rPr>
                <w:sz w:val="15"/>
                <w:szCs w:val="15"/>
                <w:color w:val="auto"/>
              </w:rPr>
            </w:pPr>
          </w:p>
        </w:tc>
        <w:tc>
          <w:tcPr>
            <w:tcW w:w="1160" w:type="dxa"/>
            <w:vAlign w:val="bottom"/>
          </w:tcPr>
          <w:p>
            <w:pPr>
              <w:jc w:val="center"/>
              <w:ind w:right="139"/>
              <w:spacing w:after="0"/>
              <w:rPr>
                <w:sz w:val="20"/>
                <w:szCs w:val="20"/>
                <w:color w:val="auto"/>
              </w:rPr>
            </w:pPr>
            <w:r>
              <w:rPr>
                <w:rFonts w:ascii="Calibri" w:cs="Calibri" w:eastAsia="Calibri" w:hAnsi="Calibri"/>
                <w:sz w:val="14"/>
                <w:szCs w:val="14"/>
                <w:b w:val="1"/>
                <w:bCs w:val="1"/>
                <w:color w:val="auto"/>
                <w:w w:val="96"/>
              </w:rPr>
              <w:t>December 31,</w:t>
            </w:r>
          </w:p>
        </w:tc>
        <w:tc>
          <w:tcPr>
            <w:tcW w:w="0" w:type="dxa"/>
            <w:vAlign w:val="bottom"/>
          </w:tcPr>
          <w:p>
            <w:pPr>
              <w:spacing w:after="0"/>
              <w:rPr>
                <w:sz w:val="1"/>
                <w:szCs w:val="1"/>
                <w:color w:val="auto"/>
              </w:rPr>
            </w:pPr>
          </w:p>
        </w:tc>
      </w:tr>
      <w:tr>
        <w:trPr>
          <w:trHeight w:val="163"/>
        </w:trPr>
        <w:tc>
          <w:tcPr>
            <w:tcW w:w="384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39"/>
              <w:spacing w:after="0" w:line="164" w:lineRule="exact"/>
              <w:rPr>
                <w:sz w:val="20"/>
                <w:szCs w:val="20"/>
                <w:color w:val="auto"/>
              </w:rPr>
            </w:pPr>
            <w:r>
              <w:rPr>
                <w:rFonts w:ascii="Calibri" w:cs="Calibri" w:eastAsia="Calibri" w:hAnsi="Calibri"/>
                <w:sz w:val="14"/>
                <w:szCs w:val="14"/>
                <w:b w:val="1"/>
                <w:bCs w:val="1"/>
                <w:color w:val="auto"/>
                <w:w w:val="98"/>
              </w:rPr>
              <w:t>2024</w:t>
            </w:r>
          </w:p>
        </w:tc>
        <w:tc>
          <w:tcPr>
            <w:tcW w:w="240" w:type="dxa"/>
            <w:vAlign w:val="bottom"/>
          </w:tcPr>
          <w:p>
            <w:pPr>
              <w:spacing w:after="0"/>
              <w:rPr>
                <w:sz w:val="14"/>
                <w:szCs w:val="14"/>
                <w:color w:val="auto"/>
              </w:rPr>
            </w:pPr>
          </w:p>
        </w:tc>
        <w:tc>
          <w:tcPr>
            <w:tcW w:w="1160" w:type="dxa"/>
            <w:vAlign w:val="bottom"/>
          </w:tcPr>
          <w:p>
            <w:pPr>
              <w:jc w:val="center"/>
              <w:ind w:right="119"/>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30"/>
        </w:trPr>
        <w:tc>
          <w:tcPr>
            <w:tcW w:w="3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Property and equipment, gross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shd w:val="clear" w:color="auto" w:fill="CCEEFF"/>
          </w:tcPr>
          <w:p>
            <w:pPr>
              <w:jc w:val="right"/>
              <w:ind w:right="39"/>
              <w:spacing w:after="0" w:line="205" w:lineRule="exact"/>
              <w:rPr>
                <w:sz w:val="20"/>
                <w:szCs w:val="20"/>
                <w:color w:val="auto"/>
              </w:rPr>
            </w:pPr>
            <w:r>
              <w:rPr>
                <w:rFonts w:ascii="Calibri" w:cs="Calibri" w:eastAsia="Calibri" w:hAnsi="Calibri"/>
                <w:sz w:val="17"/>
                <w:szCs w:val="17"/>
                <w:color w:val="auto"/>
              </w:rPr>
              <w:t>12,279</w:t>
            </w: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11,635</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Accumulated depreciaton</w:t>
            </w:r>
          </w:p>
        </w:tc>
        <w:tc>
          <w:tcPr>
            <w:tcW w:w="2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(7,138)</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(6,646)</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Property and equipment, net</w:t>
            </w:r>
          </w:p>
        </w:tc>
        <w:tc>
          <w:tcPr>
            <w:tcW w:w="2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bottom w:val="single" w:sz="8" w:color="auto"/>
            </w:tcBorders>
            <w:shd w:val="clear" w:color="auto" w:fill="CCEEFF"/>
          </w:tcPr>
          <w:p>
            <w:pPr>
              <w:jc w:val="right"/>
              <w:ind w:right="39"/>
              <w:spacing w:after="0" w:line="205" w:lineRule="exact"/>
              <w:rPr>
                <w:sz w:val="20"/>
                <w:szCs w:val="20"/>
                <w:color w:val="auto"/>
              </w:rPr>
            </w:pPr>
            <w:r>
              <w:rPr>
                <w:rFonts w:ascii="Calibri" w:cs="Calibri" w:eastAsia="Calibri" w:hAnsi="Calibri"/>
                <w:sz w:val="17"/>
                <w:szCs w:val="17"/>
                <w:color w:val="auto"/>
              </w:rPr>
              <w:t>5,141</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4,989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Depreciaton expense was $191 million for the three months and $558 million for the nine months ended September 30, 2024 and $196 million for the three months and $565 million 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7</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9" w:name="page10"/>
    <w:bookmarkEnd w:id="9"/>
    <w:p>
      <w:pPr>
        <w:spacing w:after="0"/>
        <w:rPr>
          <w:sz w:val="20"/>
          <w:szCs w:val="20"/>
          <w:color w:val="auto"/>
        </w:rPr>
      </w:pPr>
      <w:r>
        <w:rPr>
          <w:rFonts w:ascii="Calibri" w:cs="Calibri" w:eastAsia="Calibri" w:hAnsi="Calibri"/>
          <w:sz w:val="21"/>
          <w:szCs w:val="21"/>
          <w:b w:val="1"/>
          <w:bCs w:val="1"/>
          <w:color w:val="444867"/>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4" w:lineRule="exact"/>
        <w:rPr>
          <w:sz w:val="20"/>
          <w:szCs w:val="20"/>
          <w:color w:val="auto"/>
        </w:rPr>
      </w:pPr>
    </w:p>
    <w:p>
      <w:pPr>
        <w:ind w:right="20"/>
        <w:spacing w:after="0" w:line="237" w:lineRule="auto"/>
        <w:rPr>
          <w:sz w:val="20"/>
          <w:szCs w:val="20"/>
          <w:color w:val="auto"/>
        </w:rPr>
      </w:pPr>
      <w:r>
        <w:rPr>
          <w:rFonts w:ascii="Calibri" w:cs="Calibri" w:eastAsia="Calibri" w:hAnsi="Calibri"/>
          <w:sz w:val="17"/>
          <w:szCs w:val="17"/>
          <w:color w:val="auto"/>
        </w:rPr>
        <w:t>AbbVie grants certain restricted stock units (RSUs) that are considered to be partcipatng securites. Due to the presence of partcipatng securites, AbbVie calculates earnings per share (EPS) using the more dilutve of the treasury stock or the two-class method. For all periods presented, the two-class method was more dilutve.</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impact of the two-class method:</w:t>
      </w:r>
    </w:p>
    <w:tbl>
      <w:tblPr>
        <w:tblLayout w:type="fixed"/>
        <w:tblInd w:w="0" w:type="dxa"/>
        <w:tblCellMar>
          <w:top w:w="0" w:type="dxa"/>
          <w:left w:w="0" w:type="dxa"/>
          <w:bottom w:w="0" w:type="dxa"/>
          <w:right w:w="0" w:type="dxa"/>
        </w:tblCellMar>
      </w:tblPr>
      <w:tr>
        <w:trPr>
          <w:trHeight w:val="164"/>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500"/>
              <w:spacing w:after="0" w:line="164" w:lineRule="exact"/>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74"/>
              <w:spacing w:after="0" w:line="164" w:lineRule="exact"/>
              <w:rPr>
                <w:sz w:val="20"/>
                <w:szCs w:val="20"/>
                <w:color w:val="auto"/>
              </w:rPr>
            </w:pPr>
            <w:r>
              <w:rPr>
                <w:rFonts w:ascii="Calibri" w:cs="Calibri" w:eastAsia="Calibri" w:hAnsi="Calibri"/>
                <w:sz w:val="14"/>
                <w:szCs w:val="14"/>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per share data)</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5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78"/>
              <w:spacing w:after="0" w:line="156"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3"/>
                <w:szCs w:val="13"/>
                <w:color w:val="auto"/>
              </w:rPr>
            </w:pPr>
          </w:p>
        </w:tc>
        <w:tc>
          <w:tcPr>
            <w:tcW w:w="920" w:type="dxa"/>
            <w:vAlign w:val="bottom"/>
          </w:tcPr>
          <w:p>
            <w:pPr>
              <w:jc w:val="right"/>
              <w:ind w:right="455"/>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78"/>
              <w:spacing w:after="0" w:line="156" w:lineRule="exact"/>
              <w:rPr>
                <w:sz w:val="20"/>
                <w:szCs w:val="20"/>
                <w:color w:val="auto"/>
              </w:rPr>
            </w:pPr>
            <w:r>
              <w:rPr>
                <w:rFonts w:ascii="Calibri" w:cs="Calibri" w:eastAsia="Calibri" w:hAnsi="Calibri"/>
                <w:sz w:val="14"/>
                <w:szCs w:val="14"/>
                <w:b w:val="1"/>
                <w:bCs w:val="1"/>
                <w:color w:val="auto"/>
              </w:rPr>
              <w:t>2024</w:t>
            </w:r>
          </w:p>
        </w:tc>
        <w:tc>
          <w:tcPr>
            <w:tcW w:w="600" w:type="dxa"/>
            <w:vAlign w:val="bottom"/>
          </w:tcPr>
          <w:p>
            <w:pPr>
              <w:spacing w:after="0"/>
              <w:rPr>
                <w:sz w:val="13"/>
                <w:szCs w:val="13"/>
                <w:color w:val="auto"/>
              </w:rPr>
            </w:pPr>
          </w:p>
        </w:tc>
        <w:tc>
          <w:tcPr>
            <w:tcW w:w="820" w:type="dxa"/>
            <w:vAlign w:val="bottom"/>
          </w:tcPr>
          <w:p>
            <w:pPr>
              <w:jc w:val="right"/>
              <w:ind w:right="455"/>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Basic EPS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Net earnings atributable to AbbVie Inc.</w:t>
            </w:r>
          </w:p>
        </w:tc>
        <w:tc>
          <w:tcPr>
            <w:tcW w:w="320" w:type="dxa"/>
            <w:vAlign w:val="bottom"/>
            <w:shd w:val="clear" w:color="auto" w:fill="CCEEFF"/>
          </w:tcPr>
          <w:p>
            <w:pPr>
              <w:jc w:val="right"/>
              <w:ind w:right="134"/>
              <w:spacing w:after="0"/>
              <w:rPr>
                <w:sz w:val="20"/>
                <w:szCs w:val="20"/>
                <w:color w:val="auto"/>
              </w:rPr>
            </w:pPr>
            <w:r>
              <w:rPr>
                <w:rFonts w:ascii="Calibri" w:cs="Calibri" w:eastAsia="Calibri" w:hAnsi="Calibri"/>
                <w:sz w:val="17"/>
                <w:szCs w:val="17"/>
                <w:color w:val="auto"/>
                <w:w w:val="92"/>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1,561</w:t>
            </w:r>
          </w:p>
        </w:tc>
        <w:tc>
          <w:tcPr>
            <w:tcW w:w="520" w:type="dxa"/>
            <w:vAlign w:val="bottom"/>
            <w:shd w:val="clear" w:color="auto" w:fill="CCEEFF"/>
          </w:tcPr>
          <w:p>
            <w:pPr>
              <w:jc w:val="right"/>
              <w:ind w:right="254"/>
              <w:spacing w:after="0"/>
              <w:rPr>
                <w:sz w:val="20"/>
                <w:szCs w:val="20"/>
                <w:color w:val="auto"/>
              </w:rPr>
            </w:pPr>
            <w:r>
              <w:rPr>
                <w:rFonts w:ascii="Calibri" w:cs="Calibri" w:eastAsia="Calibri" w:hAnsi="Calibri"/>
                <w:sz w:val="17"/>
                <w:szCs w:val="17"/>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Calibri" w:cs="Calibri" w:eastAsia="Calibri" w:hAnsi="Calibri"/>
                <w:sz w:val="17"/>
                <w:szCs w:val="17"/>
                <w:color w:val="auto"/>
                <w:w w:val="92"/>
              </w:rPr>
              <w:t>$</w:t>
            </w:r>
          </w:p>
        </w:tc>
        <w:tc>
          <w:tcPr>
            <w:tcW w:w="106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4,300</w:t>
            </w:r>
          </w:p>
        </w:tc>
        <w:tc>
          <w:tcPr>
            <w:tcW w:w="600" w:type="dxa"/>
            <w:vAlign w:val="bottom"/>
            <w:shd w:val="clear" w:color="auto" w:fill="CCEEFF"/>
          </w:tcPr>
          <w:p>
            <w:pPr>
              <w:jc w:val="right"/>
              <w:ind w:right="334"/>
              <w:spacing w:after="0"/>
              <w:rPr>
                <w:sz w:val="20"/>
                <w:szCs w:val="20"/>
                <w:color w:val="auto"/>
              </w:rPr>
            </w:pPr>
            <w:r>
              <w:rPr>
                <w:rFonts w:ascii="Calibri" w:cs="Calibri" w:eastAsia="Calibri" w:hAnsi="Calibri"/>
                <w:sz w:val="17"/>
                <w:szCs w:val="17"/>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4,041</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Earnings allocated to partcipatng securites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30</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32</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Earnings available to common shareholders</w:t>
            </w:r>
          </w:p>
        </w:tc>
        <w:tc>
          <w:tcPr>
            <w:tcW w:w="320" w:type="dxa"/>
            <w:vAlign w:val="bottom"/>
            <w:tcBorders>
              <w:bottom w:val="single" w:sz="8" w:color="auto"/>
            </w:tcBorders>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1,551</w:t>
            </w:r>
          </w:p>
        </w:tc>
        <w:tc>
          <w:tcPr>
            <w:tcW w:w="520" w:type="dxa"/>
            <w:vAlign w:val="bottom"/>
            <w:tcBorders>
              <w:bottom w:val="single" w:sz="8" w:color="auto"/>
            </w:tcBorders>
            <w:shd w:val="clear" w:color="auto" w:fill="CCEEFF"/>
          </w:tcPr>
          <w:p>
            <w:pPr>
              <w:jc w:val="right"/>
              <w:ind w:right="25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1,767</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4,270</w:t>
            </w:r>
          </w:p>
        </w:tc>
        <w:tc>
          <w:tcPr>
            <w:tcW w:w="600" w:type="dxa"/>
            <w:vAlign w:val="bottom"/>
            <w:tcBorders>
              <w:bottom w:val="single" w:sz="8" w:color="auto"/>
            </w:tcBorders>
            <w:shd w:val="clear" w:color="auto" w:fill="CCEEFF"/>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4,009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520" w:type="dxa"/>
            <w:vAlign w:val="bottom"/>
            <w:tcBorders>
              <w:bottom w:val="single" w:sz="8" w:color="auto"/>
            </w:tcBorders>
          </w:tcPr>
          <w:p>
            <w:pPr>
              <w:ind w:left="20"/>
              <w:spacing w:after="0" w:line="191" w:lineRule="exact"/>
              <w:rPr>
                <w:sz w:val="20"/>
                <w:szCs w:val="20"/>
                <w:color w:val="auto"/>
              </w:rPr>
            </w:pPr>
            <w:r>
              <w:rPr>
                <w:rFonts w:ascii="Calibri" w:cs="Calibri" w:eastAsia="Calibri" w:hAnsi="Calibri"/>
                <w:sz w:val="17"/>
                <w:szCs w:val="17"/>
                <w:color w:val="auto"/>
              </w:rPr>
              <w:t>Weighted-average basic shares outstanding</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1,769</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1,767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
              <w:spacing w:after="0" w:line="191" w:lineRule="exact"/>
              <w:rPr>
                <w:sz w:val="20"/>
                <w:szCs w:val="20"/>
                <w:color w:val="auto"/>
              </w:rPr>
            </w:pPr>
            <w:r>
              <w:rPr>
                <w:rFonts w:ascii="Calibri" w:cs="Calibri" w:eastAsia="Calibri" w:hAnsi="Calibri"/>
                <w:sz w:val="17"/>
                <w:szCs w:val="17"/>
                <w:color w:val="auto"/>
              </w:rPr>
              <w:t>1,769</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1,768</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Basic earnings per share atributable to AbbVie Inc.</w:t>
            </w:r>
          </w:p>
        </w:tc>
        <w:tc>
          <w:tcPr>
            <w:tcW w:w="320" w:type="dxa"/>
            <w:vAlign w:val="bottom"/>
            <w:tcBorders>
              <w:bottom w:val="single" w:sz="8" w:color="auto"/>
            </w:tcBorders>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0.88</w:t>
            </w:r>
          </w:p>
        </w:tc>
        <w:tc>
          <w:tcPr>
            <w:tcW w:w="520" w:type="dxa"/>
            <w:vAlign w:val="bottom"/>
            <w:tcBorders>
              <w:bottom w:val="single" w:sz="8" w:color="auto"/>
            </w:tcBorders>
            <w:shd w:val="clear" w:color="auto" w:fill="CCEEFF"/>
          </w:tcPr>
          <w:p>
            <w:pPr>
              <w:jc w:val="right"/>
              <w:ind w:right="25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1.00</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2.41</w:t>
            </w:r>
          </w:p>
        </w:tc>
        <w:tc>
          <w:tcPr>
            <w:tcW w:w="600" w:type="dxa"/>
            <w:vAlign w:val="bottom"/>
            <w:tcBorders>
              <w:bottom w:val="single" w:sz="8" w:color="auto"/>
            </w:tcBorders>
            <w:shd w:val="clear" w:color="auto" w:fill="CCEEFF"/>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Diluted EPS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0"/>
              <w:spacing w:after="0" w:line="205" w:lineRule="exact"/>
              <w:rPr>
                <w:sz w:val="20"/>
                <w:szCs w:val="20"/>
                <w:color w:val="auto"/>
              </w:rPr>
            </w:pPr>
            <w:r>
              <w:rPr>
                <w:rFonts w:ascii="Calibri" w:cs="Calibri" w:eastAsia="Calibri" w:hAnsi="Calibri"/>
                <w:sz w:val="17"/>
                <w:szCs w:val="17"/>
                <w:color w:val="auto"/>
              </w:rPr>
              <w:t>Net earnings atributable to AbbVie Inc.</w:t>
            </w:r>
          </w:p>
        </w:tc>
        <w:tc>
          <w:tcPr>
            <w:tcW w:w="320" w:type="dxa"/>
            <w:vAlign w:val="bottom"/>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1,561</w:t>
            </w:r>
          </w:p>
        </w:tc>
        <w:tc>
          <w:tcPr>
            <w:tcW w:w="52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1,778</w:t>
            </w:r>
          </w:p>
        </w:tc>
        <w:tc>
          <w:tcPr>
            <w:tcW w:w="100" w:type="dxa"/>
            <w:vAlign w:val="bottom"/>
          </w:tcPr>
          <w:p>
            <w:pPr>
              <w:spacing w:after="0"/>
              <w:rPr>
                <w:sz w:val="18"/>
                <w:szCs w:val="18"/>
                <w:color w:val="auto"/>
              </w:rPr>
            </w:pPr>
          </w:p>
        </w:tc>
        <w:tc>
          <w:tcPr>
            <w:tcW w:w="320" w:type="dxa"/>
            <w:vAlign w:val="bottom"/>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4,300</w:t>
            </w:r>
          </w:p>
        </w:tc>
        <w:tc>
          <w:tcPr>
            <w:tcW w:w="600" w:type="dxa"/>
            <w:vAlign w:val="bottom"/>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4,041</w:t>
            </w:r>
          </w:p>
        </w:tc>
        <w:tc>
          <w:tcPr>
            <w:tcW w:w="0" w:type="dxa"/>
            <w:vAlign w:val="bottom"/>
          </w:tcPr>
          <w:p>
            <w:pPr>
              <w:spacing w:after="0"/>
              <w:rPr>
                <w:sz w:val="1"/>
                <w:szCs w:val="1"/>
                <w:color w:val="auto"/>
              </w:rPr>
            </w:pPr>
          </w:p>
        </w:tc>
      </w:tr>
      <w:tr>
        <w:trPr>
          <w:trHeight w:val="219"/>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Earnings allocated to partcipatng securites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10</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30</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32</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Earnings available to common shareholders</w:t>
            </w: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1,551</w:t>
            </w:r>
          </w:p>
        </w:tc>
        <w:tc>
          <w:tcPr>
            <w:tcW w:w="520" w:type="dxa"/>
            <w:vAlign w:val="bottom"/>
            <w:tcBorders>
              <w:bottom w:val="single" w:sz="8" w:color="auto"/>
            </w:tcBorders>
          </w:tcPr>
          <w:p>
            <w:pPr>
              <w:jc w:val="right"/>
              <w:ind w:right="25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1,767</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4,270</w:t>
            </w:r>
          </w:p>
        </w:tc>
        <w:tc>
          <w:tcPr>
            <w:tcW w:w="60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4,009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Weighted-average shares of common stock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1,769</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1,769</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1,768</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Efect of dilutve securites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3</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Weighted-average diluted shares outstanding</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1,772</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1,771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1,772</w:t>
            </w: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1,772</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Diluted earnings per share atributable to AbbVie Inc.</w:t>
            </w: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0.88</w:t>
            </w:r>
          </w:p>
        </w:tc>
        <w:tc>
          <w:tcPr>
            <w:tcW w:w="520" w:type="dxa"/>
            <w:vAlign w:val="bottom"/>
            <w:tcBorders>
              <w:bottom w:val="single" w:sz="8" w:color="auto"/>
            </w:tcBorders>
          </w:tcPr>
          <w:p>
            <w:pPr>
              <w:jc w:val="right"/>
              <w:ind w:right="25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2.41</w:t>
            </w:r>
          </w:p>
        </w:tc>
        <w:tc>
          <w:tcPr>
            <w:tcW w:w="60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2.26</w:t>
            </w:r>
          </w:p>
        </w:tc>
        <w:tc>
          <w:tcPr>
            <w:tcW w:w="0" w:type="dxa"/>
            <w:vAlign w:val="bottom"/>
          </w:tcPr>
          <w:p>
            <w:pPr>
              <w:spacing w:after="0"/>
              <w:rPr>
                <w:sz w:val="1"/>
                <w:szCs w:val="1"/>
                <w:color w:val="auto"/>
              </w:rPr>
            </w:pPr>
          </w:p>
        </w:tc>
      </w:tr>
      <w:tr>
        <w:trPr>
          <w:trHeight w:val="26"/>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spacing w:after="0" w:line="237" w:lineRule="auto"/>
        <w:rPr>
          <w:sz w:val="20"/>
          <w:szCs w:val="20"/>
          <w:color w:val="auto"/>
        </w:rPr>
      </w:pPr>
      <w:r>
        <w:rPr>
          <w:rFonts w:ascii="Calibri" w:cs="Calibri" w:eastAsia="Calibri" w:hAnsi="Calibri"/>
          <w:sz w:val="17"/>
          <w:szCs w:val="17"/>
          <w:color w:val="auto"/>
        </w:rPr>
        <w:t>Certain shares issuable under stock-based compensaton plans were excluded from the computaton of EPS because the efect would have been antdilutve. The number of common shares excluded was insignifcant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8</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0" w:name="page11"/>
    <w:bookmarkEnd w:id="10"/>
    <w:p>
      <w:pPr>
        <w:spacing w:after="0"/>
        <w:rPr>
          <w:sz w:val="20"/>
          <w:szCs w:val="20"/>
          <w:color w:val="auto"/>
        </w:rPr>
      </w:pPr>
      <w:r>
        <w:rPr>
          <w:rFonts w:ascii="Calibri" w:cs="Calibri" w:eastAsia="Calibri" w:hAnsi="Calibri"/>
          <w:sz w:val="21"/>
          <w:szCs w:val="21"/>
          <w:b w:val="1"/>
          <w:bCs w:val="1"/>
          <w:color w:val="444867"/>
        </w:rPr>
        <w:t>Note 4 Licensing, Acquisitons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Proposed Acquisiton of Aliada Therapeutcs Holdings, Inc.</w:t>
      </w:r>
    </w:p>
    <w:p>
      <w:pPr>
        <w:spacing w:after="0" w:line="117" w:lineRule="exact"/>
        <w:rPr>
          <w:sz w:val="20"/>
          <w:szCs w:val="20"/>
          <w:color w:val="auto"/>
        </w:rPr>
      </w:pPr>
    </w:p>
    <w:p>
      <w:pPr>
        <w:ind w:right="40"/>
        <w:spacing w:after="0" w:line="238" w:lineRule="auto"/>
        <w:rPr>
          <w:sz w:val="20"/>
          <w:szCs w:val="20"/>
          <w:color w:val="auto"/>
        </w:rPr>
      </w:pPr>
      <w:r>
        <w:rPr>
          <w:rFonts w:ascii="Calibri" w:cs="Calibri" w:eastAsia="Calibri" w:hAnsi="Calibri"/>
          <w:sz w:val="17"/>
          <w:szCs w:val="17"/>
          <w:color w:val="auto"/>
        </w:rPr>
        <w:t>Subsequent to September 30, 2024, on October 28, 2024, AbbVie announced that it entered into a defnitve agreement to acquire Aliada Therapeutcs, Inc. (Aliada) including its lead program ALIA-1758. ALIA-1758 is an ant-pyroglutamate amyloid beta (3pE-Aβ) antbody in development for the treatment of Alzheimer’s Disease. Under the terms of the agreement, AbbVie will make an upfront cash payment of approximately $1.4 billion to acquire all outstanding equity of Aliada. Closing of the proposed transacton is subject to regulatory approvals and other customary closing conditons.</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Acquisiton of Cerevel Therapeutcs Holdings, Inc.</w:t>
      </w:r>
    </w:p>
    <w:p>
      <w:pPr>
        <w:spacing w:after="0" w:line="143"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On August 1, 2024, AbbVie completed its previously announced acquisiton of Cerevel Therapeutcs. Cerevel Therapeutcs is a clinical-stage biotechnology company focused on the discovery and development of diferentated therapies for neuroscience diseases. Cerevel Therapeutcs neuroscience pipeline includes multple clinical-stage and preclinical candidates with the potental to treat several diseases including schizophrenia, Parkinson's disease and mood disorders. Under the terms of the agreement, AbbVie acquired all outstanding shares of Cerevel Therapeutcs for $45.00 per share in cash. The total fair value of the consideraton transferred to owners of Cerevel Therapeutcs common stock was $8.7 billion ($8.3 billion, net of cash acquired).</w:t>
      </w:r>
    </w:p>
    <w:p>
      <w:pPr>
        <w:spacing w:after="0" w:line="144" w:lineRule="exact"/>
        <w:rPr>
          <w:sz w:val="20"/>
          <w:szCs w:val="20"/>
          <w:color w:val="auto"/>
        </w:rPr>
      </w:pPr>
    </w:p>
    <w:p>
      <w:pPr>
        <w:ind w:right="40"/>
        <w:spacing w:after="0" w:line="228" w:lineRule="auto"/>
        <w:rPr>
          <w:sz w:val="20"/>
          <w:szCs w:val="20"/>
          <w:color w:val="auto"/>
        </w:rPr>
      </w:pPr>
      <w:r>
        <w:rPr>
          <w:rFonts w:ascii="Calibri" w:cs="Calibri" w:eastAsia="Calibri" w:hAnsi="Calibri"/>
          <w:sz w:val="17"/>
          <w:szCs w:val="17"/>
          <w:color w:val="auto"/>
        </w:rPr>
        <w:t>The acquisiton of Cerevel Therapeutcs has been accounted for as a business combinaton using the acquisiton method of accountng. The acquisiton method requires, among other things, that assets acquired and liabilites assumed in a business combinaton be recognized at their fair values as of the acquisiton date. The valuaton of assets acquired and liabilites assumed has not yet been fnalized as of September 30, 2024. As a result, AbbVie recorded preliminary estmates for the fair value of assets acquired and liabilites assumed as of the acquisiton date. Finalizaton of the valuaton during the measurement period could result in a change in the amounts recorded for the acquisiton date fair value of intangible assets, goodwill and income taxes among other items. The completon of the valuaton will occur no later than one year from the acquisiton date.</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preliminary fair value of assets acquired and liabilites assumed as of the acquisiton date:</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00" w:type="dxa"/>
            <w:vAlign w:val="bottom"/>
          </w:tcPr>
          <w:p>
            <w:pPr>
              <w:ind w:left="20"/>
              <w:spacing w:after="0"/>
              <w:rPr>
                <w:sz w:val="20"/>
                <w:szCs w:val="20"/>
                <w:color w:val="auto"/>
              </w:rPr>
            </w:pPr>
            <w:r>
              <w:rPr>
                <w:rFonts w:ascii="Calibri" w:cs="Calibri" w:eastAsia="Calibri" w:hAnsi="Calibri"/>
                <w:sz w:val="17"/>
                <w:szCs w:val="17"/>
                <w:b w:val="1"/>
                <w:bCs w:val="1"/>
                <w:color w:val="auto"/>
              </w:rPr>
              <w:t>Assets acquired and liabilites assumed</w:t>
            </w:r>
          </w:p>
        </w:tc>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6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9"/>
        </w:trPr>
        <w:tc>
          <w:tcPr>
            <w:tcW w:w="620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Cash and equivalents</w:t>
            </w:r>
          </w:p>
        </w:tc>
        <w:tc>
          <w:tcPr>
            <w:tcW w:w="3900" w:type="dxa"/>
            <w:vAlign w:val="bottom"/>
            <w:shd w:val="clear" w:color="auto" w:fill="CCEEFF"/>
          </w:tcPr>
          <w:p>
            <w:pPr>
              <w:jc w:val="right"/>
              <w:ind w:right="5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361</w:t>
            </w:r>
          </w:p>
        </w:tc>
      </w:tr>
      <w:tr>
        <w:trPr>
          <w:trHeight w:val="212"/>
        </w:trPr>
        <w:tc>
          <w:tcPr>
            <w:tcW w:w="6200" w:type="dxa"/>
            <w:vAlign w:val="bottom"/>
          </w:tcPr>
          <w:p>
            <w:pPr>
              <w:ind w:left="20"/>
              <w:spacing w:after="0" w:line="205" w:lineRule="exact"/>
              <w:rPr>
                <w:sz w:val="20"/>
                <w:szCs w:val="20"/>
                <w:color w:val="auto"/>
              </w:rPr>
            </w:pPr>
            <w:r>
              <w:rPr>
                <w:rFonts w:ascii="Calibri" w:cs="Calibri" w:eastAsia="Calibri" w:hAnsi="Calibri"/>
                <w:sz w:val="17"/>
                <w:szCs w:val="17"/>
                <w:color w:val="auto"/>
              </w:rPr>
              <w:t>Short-term investments</w:t>
            </w:r>
          </w:p>
        </w:tc>
        <w:tc>
          <w:tcPr>
            <w:tcW w:w="390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382</w:t>
            </w:r>
          </w:p>
        </w:tc>
      </w:tr>
      <w:tr>
        <w:trPr>
          <w:trHeight w:val="226"/>
        </w:trPr>
        <w:tc>
          <w:tcPr>
            <w:tcW w:w="620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Prepaid expenses and other current assets</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9</w:t>
            </w:r>
          </w:p>
        </w:tc>
      </w:tr>
      <w:tr>
        <w:trPr>
          <w:trHeight w:val="212"/>
        </w:trPr>
        <w:tc>
          <w:tcPr>
            <w:tcW w:w="6200" w:type="dxa"/>
            <w:vAlign w:val="bottom"/>
          </w:tcPr>
          <w:p>
            <w:pPr>
              <w:ind w:left="20"/>
              <w:spacing w:after="0" w:line="205" w:lineRule="exact"/>
              <w:rPr>
                <w:sz w:val="20"/>
                <w:szCs w:val="20"/>
                <w:color w:val="auto"/>
              </w:rPr>
            </w:pPr>
            <w:r>
              <w:rPr>
                <w:rFonts w:ascii="Calibri" w:cs="Calibri" w:eastAsia="Calibri" w:hAnsi="Calibri"/>
                <w:sz w:val="17"/>
                <w:szCs w:val="17"/>
                <w:color w:val="auto"/>
              </w:rPr>
              <w:t>Property and equipment, net</w:t>
            </w:r>
          </w:p>
        </w:tc>
        <w:tc>
          <w:tcPr>
            <w:tcW w:w="390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25</w:t>
            </w:r>
          </w:p>
        </w:tc>
      </w:tr>
      <w:tr>
        <w:trPr>
          <w:trHeight w:val="226"/>
        </w:trPr>
        <w:tc>
          <w:tcPr>
            <w:tcW w:w="620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Investments</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121</w:t>
            </w:r>
          </w:p>
        </w:tc>
      </w:tr>
      <w:tr>
        <w:trPr>
          <w:trHeight w:val="212"/>
        </w:trPr>
        <w:tc>
          <w:tcPr>
            <w:tcW w:w="6200" w:type="dxa"/>
            <w:vAlign w:val="bottom"/>
          </w:tcPr>
          <w:p>
            <w:pPr>
              <w:ind w:left="20"/>
              <w:spacing w:after="0" w:line="205" w:lineRule="exact"/>
              <w:rPr>
                <w:sz w:val="20"/>
                <w:szCs w:val="20"/>
                <w:color w:val="auto"/>
              </w:rPr>
            </w:pPr>
            <w:r>
              <w:rPr>
                <w:rFonts w:ascii="Calibri" w:cs="Calibri" w:eastAsia="Calibri" w:hAnsi="Calibri"/>
                <w:sz w:val="17"/>
                <w:szCs w:val="17"/>
                <w:color w:val="auto"/>
              </w:rPr>
              <w:t>Intangible assets, net</w:t>
            </w:r>
          </w:p>
        </w:tc>
        <w:tc>
          <w:tcPr>
            <w:tcW w:w="390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8,100</w:t>
            </w:r>
          </w:p>
        </w:tc>
      </w:tr>
      <w:tr>
        <w:trPr>
          <w:trHeight w:val="226"/>
        </w:trPr>
        <w:tc>
          <w:tcPr>
            <w:tcW w:w="620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Other noncurrent assets</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31</w:t>
            </w:r>
          </w:p>
        </w:tc>
      </w:tr>
      <w:tr>
        <w:trPr>
          <w:trHeight w:val="212"/>
        </w:trPr>
        <w:tc>
          <w:tcPr>
            <w:tcW w:w="6200" w:type="dxa"/>
            <w:vAlign w:val="bottom"/>
          </w:tcPr>
          <w:p>
            <w:pPr>
              <w:ind w:left="20"/>
              <w:spacing w:after="0" w:line="205" w:lineRule="exact"/>
              <w:rPr>
                <w:sz w:val="20"/>
                <w:szCs w:val="20"/>
                <w:color w:val="auto"/>
              </w:rPr>
            </w:pPr>
            <w:r>
              <w:rPr>
                <w:rFonts w:ascii="Calibri" w:cs="Calibri" w:eastAsia="Calibri" w:hAnsi="Calibri"/>
                <w:sz w:val="17"/>
                <w:szCs w:val="17"/>
                <w:color w:val="auto"/>
              </w:rPr>
              <w:t>Current porton of long-term debt</w:t>
            </w:r>
          </w:p>
        </w:tc>
        <w:tc>
          <w:tcPr>
            <w:tcW w:w="390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(400)</w:t>
            </w:r>
          </w:p>
        </w:tc>
      </w:tr>
      <w:tr>
        <w:trPr>
          <w:trHeight w:val="226"/>
        </w:trPr>
        <w:tc>
          <w:tcPr>
            <w:tcW w:w="620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Accounts payable and accrued liabilites</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(100)</w:t>
            </w:r>
          </w:p>
        </w:tc>
      </w:tr>
      <w:tr>
        <w:trPr>
          <w:trHeight w:val="212"/>
        </w:trPr>
        <w:tc>
          <w:tcPr>
            <w:tcW w:w="6200" w:type="dxa"/>
            <w:vAlign w:val="bottom"/>
          </w:tcPr>
          <w:p>
            <w:pPr>
              <w:ind w:left="20"/>
              <w:spacing w:after="0" w:line="205" w:lineRule="exact"/>
              <w:rPr>
                <w:sz w:val="20"/>
                <w:szCs w:val="20"/>
                <w:color w:val="auto"/>
              </w:rPr>
            </w:pPr>
            <w:r>
              <w:rPr>
                <w:rFonts w:ascii="Calibri" w:cs="Calibri" w:eastAsia="Calibri" w:hAnsi="Calibri"/>
                <w:sz w:val="17"/>
                <w:szCs w:val="17"/>
                <w:color w:val="auto"/>
              </w:rPr>
              <w:t>Long-term debt</w:t>
            </w:r>
          </w:p>
        </w:tc>
        <w:tc>
          <w:tcPr>
            <w:tcW w:w="390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(246)</w:t>
            </w:r>
          </w:p>
        </w:tc>
      </w:tr>
      <w:tr>
        <w:trPr>
          <w:trHeight w:val="226"/>
        </w:trPr>
        <w:tc>
          <w:tcPr>
            <w:tcW w:w="620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Deferred income taxes</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(1,292)</w:t>
            </w:r>
          </w:p>
        </w:tc>
      </w:tr>
      <w:tr>
        <w:trPr>
          <w:trHeight w:val="212"/>
        </w:trPr>
        <w:tc>
          <w:tcPr>
            <w:tcW w:w="62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Other long-term liabilites</w:t>
            </w:r>
          </w:p>
        </w:tc>
        <w:tc>
          <w:tcPr>
            <w:tcW w:w="3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(31)</w:t>
            </w:r>
          </w:p>
        </w:tc>
      </w:tr>
      <w:tr>
        <w:trPr>
          <w:trHeight w:val="219"/>
        </w:trPr>
        <w:tc>
          <w:tcPr>
            <w:tcW w:w="620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identfable net assets</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6,960</w:t>
            </w:r>
          </w:p>
        </w:tc>
      </w:tr>
      <w:tr>
        <w:trPr>
          <w:trHeight w:val="212"/>
        </w:trPr>
        <w:tc>
          <w:tcPr>
            <w:tcW w:w="62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Goodwill</w:t>
            </w:r>
          </w:p>
        </w:tc>
        <w:tc>
          <w:tcPr>
            <w:tcW w:w="3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1,702</w:t>
            </w:r>
          </w:p>
        </w:tc>
      </w:tr>
      <w:tr>
        <w:trPr>
          <w:trHeight w:val="237"/>
        </w:trPr>
        <w:tc>
          <w:tcPr>
            <w:tcW w:w="620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assets acquired and liabilites assumed</w:t>
            </w:r>
          </w:p>
        </w:tc>
        <w:tc>
          <w:tcPr>
            <w:tcW w:w="3900" w:type="dxa"/>
            <w:vAlign w:val="bottom"/>
            <w:tcBorders>
              <w:bottom w:val="single" w:sz="8" w:color="auto"/>
            </w:tcBorders>
            <w:shd w:val="clear" w:color="auto" w:fill="CCEEFF"/>
          </w:tcPr>
          <w:p>
            <w:pPr>
              <w:jc w:val="right"/>
              <w:ind w:right="5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8,662</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Intangible assets relate to $8.1 billion of acquired in-process research and development (IPR&amp;D) associated with products that have not yet received regulatory approval. The estmated fair values of identfable intangible assets were determined using the "income approach" which is a valuaton technique that provides an estmate of the fair value of an asset based on market partcipant expectatons of the cash fows an asset would generate over its remaining useful life. Some of the more signifcant assumptons inherent in the development of these asset valuatons include the estmated net cash fows for each year for each asset or product, the appropriate discount rate necessary to measure the risk inherent in each future cash fow stream, the life cycle of each asset, the potental regulatory and commercial success risk, compettve trends impactng the asset and each cash fow stream, as well as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8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60" w:type="dxa"/>
            <w:vAlign w:val="bottom"/>
          </w:tcPr>
          <w:p>
            <w:pPr>
              <w:jc w:val="right"/>
              <w:ind w:right="154"/>
              <w:spacing w:after="0"/>
              <w:rPr>
                <w:sz w:val="20"/>
                <w:szCs w:val="20"/>
                <w:color w:val="auto"/>
              </w:rPr>
            </w:pPr>
            <w:r>
              <w:rPr>
                <w:rFonts w:ascii="Calibri" w:cs="Calibri" w:eastAsia="Calibri" w:hAnsi="Calibri"/>
                <w:sz w:val="17"/>
                <w:szCs w:val="17"/>
                <w:b w:val="1"/>
                <w:bCs w:val="1"/>
                <w:i w:val="1"/>
                <w:iCs w:val="1"/>
                <w:color w:val="auto"/>
              </w:rPr>
              <w:t>9</w:t>
            </w:r>
          </w:p>
        </w:tc>
      </w:tr>
      <w:tr>
        <w:trPr>
          <w:trHeight w:val="231"/>
        </w:trPr>
        <w:tc>
          <w:tcPr>
            <w:tcW w:w="103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1" w:name="page12"/>
    <w:bookmarkEnd w:id="11"/>
    <w:p>
      <w:pPr>
        <w:ind w:right="160"/>
        <w:spacing w:after="0" w:line="257" w:lineRule="auto"/>
        <w:rPr>
          <w:sz w:val="20"/>
          <w:szCs w:val="20"/>
          <w:color w:val="auto"/>
        </w:rPr>
      </w:pPr>
      <w:r>
        <w:rPr>
          <w:rFonts w:ascii="Calibri" w:cs="Calibri" w:eastAsia="Calibri" w:hAnsi="Calibri"/>
          <w:sz w:val="16"/>
          <w:szCs w:val="16"/>
          <w:color w:val="auto"/>
        </w:rPr>
        <w:t>The current porton of long-term debt assumed by AbbVie consists of $345 million aggregate principal of 2.5% convertble senior notes due 2027. Upon acquisiton, the convertble senior notes became callable and note holders could redeem the convertble senior notes for cash at a premium. As of the acquisiton date, the convertble senior notes were recognized as current porton of long-term debt on the condensed consolidated balance sheets at an aggregate fair value of $400 million. Following the acquisiton date, the company repaid the convertble senior notes and there were no amounts outstanding as of September 30, 2024.</w:t>
      </w:r>
    </w:p>
    <w:p>
      <w:pPr>
        <w:spacing w:after="0" w:line="105" w:lineRule="exact"/>
        <w:rPr>
          <w:sz w:val="20"/>
          <w:szCs w:val="20"/>
          <w:color w:val="auto"/>
        </w:rPr>
      </w:pPr>
    </w:p>
    <w:p>
      <w:pPr>
        <w:ind w:right="120"/>
        <w:spacing w:after="0" w:line="225" w:lineRule="auto"/>
        <w:rPr>
          <w:sz w:val="20"/>
          <w:szCs w:val="20"/>
          <w:color w:val="auto"/>
        </w:rPr>
      </w:pPr>
      <w:r>
        <w:rPr>
          <w:rFonts w:ascii="Calibri" w:cs="Calibri" w:eastAsia="Calibri" w:hAnsi="Calibri"/>
          <w:sz w:val="17"/>
          <w:szCs w:val="17"/>
          <w:color w:val="auto"/>
        </w:rPr>
        <w:t>Long-term debt assumed by AbbVie relates to funding agreements entered into by Cerevel Therapeutcs prior to the acquisiton. Under the agreements, Cerevel Therapeutcs received funding to support development of tavapadon and agreed to repay regulatory milestones, sales milestones and royaltes contngent upon approval of tavapadon by the U.S. Food and Drug Administraton (FDA). The funding agreements were accounted for as fnancing arrangements and the fair value of the related fnancing liability was $246 million as of the acquisiton date. The estmated fair value of the fnancing liability was determined using a probability-weighted expected payment model for regulatory milestone payments and a Monte Carlo simulaton model for sales milestones and royalty payments, which are then discounted to present value. Assumptons inherent in the development of fair value include discount rates, estmated probabilites and tming of achieving milestones and estmated amounts of future sales. See Note 8 for additonal informaton.</w:t>
      </w:r>
    </w:p>
    <w:p>
      <w:pPr>
        <w:spacing w:after="0" w:line="134" w:lineRule="exact"/>
        <w:rPr>
          <w:sz w:val="20"/>
          <w:szCs w:val="20"/>
          <w:color w:val="auto"/>
        </w:rPr>
      </w:pPr>
    </w:p>
    <w:p>
      <w:pPr>
        <w:ind w:right="100"/>
        <w:spacing w:after="0" w:line="238" w:lineRule="auto"/>
        <w:rPr>
          <w:sz w:val="20"/>
          <w:szCs w:val="20"/>
          <w:color w:val="auto"/>
        </w:rPr>
      </w:pPr>
      <w:r>
        <w:rPr>
          <w:rFonts w:ascii="Calibri" w:cs="Calibri" w:eastAsia="Calibri" w:hAnsi="Calibri"/>
          <w:sz w:val="17"/>
          <w:szCs w:val="17"/>
          <w:color w:val="auto"/>
        </w:rPr>
        <w:t>Goodwill was calculated as the excess of the consideraton transferred over the fair value of net assets recognized and represents the future economic benefts arising from other assets acquired that could not be individually identfed and separately recognized. Specifcally, the goodwill recognized from the acquisiton of Cerevel Therapeutcs represents expected synergies, including the ability to: (i) expand AbbVie’s neuroscience pipeline, (ii) leverage AbbVie’s commercial, regulatory and clinical expertse to maximize Cerevel Therapeutc’s assets and (iii) enhance AbbVie’s existng neuroscience discovery capabilites. The goodwill is not deductble for tax purposes.</w:t>
      </w:r>
    </w:p>
    <w:p>
      <w:pPr>
        <w:spacing w:after="0" w:line="144" w:lineRule="exact"/>
        <w:rPr>
          <w:sz w:val="20"/>
          <w:szCs w:val="20"/>
          <w:color w:val="auto"/>
        </w:rPr>
      </w:pPr>
    </w:p>
    <w:p>
      <w:pPr>
        <w:ind w:right="220"/>
        <w:spacing w:after="0" w:line="238" w:lineRule="auto"/>
        <w:rPr>
          <w:sz w:val="20"/>
          <w:szCs w:val="20"/>
          <w:color w:val="auto"/>
        </w:rPr>
      </w:pPr>
      <w:r>
        <w:rPr>
          <w:rFonts w:ascii="Calibri" w:cs="Calibri" w:eastAsia="Calibri" w:hAnsi="Calibri"/>
          <w:sz w:val="17"/>
          <w:szCs w:val="17"/>
          <w:color w:val="auto"/>
        </w:rPr>
        <w:t>AbbVie also assumed a licensing agreement entered into by Cerevel Therapeutcs with Pfzer Inc. (Pfzer) prior to the acquisiton. Under the agreement, Cerevel Therapeutcs was granted an exclusive global license under certain Pfzer patent rights to develop, manufacture and commercialize compounds included in Cerevel Therapeutc’s pipeline. AbbVie could make additonal payments of up to $1.6 billion upon achievement of certain regulatory and commercial milestones for all programs. Additonally, AbbVie will pay tered royaltes on net revenues.</w:t>
      </w:r>
    </w:p>
    <w:p>
      <w:pPr>
        <w:spacing w:after="0" w:line="144" w:lineRule="exact"/>
        <w:rPr>
          <w:sz w:val="20"/>
          <w:szCs w:val="20"/>
          <w:color w:val="auto"/>
        </w:rPr>
      </w:pPr>
    </w:p>
    <w:p>
      <w:pPr>
        <w:ind w:right="140"/>
        <w:spacing w:after="0" w:line="238" w:lineRule="auto"/>
        <w:rPr>
          <w:sz w:val="20"/>
          <w:szCs w:val="20"/>
          <w:color w:val="auto"/>
        </w:rPr>
      </w:pPr>
      <w:r>
        <w:rPr>
          <w:rFonts w:ascii="Calibri" w:cs="Calibri" w:eastAsia="Calibri" w:hAnsi="Calibri"/>
          <w:sz w:val="17"/>
          <w:szCs w:val="17"/>
          <w:color w:val="auto"/>
        </w:rPr>
        <w:t>Following the acquisiton date, the operatng results of Cerevel Therapeutcs have been included in the condensed consolidated fnancial statements. For the period from the acquisiton date through September 30, 2024, operatng losses atributable to Cerevel Therapeutcs were $299 million, inclusive of $161 million of cash-setled, post-closing expense for Cerevel Therapeutcs employee incentve awards. AbbVie also issued 0.3 million RSUs to holders of Cerevel Therapeutcs equity awards based on a conversion factor described in the transacton agreement. Stock compensaton expense related to RSUs issued at the acquisiton date was not signifcant.</w:t>
      </w:r>
    </w:p>
    <w:p>
      <w:pPr>
        <w:spacing w:after="0" w:line="131" w:lineRule="exact"/>
        <w:rPr>
          <w:sz w:val="20"/>
          <w:szCs w:val="20"/>
          <w:color w:val="auto"/>
        </w:rPr>
      </w:pPr>
    </w:p>
    <w:p>
      <w:pPr>
        <w:ind w:right="660"/>
        <w:spacing w:after="0" w:line="265" w:lineRule="auto"/>
        <w:rPr>
          <w:sz w:val="20"/>
          <w:szCs w:val="20"/>
          <w:color w:val="auto"/>
        </w:rPr>
      </w:pPr>
      <w:r>
        <w:rPr>
          <w:rFonts w:ascii="Calibri" w:cs="Calibri" w:eastAsia="Calibri" w:hAnsi="Calibri"/>
          <w:sz w:val="16"/>
          <w:szCs w:val="16"/>
          <w:color w:val="auto"/>
        </w:rPr>
        <w:t>Acquisiton-related expenses, which were comprised primarily of regulatory, fnancial advisory and legal fees, totaled $44 million for the nine months ended September 30, 2024 and were included in selling, general and administratve (SG&amp;A) expense in the condensed consolidated statements of earnings.</w:t>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Acquisiton of ImmunoGen, Inc.</w:t>
      </w:r>
    </w:p>
    <w:p>
      <w:pPr>
        <w:spacing w:after="0" w:line="143"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On February 12, 2024, AbbVie completed its previously announced acquisiton of ImmunoGen. ImmunoGen is a commercial-stage biotechnology company focused on the discovery, development and commercializaton of antbody-drug conjugates (ADC) for cancer patents. ImmunoGen's oncology portolio includes its fagship cancer therapy Elahere, a frst-in-class ADC approved for platnum-resistant ovarian cancer, and a pipeline of promising next-generaton ADC's targetng hematologic malignancies and solid tumors. The combinaton accelerates AbbVie’s entry into the solid tumor space and strengthens its oncology pipeline. Under the terms of the agreement, AbbVie acquired all outstanding shares of ImmunoGen for $31.26 per share in cash. The total fair value of the consideraton transferred to owners of ImmunoGen common stock was $9.8 billion ($9.2 billion, net of cash acquired).</w:t>
      </w:r>
    </w:p>
    <w:p>
      <w:pPr>
        <w:spacing w:after="0" w:line="132"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The acquisiton of ImmunoGen has been accounted for as a business combinaton using the acquisiton method of accountng. The acquisiton method requires, among other things, that assets acquired and liabilites assumed in a business combinaton be recognized at their fair values as of the acquisiton date. The valuaton of assets acquired and liabilites assumed has not yet been fnalized as of September 30, 2024. As a result, AbbVie recorded preliminary estmates for the fair value of assets acquired and liabilites assumed as of the acquisiton date. Finalizaton of the valuaton during the measurement period could result in a change in the amounts recorded for the acquisiton date fair value of intangible assets, goodwill and income taxes among other items. The completon of the valuaton will occur no later than one year from the acquisiton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10</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7"/>
          <w:szCs w:val="17"/>
          <w:color w:val="auto"/>
        </w:rPr>
        <w:t>The following table summarizes the preliminary fair value of assets acquired and liabilites assumed as of the acquisiton date:</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60" w:type="dxa"/>
            <w:vAlign w:val="bottom"/>
          </w:tcPr>
          <w:p>
            <w:pPr>
              <w:ind w:left="20"/>
              <w:spacing w:after="0"/>
              <w:rPr>
                <w:sz w:val="20"/>
                <w:szCs w:val="20"/>
                <w:color w:val="auto"/>
              </w:rPr>
            </w:pPr>
            <w:r>
              <w:rPr>
                <w:rFonts w:ascii="Calibri" w:cs="Calibri" w:eastAsia="Calibri" w:hAnsi="Calibri"/>
                <w:sz w:val="17"/>
                <w:szCs w:val="17"/>
                <w:b w:val="1"/>
                <w:bCs w:val="1"/>
                <w:color w:val="auto"/>
              </w:rPr>
              <w:t>Assets acquired and liabilites assumed</w:t>
            </w: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9"/>
        </w:trPr>
        <w:tc>
          <w:tcPr>
            <w:tcW w:w="636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Cash and equivalents</w:t>
            </w:r>
          </w:p>
        </w:tc>
        <w:tc>
          <w:tcPr>
            <w:tcW w:w="3780" w:type="dxa"/>
            <w:vAlign w:val="bottom"/>
            <w:shd w:val="clear" w:color="auto" w:fill="CCEEFF"/>
          </w:tcPr>
          <w:p>
            <w:pPr>
              <w:jc w:val="right"/>
              <w:ind w:right="59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591</w:t>
            </w:r>
          </w:p>
        </w:tc>
      </w:tr>
      <w:tr>
        <w:trPr>
          <w:trHeight w:val="212"/>
        </w:trPr>
        <w:tc>
          <w:tcPr>
            <w:tcW w:w="6360" w:type="dxa"/>
            <w:vAlign w:val="bottom"/>
          </w:tcPr>
          <w:p>
            <w:pPr>
              <w:ind w:left="20"/>
              <w:spacing w:after="0" w:line="205" w:lineRule="exact"/>
              <w:rPr>
                <w:sz w:val="20"/>
                <w:szCs w:val="20"/>
                <w:color w:val="auto"/>
              </w:rPr>
            </w:pPr>
            <w:r>
              <w:rPr>
                <w:rFonts w:ascii="Calibri" w:cs="Calibri" w:eastAsia="Calibri" w:hAnsi="Calibri"/>
                <w:sz w:val="17"/>
                <w:szCs w:val="17"/>
                <w:color w:val="auto"/>
              </w:rPr>
              <w:t>Accounts receivable</w:t>
            </w:r>
          </w:p>
        </w:tc>
        <w:tc>
          <w:tcPr>
            <w:tcW w:w="37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171</w:t>
            </w:r>
          </w:p>
        </w:tc>
      </w:tr>
      <w:tr>
        <w:trPr>
          <w:trHeight w:val="226"/>
        </w:trPr>
        <w:tc>
          <w:tcPr>
            <w:tcW w:w="636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Inventories</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211</w:t>
            </w:r>
          </w:p>
        </w:tc>
      </w:tr>
      <w:tr>
        <w:trPr>
          <w:trHeight w:val="212"/>
        </w:trPr>
        <w:tc>
          <w:tcPr>
            <w:tcW w:w="6360" w:type="dxa"/>
            <w:vAlign w:val="bottom"/>
          </w:tcPr>
          <w:p>
            <w:pPr>
              <w:ind w:left="20"/>
              <w:spacing w:after="0" w:line="205" w:lineRule="exact"/>
              <w:rPr>
                <w:sz w:val="20"/>
                <w:szCs w:val="20"/>
                <w:color w:val="auto"/>
              </w:rPr>
            </w:pPr>
            <w:r>
              <w:rPr>
                <w:rFonts w:ascii="Calibri" w:cs="Calibri" w:eastAsia="Calibri" w:hAnsi="Calibri"/>
                <w:sz w:val="17"/>
                <w:szCs w:val="17"/>
                <w:color w:val="auto"/>
              </w:rPr>
              <w:t>Prepaid expenses and other current assets</w:t>
            </w:r>
          </w:p>
        </w:tc>
        <w:tc>
          <w:tcPr>
            <w:tcW w:w="37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40</w:t>
            </w:r>
          </w:p>
        </w:tc>
      </w:tr>
      <w:tr>
        <w:trPr>
          <w:trHeight w:val="226"/>
        </w:trPr>
        <w:tc>
          <w:tcPr>
            <w:tcW w:w="636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Property and equipment, net</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w:t>
            </w:r>
          </w:p>
        </w:tc>
      </w:tr>
      <w:tr>
        <w:trPr>
          <w:trHeight w:val="212"/>
        </w:trPr>
        <w:tc>
          <w:tcPr>
            <w:tcW w:w="6360" w:type="dxa"/>
            <w:vAlign w:val="bottom"/>
          </w:tcPr>
          <w:p>
            <w:pPr>
              <w:ind w:left="20"/>
              <w:spacing w:after="0" w:line="205" w:lineRule="exact"/>
              <w:rPr>
                <w:sz w:val="20"/>
                <w:szCs w:val="20"/>
                <w:color w:val="auto"/>
              </w:rPr>
            </w:pPr>
            <w:r>
              <w:rPr>
                <w:rFonts w:ascii="Calibri" w:cs="Calibri" w:eastAsia="Calibri" w:hAnsi="Calibri"/>
                <w:sz w:val="17"/>
                <w:szCs w:val="17"/>
                <w:color w:val="auto"/>
              </w:rPr>
              <w:t>Intangible assets, net</w:t>
            </w: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6"/>
        </w:trPr>
        <w:tc>
          <w:tcPr>
            <w:tcW w:w="6360" w:type="dxa"/>
            <w:vAlign w:val="bottom"/>
            <w:shd w:val="clear" w:color="auto" w:fill="CCEEFF"/>
          </w:tcPr>
          <w:p>
            <w:pPr>
              <w:ind w:left="120"/>
              <w:spacing w:after="0"/>
              <w:rPr>
                <w:sz w:val="20"/>
                <w:szCs w:val="20"/>
                <w:color w:val="auto"/>
              </w:rPr>
            </w:pPr>
            <w:r>
              <w:rPr>
                <w:rFonts w:ascii="Calibri" w:cs="Calibri" w:eastAsia="Calibri" w:hAnsi="Calibri"/>
                <w:sz w:val="17"/>
                <w:szCs w:val="17"/>
                <w:color w:val="auto"/>
              </w:rPr>
              <w:t>Developed product rights</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7,200</w:t>
            </w:r>
          </w:p>
        </w:tc>
      </w:tr>
      <w:tr>
        <w:trPr>
          <w:trHeight w:val="212"/>
        </w:trPr>
        <w:tc>
          <w:tcPr>
            <w:tcW w:w="6360" w:type="dxa"/>
            <w:vAlign w:val="bottom"/>
          </w:tcPr>
          <w:p>
            <w:pPr>
              <w:ind w:left="120"/>
              <w:spacing w:after="0" w:line="205" w:lineRule="exact"/>
              <w:rPr>
                <w:sz w:val="20"/>
                <w:szCs w:val="20"/>
                <w:color w:val="auto"/>
              </w:rPr>
            </w:pPr>
            <w:r>
              <w:rPr>
                <w:rFonts w:ascii="Calibri" w:cs="Calibri" w:eastAsia="Calibri" w:hAnsi="Calibri"/>
                <w:sz w:val="17"/>
                <w:szCs w:val="17"/>
                <w:color w:val="auto"/>
              </w:rPr>
              <w:t>License agreements</w:t>
            </w:r>
          </w:p>
        </w:tc>
        <w:tc>
          <w:tcPr>
            <w:tcW w:w="37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125</w:t>
            </w:r>
          </w:p>
        </w:tc>
      </w:tr>
      <w:tr>
        <w:trPr>
          <w:trHeight w:val="226"/>
        </w:trPr>
        <w:tc>
          <w:tcPr>
            <w:tcW w:w="6360" w:type="dxa"/>
            <w:vAlign w:val="bottom"/>
            <w:shd w:val="clear" w:color="auto" w:fill="CCEEFF"/>
          </w:tcPr>
          <w:p>
            <w:pPr>
              <w:ind w:left="120"/>
              <w:spacing w:after="0"/>
              <w:rPr>
                <w:sz w:val="20"/>
                <w:szCs w:val="20"/>
                <w:color w:val="auto"/>
              </w:rPr>
            </w:pPr>
            <w:r>
              <w:rPr>
                <w:rFonts w:ascii="Calibri" w:cs="Calibri" w:eastAsia="Calibri" w:hAnsi="Calibri"/>
                <w:sz w:val="17"/>
                <w:szCs w:val="17"/>
                <w:color w:val="auto"/>
              </w:rPr>
              <w:t>Acquired in-process research and development</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1,280</w:t>
            </w:r>
          </w:p>
        </w:tc>
      </w:tr>
      <w:tr>
        <w:trPr>
          <w:trHeight w:val="212"/>
        </w:trPr>
        <w:tc>
          <w:tcPr>
            <w:tcW w:w="6360" w:type="dxa"/>
            <w:vAlign w:val="bottom"/>
          </w:tcPr>
          <w:p>
            <w:pPr>
              <w:ind w:left="20"/>
              <w:spacing w:after="0" w:line="205" w:lineRule="exact"/>
              <w:rPr>
                <w:sz w:val="20"/>
                <w:szCs w:val="20"/>
                <w:color w:val="auto"/>
              </w:rPr>
            </w:pPr>
            <w:r>
              <w:rPr>
                <w:rFonts w:ascii="Calibri" w:cs="Calibri" w:eastAsia="Calibri" w:hAnsi="Calibri"/>
                <w:sz w:val="17"/>
                <w:szCs w:val="17"/>
                <w:color w:val="auto"/>
              </w:rPr>
              <w:t>Other noncurrent assets</w:t>
            </w:r>
          </w:p>
        </w:tc>
        <w:tc>
          <w:tcPr>
            <w:tcW w:w="37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273</w:t>
            </w:r>
          </w:p>
        </w:tc>
      </w:tr>
      <w:tr>
        <w:trPr>
          <w:trHeight w:val="226"/>
        </w:trPr>
        <w:tc>
          <w:tcPr>
            <w:tcW w:w="636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Current porton of long-term debt</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(99)</w:t>
            </w:r>
          </w:p>
        </w:tc>
      </w:tr>
      <w:tr>
        <w:trPr>
          <w:trHeight w:val="212"/>
        </w:trPr>
        <w:tc>
          <w:tcPr>
            <w:tcW w:w="6360" w:type="dxa"/>
            <w:vAlign w:val="bottom"/>
          </w:tcPr>
          <w:p>
            <w:pPr>
              <w:ind w:left="20"/>
              <w:spacing w:after="0" w:line="205" w:lineRule="exact"/>
              <w:rPr>
                <w:sz w:val="20"/>
                <w:szCs w:val="20"/>
                <w:color w:val="auto"/>
              </w:rPr>
            </w:pPr>
            <w:r>
              <w:rPr>
                <w:rFonts w:ascii="Calibri" w:cs="Calibri" w:eastAsia="Calibri" w:hAnsi="Calibri"/>
                <w:sz w:val="17"/>
                <w:szCs w:val="17"/>
                <w:color w:val="auto"/>
              </w:rPr>
              <w:t>Accounts payable and accrued liabilites</w:t>
            </w:r>
          </w:p>
        </w:tc>
        <w:tc>
          <w:tcPr>
            <w:tcW w:w="37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(312)</w:t>
            </w:r>
          </w:p>
        </w:tc>
      </w:tr>
      <w:tr>
        <w:trPr>
          <w:trHeight w:val="226"/>
        </w:trPr>
        <w:tc>
          <w:tcPr>
            <w:tcW w:w="636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Deferred income taxes</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(899)</w:t>
            </w:r>
          </w:p>
        </w:tc>
      </w:tr>
      <w:tr>
        <w:trPr>
          <w:trHeight w:val="212"/>
        </w:trPr>
        <w:tc>
          <w:tcPr>
            <w:tcW w:w="63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Other long-term liabilites</w:t>
            </w:r>
          </w:p>
        </w:tc>
        <w:tc>
          <w:tcPr>
            <w:tcW w:w="3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(47)</w:t>
            </w:r>
          </w:p>
        </w:tc>
      </w:tr>
      <w:tr>
        <w:trPr>
          <w:trHeight w:val="219"/>
        </w:trPr>
        <w:tc>
          <w:tcPr>
            <w:tcW w:w="636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identfable net assets</w:t>
            </w: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8,541</w:t>
            </w:r>
          </w:p>
        </w:tc>
      </w:tr>
      <w:tr>
        <w:trPr>
          <w:trHeight w:val="212"/>
        </w:trPr>
        <w:tc>
          <w:tcPr>
            <w:tcW w:w="63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Goodwill</w:t>
            </w:r>
          </w:p>
        </w:tc>
        <w:tc>
          <w:tcPr>
            <w:tcW w:w="3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1,249</w:t>
            </w:r>
          </w:p>
        </w:tc>
      </w:tr>
      <w:tr>
        <w:trPr>
          <w:trHeight w:val="237"/>
        </w:trPr>
        <w:tc>
          <w:tcPr>
            <w:tcW w:w="636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assets acquired and liabilites assumed</w:t>
            </w:r>
          </w:p>
        </w:tc>
        <w:tc>
          <w:tcPr>
            <w:tcW w:w="3780" w:type="dxa"/>
            <w:vAlign w:val="bottom"/>
            <w:tcBorders>
              <w:bottom w:val="single" w:sz="8" w:color="auto"/>
            </w:tcBorders>
            <w:shd w:val="clear" w:color="auto" w:fill="CCEEFF"/>
          </w:tcPr>
          <w:p>
            <w:pPr>
              <w:jc w:val="right"/>
              <w:ind w:right="59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9,790</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3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20"/>
        <w:spacing w:after="0" w:line="237" w:lineRule="auto"/>
        <w:rPr>
          <w:sz w:val="20"/>
          <w:szCs w:val="20"/>
          <w:color w:val="auto"/>
        </w:rPr>
      </w:pPr>
      <w:r>
        <w:rPr>
          <w:rFonts w:ascii="Calibri" w:cs="Calibri" w:eastAsia="Calibri" w:hAnsi="Calibri"/>
          <w:sz w:val="17"/>
          <w:szCs w:val="17"/>
          <w:color w:val="auto"/>
        </w:rPr>
        <w:t>The fair value step-up adjustment to inventories of $179 million is being amortzed to cost of products sold when the inventory is sold to customers, which is expected to be within approximately one year from the acquisiton date.</w:t>
      </w:r>
    </w:p>
    <w:p>
      <w:pPr>
        <w:spacing w:after="0" w:line="145"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Intangible assets relate to $7.3 billion of defnite-lived intangible assets and $1.3 billion of acquired IPR&amp;D associated with products that have not yet received regulatory approval. The acquired defnite-lived intangible assets consist of developed product rights and license agreements and are being amortzed over a weighted-average estmated useful life of approximately 12 years using the estmated patern of economic beneft. The estmated fair values of identfable intangible assets were determined using the "income approach" which is a valuaton technique that provides an estmate of the fair value of an asset based on market partcipant expectatons of the cash fows an asset would generate over its remaining useful life. Some of the more signifcant assumptons inherent in the development of these asset valuatons include the estmated net cash fows for each year for each asset or product, the appropriate discount rate necessary to measure the risk inherent in each future cash fow stream, the life cycle of each asset, the potental regulatory and commercial success risk, compettve trends impactng the asset and each cash fow stream, as well as other factors.</w:t>
      </w:r>
    </w:p>
    <w:p>
      <w:pPr>
        <w:spacing w:after="0" w:line="130" w:lineRule="exact"/>
        <w:rPr>
          <w:sz w:val="20"/>
          <w:szCs w:val="20"/>
          <w:color w:val="auto"/>
        </w:rPr>
      </w:pPr>
    </w:p>
    <w:p>
      <w:pPr>
        <w:spacing w:after="0"/>
        <w:rPr>
          <w:sz w:val="20"/>
          <w:szCs w:val="20"/>
          <w:color w:val="auto"/>
        </w:rPr>
      </w:pPr>
      <w:r>
        <w:rPr>
          <w:rFonts w:ascii="Calibri" w:cs="Calibri" w:eastAsia="Calibri" w:hAnsi="Calibri"/>
          <w:sz w:val="17"/>
          <w:szCs w:val="17"/>
          <w:color w:val="auto"/>
        </w:rPr>
        <w:t>Other noncurrent assets primarily consist of $250 million of deferred tax assets.</w:t>
      </w:r>
    </w:p>
    <w:p>
      <w:pPr>
        <w:spacing w:after="0" w:line="143" w:lineRule="exact"/>
        <w:rPr>
          <w:sz w:val="20"/>
          <w:szCs w:val="20"/>
          <w:color w:val="auto"/>
        </w:rPr>
      </w:pPr>
    </w:p>
    <w:p>
      <w:pPr>
        <w:ind w:right="500"/>
        <w:spacing w:after="0" w:line="237" w:lineRule="auto"/>
        <w:rPr>
          <w:sz w:val="20"/>
          <w:szCs w:val="20"/>
          <w:color w:val="auto"/>
        </w:rPr>
      </w:pPr>
      <w:r>
        <w:rPr>
          <w:rFonts w:ascii="Calibri" w:cs="Calibri" w:eastAsia="Calibri" w:hAnsi="Calibri"/>
          <w:sz w:val="17"/>
          <w:szCs w:val="17"/>
          <w:color w:val="auto"/>
        </w:rPr>
        <w:t>The current porton of long-term debt assumed by AbbVie was repaid concurrent with the acquisiton at the fair value of $99 million. See Note 8 for additonal informaton.</w:t>
      </w:r>
    </w:p>
    <w:p>
      <w:pPr>
        <w:spacing w:after="0" w:line="145" w:lineRule="exact"/>
        <w:rPr>
          <w:sz w:val="20"/>
          <w:szCs w:val="20"/>
          <w:color w:val="auto"/>
        </w:rPr>
      </w:pPr>
    </w:p>
    <w:p>
      <w:pPr>
        <w:ind w:right="260"/>
        <w:spacing w:after="0" w:line="238" w:lineRule="auto"/>
        <w:rPr>
          <w:sz w:val="20"/>
          <w:szCs w:val="20"/>
          <w:color w:val="auto"/>
        </w:rPr>
      </w:pPr>
      <w:r>
        <w:rPr>
          <w:rFonts w:ascii="Calibri" w:cs="Calibri" w:eastAsia="Calibri" w:hAnsi="Calibri"/>
          <w:sz w:val="17"/>
          <w:szCs w:val="17"/>
          <w:color w:val="auto"/>
        </w:rPr>
        <w:t>Goodwill was calculated as the excess of the consideraton transferred over the fair value of net assets recognized and represents the future economic benefts arising from other assets acquired that could not be individually identfed and separately recognized. Specifcally, the goodwill recognized from the acquisiton of ImmunoGen represents expected synergies including, the ability to: (i) expand AbbVie’s product portolio as well as the potental to increase revenue from future growth platorms, (ii) accelerate AbbVie’s clinical and commercial presence in the solid tumor space within oncology, (iii) leverage the respectve strengths of each company, and (iv) enhance AbbVie’s existng ADC development eforts. The goodwill is not deductble for tax purposes.</w:t>
      </w:r>
    </w:p>
    <w:p>
      <w:pPr>
        <w:spacing w:after="0" w:line="131"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Following the acquisiton date, the operatng results of ImmunoGen have been included in the condensed consolidated fnancial statements. For the period from the acquisiton date through September 30, 2024, net revenues atributable to ImmunoGen were $396 million and operatng losses atributable to ImmunoGen were $582 million, inclusive of $349 million of cash-setled, post-closing expense for ImmunoGen employee incentve awards, $158 million of inventory fair value step-up amortzaton and $113 million of intangible asset amortzaton. AbbVie also issued 0.3 million RSUs to holders of ImmunoGen equity awards based on a conversion factor described in the transacton agreement. Stock compensaton expense related to RSUs issued at the acquisiton date was not signifcant.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11</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3" w:name="page14"/>
    <w:bookmarkEnd w:id="13"/>
    <w:p>
      <w:pPr>
        <w:ind w:right="660"/>
        <w:spacing w:after="0" w:line="237" w:lineRule="auto"/>
        <w:rPr>
          <w:sz w:val="20"/>
          <w:szCs w:val="20"/>
          <w:color w:val="auto"/>
        </w:rPr>
      </w:pPr>
      <w:r>
        <w:rPr>
          <w:rFonts w:ascii="Calibri" w:cs="Calibri" w:eastAsia="Calibri" w:hAnsi="Calibri"/>
          <w:sz w:val="17"/>
          <w:szCs w:val="17"/>
          <w:color w:val="auto"/>
        </w:rPr>
        <w:t>Acquisiton-related expenses, which were comprised primarily of regulatory, fnancial advisory and legal fees, totaled $59 million for the nine months ended September 30, 2024 and were included in SG&amp;A expense in the condensed consolidated statements of earnings.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Pro Forma Financial Informaton</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presents the unaudited pro forma combined results of AbbVie, ImmunoGen and Cerevel Therapeutcs for the three and nine months ended</w:t>
      </w:r>
    </w:p>
    <w:p>
      <w:pPr>
        <w:spacing w:after="0" w:line="238" w:lineRule="auto"/>
        <w:rPr>
          <w:sz w:val="20"/>
          <w:szCs w:val="20"/>
          <w:color w:val="auto"/>
        </w:rPr>
      </w:pPr>
      <w:r>
        <w:rPr>
          <w:rFonts w:ascii="Calibri" w:cs="Calibri" w:eastAsia="Calibri" w:hAnsi="Calibri"/>
          <w:sz w:val="17"/>
          <w:szCs w:val="17"/>
          <w:color w:val="auto"/>
        </w:rPr>
        <w:t>September 30, 2024 and 2023 as if the acquisitons of ImmunoGen and Cerevel Therapeutcs had occurred on January 1,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7"/>
              </w:rPr>
              <w:t>Three months ended</w:t>
            </w:r>
          </w:p>
        </w:tc>
        <w:tc>
          <w:tcPr>
            <w:tcW w:w="38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9"/>
              </w:rPr>
              <w:t>Nine months ended</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center"/>
              <w:ind w:left="424"/>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center"/>
              <w:ind w:left="444"/>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0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884"/>
              <w:spacing w:after="0" w:line="156" w:lineRule="exact"/>
              <w:rPr>
                <w:sz w:val="20"/>
                <w:szCs w:val="20"/>
                <w:color w:val="auto"/>
              </w:rPr>
            </w:pPr>
            <w:r>
              <w:rPr>
                <w:rFonts w:ascii="Calibri" w:cs="Calibri" w:eastAsia="Calibri" w:hAnsi="Calibri"/>
                <w:sz w:val="14"/>
                <w:szCs w:val="14"/>
                <w:b w:val="1"/>
                <w:bCs w:val="1"/>
                <w:color w:val="auto"/>
              </w:rPr>
              <w:t>2024</w:t>
            </w:r>
          </w:p>
        </w:tc>
        <w:tc>
          <w:tcPr>
            <w:tcW w:w="820" w:type="dxa"/>
            <w:vAlign w:val="bottom"/>
          </w:tcPr>
          <w:p>
            <w:pPr>
              <w:jc w:val="right"/>
              <w:ind w:right="440"/>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380" w:type="dxa"/>
            <w:vAlign w:val="bottom"/>
          </w:tcPr>
          <w:p>
            <w:pPr>
              <w:spacing w:after="0"/>
              <w:rPr>
                <w:sz w:val="13"/>
                <w:szCs w:val="13"/>
                <w:color w:val="auto"/>
              </w:rPr>
            </w:pPr>
          </w:p>
        </w:tc>
        <w:tc>
          <w:tcPr>
            <w:tcW w:w="1420" w:type="dxa"/>
            <w:vAlign w:val="bottom"/>
          </w:tcPr>
          <w:p>
            <w:pPr>
              <w:jc w:val="right"/>
              <w:ind w:right="884"/>
              <w:spacing w:after="0" w:line="156" w:lineRule="exact"/>
              <w:rPr>
                <w:sz w:val="20"/>
                <w:szCs w:val="20"/>
                <w:color w:val="auto"/>
              </w:rPr>
            </w:pPr>
            <w:r>
              <w:rPr>
                <w:rFonts w:ascii="Calibri" w:cs="Calibri" w:eastAsia="Calibri" w:hAnsi="Calibri"/>
                <w:sz w:val="14"/>
                <w:szCs w:val="14"/>
                <w:b w:val="1"/>
                <w:bCs w:val="1"/>
                <w:color w:val="auto"/>
              </w:rPr>
              <w:t>2024</w:t>
            </w:r>
          </w:p>
        </w:tc>
        <w:tc>
          <w:tcPr>
            <w:tcW w:w="820" w:type="dxa"/>
            <w:vAlign w:val="bottom"/>
          </w:tcPr>
          <w:p>
            <w:pPr>
              <w:jc w:val="right"/>
              <w:ind w:right="420"/>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6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Net revenues</w:t>
            </w:r>
          </w:p>
        </w:tc>
        <w:tc>
          <w:tcPr>
            <w:tcW w:w="300" w:type="dxa"/>
            <w:vAlign w:val="bottom"/>
            <w:shd w:val="clear" w:color="auto" w:fill="CCEEFF"/>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1420" w:type="dxa"/>
            <w:vAlign w:val="bottom"/>
            <w:shd w:val="clear" w:color="auto" w:fill="CCEEFF"/>
          </w:tcPr>
          <w:p>
            <w:pPr>
              <w:jc w:val="right"/>
              <w:ind w:right="284"/>
              <w:spacing w:after="0" w:line="205" w:lineRule="exact"/>
              <w:rPr>
                <w:sz w:val="20"/>
                <w:szCs w:val="20"/>
                <w:color w:val="auto"/>
              </w:rPr>
            </w:pPr>
            <w:r>
              <w:rPr>
                <w:rFonts w:ascii="Calibri" w:cs="Calibri" w:eastAsia="Calibri" w:hAnsi="Calibri"/>
                <w:sz w:val="17"/>
                <w:szCs w:val="17"/>
                <w:color w:val="auto"/>
              </w:rPr>
              <w:t>14,460 $</w:t>
            </w: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14,040</w:t>
            </w:r>
          </w:p>
        </w:tc>
        <w:tc>
          <w:tcPr>
            <w:tcW w:w="380" w:type="dxa"/>
            <w:vAlign w:val="bottom"/>
            <w:shd w:val="clear" w:color="auto" w:fill="CCEEFF"/>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420" w:type="dxa"/>
            <w:vAlign w:val="bottom"/>
            <w:shd w:val="clear" w:color="auto" w:fill="CCEEFF"/>
          </w:tcPr>
          <w:p>
            <w:pPr>
              <w:jc w:val="right"/>
              <w:ind w:right="264"/>
              <w:spacing w:after="0" w:line="205" w:lineRule="exact"/>
              <w:rPr>
                <w:sz w:val="20"/>
                <w:szCs w:val="20"/>
                <w:color w:val="auto"/>
              </w:rPr>
            </w:pPr>
            <w:r>
              <w:rPr>
                <w:rFonts w:ascii="Calibri" w:cs="Calibri" w:eastAsia="Calibri" w:hAnsi="Calibri"/>
                <w:sz w:val="17"/>
                <w:szCs w:val="17"/>
                <w:color w:val="auto"/>
              </w:rPr>
              <w:t>41,287 $</w:t>
            </w: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40,263</w:t>
            </w:r>
          </w:p>
        </w:tc>
        <w:tc>
          <w:tcPr>
            <w:tcW w:w="0" w:type="dxa"/>
            <w:vAlign w:val="bottom"/>
          </w:tcPr>
          <w:p>
            <w:pPr>
              <w:spacing w:after="0"/>
              <w:rPr>
                <w:sz w:val="1"/>
                <w:szCs w:val="1"/>
                <w:color w:val="auto"/>
              </w:rPr>
            </w:pPr>
          </w:p>
        </w:tc>
      </w:tr>
      <w:tr>
        <w:trPr>
          <w:trHeight w:val="212"/>
        </w:trPr>
        <w:tc>
          <w:tcPr>
            <w:tcW w:w="60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Net earnings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64"/>
              <w:spacing w:after="0" w:line="205" w:lineRule="exact"/>
              <w:rPr>
                <w:sz w:val="20"/>
                <w:szCs w:val="20"/>
                <w:color w:val="auto"/>
              </w:rPr>
            </w:pPr>
            <w:r>
              <w:rPr>
                <w:rFonts w:ascii="Calibri" w:cs="Calibri" w:eastAsia="Calibri" w:hAnsi="Calibri"/>
                <w:sz w:val="17"/>
                <w:szCs w:val="17"/>
                <w:color w:val="auto"/>
              </w:rPr>
              <w:t>1,714</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1,400</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44"/>
              <w:spacing w:after="0" w:line="205" w:lineRule="exact"/>
              <w:rPr>
                <w:sz w:val="20"/>
                <w:szCs w:val="20"/>
                <w:color w:val="auto"/>
              </w:rPr>
            </w:pPr>
            <w:r>
              <w:rPr>
                <w:rFonts w:ascii="Calibri" w:cs="Calibri" w:eastAsia="Calibri" w:hAnsi="Calibri"/>
                <w:sz w:val="17"/>
                <w:szCs w:val="17"/>
                <w:color w:val="auto"/>
              </w:rPr>
              <w:t>4,583</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2,309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The unaudited pro forma combined fnancial informaton was prepared using the acquisiton method of accountng and was based on the historical fnancial informaton of AbbVie, ImmunoGen and Cerevel Therapeutcs. In order to refect the occurrence of the acquisitons on January 1, 2023 as required, the unaudited pro forma fnancial informaton includes adjustments to refect incremental amortzaton expense to be incurred based on the current preliminary fair values of the identfable intangible assets acquired; the incremental cost of products sold related to the fair value adjustments associated with acquisiton date inventory; the additonal interest expense associated with the issuance of debt to fnance the acquisiton; and the reclassifcaton of acquisiton-related costs incurred during the three and nine months ended September 30, 2024 to the nine months ended September 30, 2023. The unaudited pro forma fnancial informaton is not necessarily indicatve of what the consolidated results of operatons would have been had the acquisitons been completed on January 1, 2023. In additon, the unaudited pro forma fnancial informaton is not a projecton of future results of operatons of the combined company nor does it refect the expected realizaton of any synergies or cost savings associated with the acquisitons.</w:t>
      </w:r>
    </w:p>
    <w:p>
      <w:pPr>
        <w:spacing w:after="0" w:line="14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Other Licensing &amp; Acquisitons Actvity</w:t>
      </w:r>
    </w:p>
    <w:p>
      <w:pPr>
        <w:spacing w:after="0" w:line="143" w:lineRule="exact"/>
        <w:rPr>
          <w:sz w:val="20"/>
          <w:szCs w:val="20"/>
          <w:color w:val="auto"/>
        </w:rPr>
      </w:pPr>
    </w:p>
    <w:p>
      <w:pPr>
        <w:ind w:right="20"/>
        <w:spacing w:after="0" w:line="237" w:lineRule="auto"/>
        <w:rPr>
          <w:sz w:val="20"/>
          <w:szCs w:val="20"/>
          <w:color w:val="auto"/>
        </w:rPr>
      </w:pPr>
      <w:r>
        <w:rPr>
          <w:rFonts w:ascii="Calibri" w:cs="Calibri" w:eastAsia="Calibri" w:hAnsi="Calibri"/>
          <w:sz w:val="17"/>
          <w:szCs w:val="17"/>
          <w:color w:val="auto"/>
        </w:rPr>
        <w:t>Cash outlows related to other acquisitons and investments totaled $1.2 billion for the nine months ended September 30, 2024 and $670 million for the nine months ended September 30, 2023.</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acquired IPR&amp;D and milestones expense: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880" w:type="dxa"/>
            <w:vAlign w:val="bottom"/>
            <w:gridSpan w:val="3"/>
          </w:tcPr>
          <w:p>
            <w:pPr>
              <w:jc w:val="right"/>
              <w:ind w:right="120"/>
              <w:spacing w:after="0"/>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438"/>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jc w:val="right"/>
              <w:ind w:right="280"/>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7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760" w:type="dxa"/>
            <w:vAlign w:val="bottom"/>
            <w:vMerge w:val="continue"/>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4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3"/>
              <w:spacing w:after="0" w:line="156" w:lineRule="exact"/>
              <w:rPr>
                <w:sz w:val="20"/>
                <w:szCs w:val="20"/>
                <w:color w:val="auto"/>
              </w:rPr>
            </w:pPr>
            <w:r>
              <w:rPr>
                <w:rFonts w:ascii="Calibri" w:cs="Calibri" w:eastAsia="Calibri" w:hAnsi="Calibri"/>
                <w:sz w:val="14"/>
                <w:szCs w:val="14"/>
                <w:b w:val="1"/>
                <w:bCs w:val="1"/>
                <w:color w:val="auto"/>
              </w:rPr>
              <w:t>2024</w:t>
            </w:r>
          </w:p>
        </w:tc>
        <w:tc>
          <w:tcPr>
            <w:tcW w:w="460" w:type="dxa"/>
            <w:vAlign w:val="bottom"/>
          </w:tcPr>
          <w:p>
            <w:pPr>
              <w:spacing w:after="0"/>
              <w:rPr>
                <w:sz w:val="13"/>
                <w:szCs w:val="13"/>
                <w:color w:val="auto"/>
              </w:rPr>
            </w:pPr>
          </w:p>
        </w:tc>
        <w:tc>
          <w:tcPr>
            <w:tcW w:w="660" w:type="dxa"/>
            <w:vAlign w:val="bottom"/>
          </w:tcPr>
          <w:p>
            <w:pPr>
              <w:jc w:val="right"/>
              <w:ind w:right="298"/>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6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Upfront charges</w:t>
            </w:r>
          </w:p>
        </w:tc>
        <w:tc>
          <w:tcPr>
            <w:tcW w:w="660" w:type="dxa"/>
            <w:vAlign w:val="bottom"/>
            <w:shd w:val="clear" w:color="auto" w:fill="CCEEFF"/>
          </w:tcPr>
          <w:p>
            <w:pPr>
              <w:jc w:val="right"/>
              <w:ind w:right="483"/>
              <w:spacing w:after="0" w:line="205" w:lineRule="exact"/>
              <w:rPr>
                <w:sz w:val="20"/>
                <w:szCs w:val="20"/>
                <w:color w:val="auto"/>
              </w:rPr>
            </w:pPr>
            <w:r>
              <w:rPr>
                <w:rFonts w:ascii="Calibri" w:cs="Calibri" w:eastAsia="Calibri" w:hAnsi="Calibri"/>
                <w:sz w:val="17"/>
                <w:szCs w:val="17"/>
                <w:color w:val="auto"/>
                <w:w w:val="92"/>
              </w:rPr>
              <w:t>$</w:t>
            </w:r>
          </w:p>
        </w:tc>
        <w:tc>
          <w:tcPr>
            <w:tcW w:w="42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82</w:t>
            </w:r>
          </w:p>
        </w:tc>
        <w:tc>
          <w:tcPr>
            <w:tcW w:w="800" w:type="dxa"/>
            <w:vAlign w:val="bottom"/>
            <w:shd w:val="clear" w:color="auto" w:fill="CCEEFF"/>
          </w:tcPr>
          <w:p>
            <w:pPr>
              <w:jc w:val="right"/>
              <w:ind w:right="540"/>
              <w:spacing w:after="0" w:line="205" w:lineRule="exact"/>
              <w:rPr>
                <w:sz w:val="20"/>
                <w:szCs w:val="20"/>
                <w:color w:val="auto"/>
              </w:rPr>
            </w:pPr>
            <w:r>
              <w:rPr>
                <w:rFonts w:ascii="Calibri" w:cs="Calibri" w:eastAsia="Calibri" w:hAnsi="Calibri"/>
                <w:sz w:val="17"/>
                <w:szCs w:val="17"/>
                <w:color w:val="auto"/>
              </w:rPr>
              <w:t>$</w:t>
            </w:r>
          </w:p>
        </w:tc>
        <w:tc>
          <w:tcPr>
            <w:tcW w:w="3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shd w:val="clear" w:color="auto" w:fill="CCEEFF"/>
          </w:tcPr>
          <w:p>
            <w:pPr>
              <w:jc w:val="right"/>
              <w:ind w:right="3"/>
              <w:spacing w:after="0" w:line="205" w:lineRule="exact"/>
              <w:rPr>
                <w:sz w:val="20"/>
                <w:szCs w:val="20"/>
                <w:color w:val="auto"/>
              </w:rPr>
            </w:pPr>
            <w:r>
              <w:rPr>
                <w:rFonts w:ascii="Calibri" w:cs="Calibri" w:eastAsia="Calibri" w:hAnsi="Calibri"/>
                <w:sz w:val="17"/>
                <w:szCs w:val="17"/>
                <w:color w:val="auto"/>
              </w:rPr>
              <w:t>1,088</w:t>
            </w:r>
          </w:p>
        </w:tc>
        <w:tc>
          <w:tcPr>
            <w:tcW w:w="460" w:type="dxa"/>
            <w:vAlign w:val="bottom"/>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6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396</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Development milestones</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line="205" w:lineRule="exact"/>
              <w:rPr>
                <w:sz w:val="20"/>
                <w:szCs w:val="20"/>
                <w:color w:val="auto"/>
              </w:rPr>
            </w:pPr>
            <w:r>
              <w:rPr>
                <w:rFonts w:ascii="Calibri" w:cs="Calibri" w:eastAsia="Calibri" w:hAnsi="Calibri"/>
                <w:sz w:val="17"/>
                <w:szCs w:val="17"/>
                <w:color w:val="auto"/>
              </w:rPr>
              <w:t>95</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100</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Acquired IPR&amp;D and milestones</w:t>
            </w:r>
          </w:p>
        </w:tc>
        <w:tc>
          <w:tcPr>
            <w:tcW w:w="660" w:type="dxa"/>
            <w:vAlign w:val="bottom"/>
            <w:tcBorders>
              <w:bottom w:val="single" w:sz="8" w:color="auto"/>
            </w:tcBorders>
            <w:shd w:val="clear" w:color="auto" w:fill="CCEEFF"/>
          </w:tcPr>
          <w:p>
            <w:pPr>
              <w:jc w:val="right"/>
              <w:ind w:right="483"/>
              <w:spacing w:after="0" w:line="205" w:lineRule="exact"/>
              <w:rPr>
                <w:sz w:val="20"/>
                <w:szCs w:val="20"/>
                <w:color w:val="auto"/>
              </w:rPr>
            </w:pPr>
            <w:r>
              <w:rPr>
                <w:rFonts w:ascii="Calibri" w:cs="Calibri" w:eastAsia="Calibri" w:hAnsi="Calibri"/>
                <w:sz w:val="17"/>
                <w:szCs w:val="17"/>
                <w:color w:val="auto"/>
                <w:w w:val="92"/>
              </w:rPr>
              <w:t>$</w:t>
            </w:r>
          </w:p>
        </w:tc>
        <w:tc>
          <w:tcPr>
            <w:tcW w:w="42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82</w:t>
            </w:r>
          </w:p>
        </w:tc>
        <w:tc>
          <w:tcPr>
            <w:tcW w:w="800" w:type="dxa"/>
            <w:vAlign w:val="bottom"/>
            <w:tcBorders>
              <w:bottom w:val="single" w:sz="8" w:color="auto"/>
            </w:tcBorders>
            <w:shd w:val="clear" w:color="auto" w:fill="CCEEFF"/>
          </w:tcPr>
          <w:p>
            <w:pPr>
              <w:jc w:val="right"/>
              <w:ind w:right="540"/>
              <w:spacing w:after="0" w:line="205" w:lineRule="exact"/>
              <w:rPr>
                <w:sz w:val="20"/>
                <w:szCs w:val="20"/>
                <w:color w:val="auto"/>
              </w:rPr>
            </w:pPr>
            <w:r>
              <w:rPr>
                <w:rFonts w:ascii="Calibri" w:cs="Calibri" w:eastAsia="Calibri" w:hAnsi="Calibri"/>
                <w:sz w:val="17"/>
                <w:szCs w:val="17"/>
                <w:color w:val="auto"/>
              </w:rPr>
              <w:t>$</w:t>
            </w:r>
          </w:p>
        </w:tc>
        <w:tc>
          <w:tcPr>
            <w:tcW w:w="3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66</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CCEEFF"/>
          </w:tcPr>
          <w:p>
            <w:pPr>
              <w:jc w:val="right"/>
              <w:ind w:right="3"/>
              <w:spacing w:after="0" w:line="205" w:lineRule="exact"/>
              <w:rPr>
                <w:sz w:val="20"/>
                <w:szCs w:val="20"/>
                <w:color w:val="auto"/>
              </w:rPr>
            </w:pPr>
            <w:r>
              <w:rPr>
                <w:rFonts w:ascii="Calibri" w:cs="Calibri" w:eastAsia="Calibri" w:hAnsi="Calibri"/>
                <w:sz w:val="17"/>
                <w:szCs w:val="17"/>
                <w:color w:val="auto"/>
              </w:rPr>
              <w:t>1,183</w:t>
            </w:r>
          </w:p>
        </w:tc>
        <w:tc>
          <w:tcPr>
            <w:tcW w:w="460" w:type="dxa"/>
            <w:vAlign w:val="bottom"/>
            <w:tcBorders>
              <w:bottom w:val="single" w:sz="8" w:color="auto"/>
            </w:tcBorders>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6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496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444867"/>
        </w:rPr>
        <w:t>Celsius Therapeutcs, Inc.</w:t>
      </w:r>
    </w:p>
    <w:p>
      <w:pPr>
        <w:spacing w:after="0" w:line="130" w:lineRule="exact"/>
        <w:rPr>
          <w:sz w:val="20"/>
          <w:szCs w:val="20"/>
          <w:color w:val="auto"/>
        </w:rPr>
      </w:pPr>
    </w:p>
    <w:p>
      <w:pPr>
        <w:spacing w:after="0" w:line="226" w:lineRule="auto"/>
        <w:rPr>
          <w:sz w:val="20"/>
          <w:szCs w:val="20"/>
          <w:color w:val="auto"/>
        </w:rPr>
      </w:pPr>
      <w:r>
        <w:rPr>
          <w:rFonts w:ascii="Calibri" w:cs="Calibri" w:eastAsia="Calibri" w:hAnsi="Calibri"/>
          <w:sz w:val="17"/>
          <w:szCs w:val="17"/>
          <w:color w:val="auto"/>
        </w:rPr>
        <w:t>In June 2024, AbbVie acquired Celsius Therapeutcs, Inc. (Celsius Therapeutcs) including its lead pipeline asset CEL383. Celsius Therapeutcs is a clinical-stage biotechnology company focused on the discovery and development of precision medicine in infammatory bowel disease. The transacton was accounted as an asset acquisiton as CEL383 represented substantally all of the fair value of the gross assets acquired. The upfront payment of $250 million was recorded in acquired IPR&amp;D and milestones expense in the condensed consolidated statement of earnings in the second quarter of 2024.</w:t>
      </w:r>
    </w:p>
    <w:p>
      <w:pPr>
        <w:spacing w:after="0" w:line="134" w:lineRule="exact"/>
        <w:rPr>
          <w:sz w:val="20"/>
          <w:szCs w:val="20"/>
          <w:color w:val="auto"/>
        </w:rPr>
      </w:pPr>
    </w:p>
    <w:p>
      <w:pPr>
        <w:ind w:right="280"/>
        <w:spacing w:after="0" w:line="237" w:lineRule="auto"/>
        <w:rPr>
          <w:sz w:val="20"/>
          <w:szCs w:val="20"/>
          <w:color w:val="auto"/>
        </w:rPr>
      </w:pPr>
      <w:r>
        <w:rPr>
          <w:rFonts w:ascii="Calibri" w:cs="Calibri" w:eastAsia="Calibri" w:hAnsi="Calibri"/>
          <w:sz w:val="17"/>
          <w:szCs w:val="17"/>
          <w:color w:val="auto"/>
        </w:rPr>
        <w:t>AbbVie entered into several other individually insignifcant collaboratons, licensing agreements or other asset acquisitons in which the related upfront payments were recorded in acquired IPR&amp;D and milestones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12</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4" w:name="page15"/>
    <w:bookmarkEnd w:id="14"/>
    <w:p>
      <w:pPr>
        <w:spacing w:after="0"/>
        <w:rPr>
          <w:sz w:val="20"/>
          <w:szCs w:val="20"/>
          <w:color w:val="auto"/>
        </w:rPr>
      </w:pPr>
      <w:r>
        <w:rPr>
          <w:rFonts w:ascii="Calibri" w:cs="Calibri" w:eastAsia="Calibri" w:hAnsi="Calibri"/>
          <w:sz w:val="21"/>
          <w:szCs w:val="21"/>
          <w:b w:val="1"/>
          <w:bCs w:val="1"/>
          <w:color w:val="444867"/>
        </w:rPr>
        <w:t>Note 5 Collaboratons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4" w:lineRule="exact"/>
        <w:rPr>
          <w:sz w:val="20"/>
          <w:szCs w:val="20"/>
          <w:color w:val="auto"/>
        </w:rPr>
      </w:pPr>
    </w:p>
    <w:p>
      <w:pPr>
        <w:ind w:right="480"/>
        <w:spacing w:after="0" w:line="237" w:lineRule="auto"/>
        <w:rPr>
          <w:sz w:val="20"/>
          <w:szCs w:val="20"/>
          <w:color w:val="auto"/>
        </w:rPr>
      </w:pPr>
      <w:r>
        <w:rPr>
          <w:rFonts w:ascii="Calibri" w:cs="Calibri" w:eastAsia="Calibri" w:hAnsi="Calibri"/>
          <w:sz w:val="17"/>
          <w:szCs w:val="17"/>
          <w:color w:val="auto"/>
        </w:rPr>
        <w:t>The company has ongoing transactons with other enttes through collaboraton agreements. The following represent the signifcant collaboraton agreements impactng the periods ended September 30, 2024 and 2023.</w:t>
      </w:r>
    </w:p>
    <w:p>
      <w:pPr>
        <w:spacing w:after="0" w:line="5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Collaboraton with Janssen Biotech, Inc.</w:t>
      </w:r>
    </w:p>
    <w:p>
      <w:pPr>
        <w:spacing w:after="0" w:line="143" w:lineRule="exact"/>
        <w:rPr>
          <w:sz w:val="20"/>
          <w:szCs w:val="20"/>
          <w:color w:val="auto"/>
        </w:rPr>
      </w:pPr>
    </w:p>
    <w:p>
      <w:pPr>
        <w:ind w:right="160"/>
        <w:spacing w:after="0" w:line="238" w:lineRule="auto"/>
        <w:rPr>
          <w:sz w:val="20"/>
          <w:szCs w:val="20"/>
          <w:color w:val="auto"/>
        </w:rPr>
      </w:pPr>
      <w:r>
        <w:rPr>
          <w:rFonts w:ascii="Calibri" w:cs="Calibri" w:eastAsia="Calibri" w:hAnsi="Calibri"/>
          <w:sz w:val="17"/>
          <w:szCs w:val="17"/>
          <w:color w:val="auto"/>
        </w:rPr>
        <w:t>In December 2011, Pharmacyclics, a wholly-owned subsidiary of AbbVie, entered into a worldwide collaboraton and license agreement with Janssen Biotech, Inc. and its afliates (Janssen), one of the Janssen Pharmaceutcal companies of Johnson &amp; Johnson, for the joint development and commercializaton of Imbruvica, a novel, orally actve, selectve covalent inhibitor of Bruton’s tyrosine kinase and certain compounds structurally related to Imbruvica, for oncology and other indicatons, excluding all immune and infammatory mediated diseases or conditons and all psychiatric or psychological diseases or conditons, in the United States and outside the United States.</w:t>
      </w:r>
    </w:p>
    <w:p>
      <w:pPr>
        <w:spacing w:after="0" w:line="131" w:lineRule="exact"/>
        <w:rPr>
          <w:sz w:val="20"/>
          <w:szCs w:val="20"/>
          <w:color w:val="auto"/>
        </w:rPr>
      </w:pPr>
    </w:p>
    <w:p>
      <w:pPr>
        <w:ind w:right="100"/>
        <w:spacing w:after="0" w:line="238" w:lineRule="auto"/>
        <w:rPr>
          <w:sz w:val="20"/>
          <w:szCs w:val="20"/>
          <w:color w:val="auto"/>
        </w:rPr>
      </w:pPr>
      <w:r>
        <w:rPr>
          <w:rFonts w:ascii="Calibri" w:cs="Calibri" w:eastAsia="Calibri" w:hAnsi="Calibri"/>
          <w:sz w:val="17"/>
          <w:szCs w:val="17"/>
          <w:color w:val="auto"/>
        </w:rPr>
        <w:t>The collaboraton provides Janssen with an exclusive license to commercialize Imbruvica outside of the United States and co-exclusively with AbbVie in the United States. Both partes are responsible for the development, manufacturing and marketng of any products generated as a result of the collaboraton. The collaboraton has no set duraton or specifc expiraton date and provides for potental future development, regulatory and approval milestone payments of up to $200 million to AbbVie. The collaboraton also includes a cost sharing arrangement for associated collaboraton actvites. Except in certain cases, Janssen is responsible for approximately 60% of collaboraton development costs and AbbVie is responsible for the remaining 40% of collaboraton development costs.</w:t>
      </w:r>
    </w:p>
    <w:p>
      <w:pPr>
        <w:spacing w:after="0" w:line="144" w:lineRule="exact"/>
        <w:rPr>
          <w:sz w:val="20"/>
          <w:szCs w:val="20"/>
          <w:color w:val="auto"/>
        </w:rPr>
      </w:pPr>
    </w:p>
    <w:p>
      <w:pPr>
        <w:ind w:right="40"/>
        <w:spacing w:after="0" w:line="238" w:lineRule="auto"/>
        <w:rPr>
          <w:sz w:val="20"/>
          <w:szCs w:val="20"/>
          <w:color w:val="auto"/>
        </w:rPr>
      </w:pPr>
      <w:r>
        <w:rPr>
          <w:rFonts w:ascii="Calibri" w:cs="Calibri" w:eastAsia="Calibri" w:hAnsi="Calibri"/>
          <w:sz w:val="17"/>
          <w:szCs w:val="17"/>
          <w:color w:val="auto"/>
        </w:rPr>
        <w:t>In the United States, both partes have co-exclusive rights to commercialize the products; however, AbbVie is the principal in the end-customer product sales. AbbVie and Janssen share pre-tax profts and losses equally from the commercializaton of products. Sales of Imbruvica are included in AbbVie's net revenues. Janssen's share of profts is included in AbbVie's cost of products sold. Other costs incurred under the collaboraton are reported in their respectve expense line items, net of Janssen's share.</w:t>
      </w:r>
    </w:p>
    <w:p>
      <w:pPr>
        <w:spacing w:after="0" w:line="131" w:lineRule="exact"/>
        <w:rPr>
          <w:sz w:val="20"/>
          <w:szCs w:val="20"/>
          <w:color w:val="auto"/>
        </w:rPr>
      </w:pPr>
    </w:p>
    <w:p>
      <w:pPr>
        <w:ind w:right="40"/>
        <w:spacing w:after="0" w:line="238" w:lineRule="auto"/>
        <w:rPr>
          <w:sz w:val="20"/>
          <w:szCs w:val="20"/>
          <w:color w:val="auto"/>
        </w:rPr>
      </w:pPr>
      <w:r>
        <w:rPr>
          <w:rFonts w:ascii="Calibri" w:cs="Calibri" w:eastAsia="Calibri" w:hAnsi="Calibri"/>
          <w:sz w:val="17"/>
          <w:szCs w:val="17"/>
          <w:color w:val="auto"/>
        </w:rPr>
        <w:t>Outside the United States, Janssen is responsible for and has exclusive rights to commercialize Imbruvica. AbbVie and Janssen share pre-tax profts and losses equally from the commercializaton of products. AbbVie's share of profts is included in AbbVie's net revenues. Other costs incurred under the collaboraton are reported in their respectve expense line items, net of Janssen's share.</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shows the proft and cost sharing relatonship between Janssen and AbbVie: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840" w:type="dxa"/>
            <w:vAlign w:val="bottom"/>
            <w:gridSpan w:val="3"/>
          </w:tcPr>
          <w:p>
            <w:pPr>
              <w:jc w:val="center"/>
              <w:ind w:left="266"/>
              <w:spacing w:after="0"/>
              <w:rPr>
                <w:sz w:val="20"/>
                <w:szCs w:val="20"/>
                <w:color w:val="auto"/>
              </w:rPr>
            </w:pPr>
            <w:r>
              <w:rPr>
                <w:rFonts w:ascii="Calibri" w:cs="Calibri" w:eastAsia="Calibri" w:hAnsi="Calibri"/>
                <w:sz w:val="14"/>
                <w:szCs w:val="14"/>
                <w:b w:val="1"/>
                <w:bCs w:val="1"/>
                <w:color w:val="auto"/>
                <w:w w:val="97"/>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left="266"/>
              <w:spacing w:after="0"/>
              <w:rPr>
                <w:sz w:val="20"/>
                <w:szCs w:val="20"/>
                <w:color w:val="auto"/>
              </w:rPr>
            </w:pPr>
            <w:r>
              <w:rPr>
                <w:rFonts w:ascii="Calibri" w:cs="Calibri" w:eastAsia="Calibri" w:hAnsi="Calibri"/>
                <w:sz w:val="14"/>
                <w:szCs w:val="14"/>
                <w:b w:val="1"/>
                <w:bCs w:val="1"/>
                <w:color w:val="auto"/>
                <w:w w:val="99"/>
              </w:rPr>
              <w:t>Nine months ended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jc w:val="center"/>
              <w:ind w:right="243"/>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jc w:val="center"/>
              <w:ind w:right="243"/>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5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42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4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United States - Janssen's share of profts (included in cost of products sold)</w:t>
            </w:r>
          </w:p>
        </w:tc>
        <w:tc>
          <w:tcPr>
            <w:tcW w:w="660" w:type="dxa"/>
            <w:vAlign w:val="bottom"/>
            <w:shd w:val="clear" w:color="auto" w:fill="CCEEFF"/>
          </w:tcPr>
          <w:p>
            <w:pPr>
              <w:jc w:val="right"/>
              <w:ind w:right="486"/>
              <w:spacing w:after="0" w:line="205" w:lineRule="exact"/>
              <w:rPr>
                <w:sz w:val="20"/>
                <w:szCs w:val="20"/>
                <w:color w:val="auto"/>
              </w:rPr>
            </w:pPr>
            <w:r>
              <w:rPr>
                <w:rFonts w:ascii="Calibri" w:cs="Calibri" w:eastAsia="Calibri" w:hAnsi="Calibri"/>
                <w:sz w:val="17"/>
                <w:szCs w:val="17"/>
                <w:color w:val="auto"/>
                <w:w w:val="92"/>
              </w:rPr>
              <w:t>$</w:t>
            </w:r>
          </w:p>
        </w:tc>
        <w:tc>
          <w:tcPr>
            <w:tcW w:w="42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282</w:t>
            </w:r>
          </w:p>
        </w:tc>
        <w:tc>
          <w:tcPr>
            <w:tcW w:w="760" w:type="dxa"/>
            <w:vAlign w:val="bottom"/>
            <w:shd w:val="clear" w:color="auto" w:fill="CCEEFF"/>
          </w:tcPr>
          <w:p>
            <w:pPr>
              <w:jc w:val="right"/>
              <w:ind w:right="523"/>
              <w:spacing w:after="0" w:line="205" w:lineRule="exact"/>
              <w:rPr>
                <w:sz w:val="20"/>
                <w:szCs w:val="20"/>
                <w:color w:val="auto"/>
              </w:rPr>
            </w:pPr>
            <w:r>
              <w:rPr>
                <w:rFonts w:ascii="Calibri" w:cs="Calibri" w:eastAsia="Calibri" w:hAnsi="Calibri"/>
                <w:sz w:val="17"/>
                <w:szCs w:val="17"/>
                <w:color w:val="auto"/>
              </w:rPr>
              <w:t>$</w:t>
            </w:r>
          </w:p>
        </w:tc>
        <w:tc>
          <w:tcPr>
            <w:tcW w:w="3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316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6"/>
              <w:spacing w:after="0" w:line="205" w:lineRule="exact"/>
              <w:rPr>
                <w:sz w:val="20"/>
                <w:szCs w:val="20"/>
                <w:color w:val="auto"/>
              </w:rPr>
            </w:pPr>
            <w:r>
              <w:rPr>
                <w:rFonts w:ascii="Calibri" w:cs="Calibri" w:eastAsia="Calibri" w:hAnsi="Calibri"/>
                <w:sz w:val="17"/>
                <w:szCs w:val="17"/>
                <w:color w:val="auto"/>
                <w:w w:val="92"/>
              </w:rPr>
              <w:t>$</w:t>
            </w:r>
          </w:p>
        </w:tc>
        <w:tc>
          <w:tcPr>
            <w:tcW w:w="4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849</w:t>
            </w:r>
          </w:p>
        </w:tc>
        <w:tc>
          <w:tcPr>
            <w:tcW w:w="780" w:type="dxa"/>
            <w:vAlign w:val="bottom"/>
            <w:shd w:val="clear" w:color="auto" w:fill="CCEEFF"/>
          </w:tcPr>
          <w:p>
            <w:pPr>
              <w:jc w:val="right"/>
              <w:ind w:right="523"/>
              <w:spacing w:after="0" w:line="205" w:lineRule="exact"/>
              <w:rPr>
                <w:sz w:val="20"/>
                <w:szCs w:val="20"/>
                <w:color w:val="auto"/>
              </w:rPr>
            </w:pPr>
            <w:r>
              <w:rPr>
                <w:rFonts w:ascii="Calibri" w:cs="Calibri" w:eastAsia="Calibri" w:hAnsi="Calibri"/>
                <w:sz w:val="17"/>
                <w:szCs w:val="17"/>
                <w:color w:val="auto"/>
              </w:rPr>
              <w:t>$</w:t>
            </w:r>
          </w:p>
        </w:tc>
        <w:tc>
          <w:tcPr>
            <w:tcW w:w="3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925</w:t>
            </w:r>
          </w:p>
        </w:tc>
        <w:tc>
          <w:tcPr>
            <w:tcW w:w="0" w:type="dxa"/>
            <w:vAlign w:val="bottom"/>
          </w:tcPr>
          <w:p>
            <w:pPr>
              <w:spacing w:after="0"/>
              <w:rPr>
                <w:sz w:val="1"/>
                <w:szCs w:val="1"/>
                <w:color w:val="auto"/>
              </w:rPr>
            </w:pPr>
          </w:p>
        </w:tc>
      </w:tr>
      <w:tr>
        <w:trPr>
          <w:trHeight w:val="212"/>
        </w:trPr>
        <w:tc>
          <w:tcPr>
            <w:tcW w:w="6580" w:type="dxa"/>
            <w:vAlign w:val="bottom"/>
          </w:tcPr>
          <w:p>
            <w:pPr>
              <w:ind w:left="20"/>
              <w:spacing w:after="0" w:line="205" w:lineRule="exact"/>
              <w:rPr>
                <w:sz w:val="20"/>
                <w:szCs w:val="20"/>
                <w:color w:val="auto"/>
              </w:rPr>
            </w:pPr>
            <w:r>
              <w:rPr>
                <w:rFonts w:ascii="Calibri" w:cs="Calibri" w:eastAsia="Calibri" w:hAnsi="Calibri"/>
                <w:sz w:val="17"/>
                <w:szCs w:val="17"/>
                <w:color w:val="auto"/>
              </w:rPr>
              <w:t>Internatonal - AbbVie's share of profts (included in net revenues)</w:t>
            </w:r>
          </w:p>
        </w:tc>
        <w:tc>
          <w:tcPr>
            <w:tcW w:w="660" w:type="dxa"/>
            <w:vAlign w:val="bottom"/>
          </w:tcPr>
          <w:p>
            <w:pPr>
              <w:spacing w:after="0"/>
              <w:rPr>
                <w:sz w:val="18"/>
                <w:szCs w:val="18"/>
                <w:color w:val="auto"/>
              </w:rPr>
            </w:pPr>
          </w:p>
        </w:tc>
        <w:tc>
          <w:tcPr>
            <w:tcW w:w="42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210</w:t>
            </w:r>
          </w:p>
        </w:tc>
        <w:tc>
          <w:tcPr>
            <w:tcW w:w="760" w:type="dxa"/>
            <w:vAlign w:val="bottom"/>
          </w:tcPr>
          <w:p>
            <w:pPr>
              <w:spacing w:after="0"/>
              <w:rPr>
                <w:sz w:val="18"/>
                <w:szCs w:val="18"/>
                <w:color w:val="auto"/>
              </w:rPr>
            </w:pPr>
          </w:p>
        </w:tc>
        <w:tc>
          <w:tcPr>
            <w:tcW w:w="340" w:type="dxa"/>
            <w:vAlign w:val="bottom"/>
          </w:tcPr>
          <w:p>
            <w:pPr>
              <w:jc w:val="right"/>
              <w:spacing w:after="0" w:line="205" w:lineRule="exact"/>
              <w:rPr>
                <w:sz w:val="20"/>
                <w:szCs w:val="20"/>
                <w:color w:val="auto"/>
              </w:rPr>
            </w:pPr>
            <w:r>
              <w:rPr>
                <w:rFonts w:ascii="Calibri" w:cs="Calibri" w:eastAsia="Calibri" w:hAnsi="Calibri"/>
                <w:sz w:val="17"/>
                <w:szCs w:val="17"/>
                <w:color w:val="auto"/>
              </w:rPr>
              <w:t>230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line="205" w:lineRule="exact"/>
              <w:rPr>
                <w:sz w:val="20"/>
                <w:szCs w:val="20"/>
                <w:color w:val="auto"/>
              </w:rPr>
            </w:pPr>
            <w:r>
              <w:rPr>
                <w:rFonts w:ascii="Calibri" w:cs="Calibri" w:eastAsia="Calibri" w:hAnsi="Calibri"/>
                <w:sz w:val="17"/>
                <w:szCs w:val="17"/>
                <w:color w:val="auto"/>
              </w:rPr>
              <w:t>676</w:t>
            </w:r>
          </w:p>
        </w:tc>
        <w:tc>
          <w:tcPr>
            <w:tcW w:w="780" w:type="dxa"/>
            <w:vAlign w:val="bottom"/>
          </w:tcPr>
          <w:p>
            <w:pPr>
              <w:spacing w:after="0"/>
              <w:rPr>
                <w:sz w:val="18"/>
                <w:szCs w:val="18"/>
                <w:color w:val="auto"/>
              </w:rPr>
            </w:pPr>
          </w:p>
        </w:tc>
        <w:tc>
          <w:tcPr>
            <w:tcW w:w="340" w:type="dxa"/>
            <w:vAlign w:val="bottom"/>
          </w:tcPr>
          <w:p>
            <w:pPr>
              <w:jc w:val="right"/>
              <w:spacing w:after="0" w:line="205" w:lineRule="exact"/>
              <w:rPr>
                <w:sz w:val="20"/>
                <w:szCs w:val="20"/>
                <w:color w:val="auto"/>
              </w:rPr>
            </w:pPr>
            <w:r>
              <w:rPr>
                <w:rFonts w:ascii="Calibri" w:cs="Calibri" w:eastAsia="Calibri" w:hAnsi="Calibri"/>
                <w:sz w:val="17"/>
                <w:szCs w:val="17"/>
                <w:color w:val="auto"/>
              </w:rPr>
              <w:t>711</w:t>
            </w:r>
          </w:p>
        </w:tc>
        <w:tc>
          <w:tcPr>
            <w:tcW w:w="0" w:type="dxa"/>
            <w:vAlign w:val="bottom"/>
          </w:tcPr>
          <w:p>
            <w:pPr>
              <w:spacing w:after="0"/>
              <w:rPr>
                <w:sz w:val="1"/>
                <w:szCs w:val="1"/>
                <w:color w:val="auto"/>
              </w:rPr>
            </w:pPr>
          </w:p>
        </w:tc>
      </w:tr>
      <w:tr>
        <w:trPr>
          <w:trHeight w:val="219"/>
        </w:trPr>
        <w:tc>
          <w:tcPr>
            <w:tcW w:w="65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Global - AbbVie's share of other costs (included in respectve line items)</w:t>
            </w:r>
          </w:p>
        </w:tc>
        <w:tc>
          <w:tcPr>
            <w:tcW w:w="6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38</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59</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120</w:t>
            </w: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spacing w:after="0" w:line="265" w:lineRule="auto"/>
        <w:rPr>
          <w:sz w:val="20"/>
          <w:szCs w:val="20"/>
          <w:color w:val="auto"/>
        </w:rPr>
      </w:pPr>
      <w:r>
        <w:rPr>
          <w:rFonts w:ascii="Calibri" w:cs="Calibri" w:eastAsia="Calibri" w:hAnsi="Calibri"/>
          <w:sz w:val="16"/>
          <w:szCs w:val="16"/>
          <w:color w:val="auto"/>
        </w:rPr>
        <w:t>AbbVie’s receivable from Janssen, included in accounts receivable, net, was $233 million at September 30, 2024 and $236 million at December 31, 2023. AbbVie’s payable to Janssen, included in accounts payable and accrued liabilites, was $282 million at September 30, 2024 and $307 million at December 31, 2023.</w:t>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Collaboraton with Genentech, Inc.</w:t>
      </w:r>
    </w:p>
    <w:p>
      <w:pPr>
        <w:spacing w:after="0" w:line="143" w:lineRule="exact"/>
        <w:rPr>
          <w:sz w:val="20"/>
          <w:szCs w:val="20"/>
          <w:color w:val="auto"/>
        </w:rPr>
      </w:pPr>
    </w:p>
    <w:p>
      <w:pPr>
        <w:ind w:right="200"/>
        <w:spacing w:after="0" w:line="238" w:lineRule="auto"/>
        <w:rPr>
          <w:sz w:val="20"/>
          <w:szCs w:val="20"/>
          <w:color w:val="auto"/>
        </w:rPr>
      </w:pPr>
      <w:r>
        <w:rPr>
          <w:rFonts w:ascii="Calibri" w:cs="Calibri" w:eastAsia="Calibri" w:hAnsi="Calibri"/>
          <w:sz w:val="17"/>
          <w:szCs w:val="17"/>
          <w:color w:val="auto"/>
        </w:rPr>
        <w:t>AbbVie and Genentech, Inc. (Genentech), a member of the Roche Group, are partes to a collaboraton and license agreement executed in 2007 to jointly research, develop and commercialize human therapeutc products containing BCL-2 inhibitors and certain other compound inhibitors which includes Venclexta, a BCL-2 inhibitor used to treat certain hematological malignancies. AbbVie shares equally with Genentech all pre-tax profts and losses from the development and commercializaton of Venclexta in the United States. AbbVie pays royaltes on Venclexta net revenues outside the United States.</w:t>
      </w:r>
    </w:p>
    <w:p>
      <w:pPr>
        <w:spacing w:after="0" w:line="131"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AbbVie manufactures and distributes Venclexta globally and is the principal in the end-customer product sales. Sales of Venclexta are included in AbbVie’s net revenues. Genentech’s share of United States profts is included in AbbVie’s cost of products sold. AbbVie records sales and marketng costs associated with the United States collaboraton as part of SG&amp;A expenses and global development costs as part of research and development (R&amp;D) expenses, net of Genentech’s share. Royaltes paid for Venclexta revenues outside the United States are also included in AbbVie’s 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13</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5" w:name="page16"/>
    <w:bookmarkEnd w:id="15"/>
    <w:p>
      <w:pPr>
        <w:spacing w:after="0"/>
        <w:rPr>
          <w:sz w:val="20"/>
          <w:szCs w:val="20"/>
          <w:color w:val="auto"/>
        </w:rPr>
      </w:pPr>
      <w:r>
        <w:rPr>
          <w:rFonts w:ascii="Calibri" w:cs="Calibri" w:eastAsia="Calibri" w:hAnsi="Calibri"/>
          <w:sz w:val="17"/>
          <w:szCs w:val="17"/>
          <w:color w:val="auto"/>
        </w:rPr>
        <w:t>The following table shows the proft and cost sharing relatonship between Genentech and AbbVie:</w:t>
      </w:r>
    </w:p>
    <w:tbl>
      <w:tblPr>
        <w:tblLayout w:type="fixed"/>
        <w:tblInd w:w="0" w:type="dxa"/>
        <w:tblCellMar>
          <w:top w:w="0" w:type="dxa"/>
          <w:left w:w="0" w:type="dxa"/>
          <w:bottom w:w="0" w:type="dxa"/>
          <w:right w:w="0" w:type="dxa"/>
        </w:tblCellMar>
      </w:tblPr>
      <w:tr>
        <w:trPr>
          <w:trHeight w:val="164"/>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center"/>
              <w:ind w:right="360"/>
              <w:spacing w:after="0" w:line="164" w:lineRule="exact"/>
              <w:rPr>
                <w:sz w:val="20"/>
                <w:szCs w:val="20"/>
                <w:color w:val="auto"/>
              </w:rPr>
            </w:pPr>
            <w:r>
              <w:rPr>
                <w:rFonts w:ascii="Calibri" w:cs="Calibri" w:eastAsia="Calibri" w:hAnsi="Calibri"/>
                <w:sz w:val="14"/>
                <w:szCs w:val="14"/>
                <w:b w:val="1"/>
                <w:bCs w:val="1"/>
                <w:color w:val="auto"/>
                <w:w w:val="97"/>
              </w:rPr>
              <w:t>Three months ended</w:t>
            </w:r>
          </w:p>
        </w:tc>
        <w:tc>
          <w:tcPr>
            <w:tcW w:w="240" w:type="dxa"/>
            <w:vAlign w:val="bottom"/>
          </w:tcPr>
          <w:p>
            <w:pPr>
              <w:spacing w:after="0"/>
              <w:rPr>
                <w:sz w:val="14"/>
                <w:szCs w:val="14"/>
                <w:color w:val="auto"/>
              </w:rPr>
            </w:pPr>
          </w:p>
        </w:tc>
        <w:tc>
          <w:tcPr>
            <w:tcW w:w="1940" w:type="dxa"/>
            <w:vAlign w:val="bottom"/>
            <w:gridSpan w:val="3"/>
          </w:tcPr>
          <w:p>
            <w:pPr>
              <w:jc w:val="center"/>
              <w:ind w:right="158"/>
              <w:spacing w:after="0" w:line="164" w:lineRule="exact"/>
              <w:rPr>
                <w:sz w:val="20"/>
                <w:szCs w:val="20"/>
                <w:color w:val="auto"/>
              </w:rPr>
            </w:pPr>
            <w:r>
              <w:rPr>
                <w:rFonts w:ascii="Calibri" w:cs="Calibri" w:eastAsia="Calibri" w:hAnsi="Calibri"/>
                <w:sz w:val="14"/>
                <w:szCs w:val="14"/>
                <w:b w:val="1"/>
                <w:bCs w:val="1"/>
                <w:color w:val="auto"/>
                <w:w w:val="99"/>
              </w:rPr>
              <w:t>Nine months ended</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left="363"/>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left="343"/>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7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3"/>
              <w:spacing w:after="0" w:line="156" w:lineRule="exact"/>
              <w:rPr>
                <w:sz w:val="20"/>
                <w:szCs w:val="20"/>
                <w:color w:val="auto"/>
              </w:rPr>
            </w:pPr>
            <w:r>
              <w:rPr>
                <w:rFonts w:ascii="Calibri" w:cs="Calibri" w:eastAsia="Calibri" w:hAnsi="Calibri"/>
                <w:sz w:val="14"/>
                <w:szCs w:val="14"/>
                <w:b w:val="1"/>
                <w:bCs w:val="1"/>
                <w:color w:val="auto"/>
              </w:rPr>
              <w:t>2024</w:t>
            </w:r>
          </w:p>
        </w:tc>
        <w:tc>
          <w:tcPr>
            <w:tcW w:w="440" w:type="dxa"/>
            <w:vAlign w:val="bottom"/>
          </w:tcPr>
          <w:p>
            <w:pPr>
              <w:spacing w:after="0"/>
              <w:rPr>
                <w:sz w:val="13"/>
                <w:szCs w:val="13"/>
                <w:color w:val="auto"/>
              </w:rPr>
            </w:pPr>
          </w:p>
        </w:tc>
        <w:tc>
          <w:tcPr>
            <w:tcW w:w="680" w:type="dxa"/>
            <w:vAlign w:val="bottom"/>
          </w:tcPr>
          <w:p>
            <w:pPr>
              <w:jc w:val="right"/>
              <w:ind w:right="318"/>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3"/>
              <w:spacing w:after="0" w:line="156" w:lineRule="exact"/>
              <w:rPr>
                <w:sz w:val="20"/>
                <w:szCs w:val="20"/>
                <w:color w:val="auto"/>
              </w:rPr>
            </w:pPr>
            <w:r>
              <w:rPr>
                <w:rFonts w:ascii="Calibri" w:cs="Calibri" w:eastAsia="Calibri" w:hAnsi="Calibri"/>
                <w:sz w:val="14"/>
                <w:szCs w:val="14"/>
                <w:b w:val="1"/>
                <w:bCs w:val="1"/>
                <w:color w:val="auto"/>
              </w:rPr>
              <w:t>2024</w:t>
            </w:r>
          </w:p>
        </w:tc>
        <w:tc>
          <w:tcPr>
            <w:tcW w:w="460" w:type="dxa"/>
            <w:vAlign w:val="bottom"/>
          </w:tcPr>
          <w:p>
            <w:pPr>
              <w:spacing w:after="0"/>
              <w:rPr>
                <w:sz w:val="13"/>
                <w:szCs w:val="13"/>
                <w:color w:val="auto"/>
              </w:rPr>
            </w:pPr>
          </w:p>
        </w:tc>
        <w:tc>
          <w:tcPr>
            <w:tcW w:w="660" w:type="dxa"/>
            <w:vAlign w:val="bottom"/>
          </w:tcPr>
          <w:p>
            <w:pPr>
              <w:jc w:val="right"/>
              <w:ind w:right="298"/>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6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Genentech's share of profts, including royaltes (included in cost of products sold)</w:t>
            </w:r>
          </w:p>
        </w:tc>
        <w:tc>
          <w:tcPr>
            <w:tcW w:w="24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840" w:type="dxa"/>
            <w:vAlign w:val="bottom"/>
            <w:shd w:val="clear" w:color="auto" w:fill="CCEEFF"/>
          </w:tcPr>
          <w:p>
            <w:pPr>
              <w:jc w:val="right"/>
              <w:ind w:right="23"/>
              <w:spacing w:after="0" w:line="205" w:lineRule="exact"/>
              <w:rPr>
                <w:sz w:val="20"/>
                <w:szCs w:val="20"/>
                <w:color w:val="auto"/>
              </w:rPr>
            </w:pPr>
            <w:r>
              <w:rPr>
                <w:rFonts w:ascii="Calibri" w:cs="Calibri" w:eastAsia="Calibri" w:hAnsi="Calibri"/>
                <w:sz w:val="17"/>
                <w:szCs w:val="17"/>
                <w:color w:val="auto"/>
              </w:rPr>
              <w:t>263</w:t>
            </w:r>
          </w:p>
        </w:tc>
        <w:tc>
          <w:tcPr>
            <w:tcW w:w="440" w:type="dxa"/>
            <w:vAlign w:val="bottom"/>
            <w:shd w:val="clear" w:color="auto" w:fill="CCEEFF"/>
          </w:tcPr>
          <w:p>
            <w:pPr>
              <w:jc w:val="right"/>
              <w:ind w:right="174"/>
              <w:spacing w:after="0" w:line="205" w:lineRule="exact"/>
              <w:rPr>
                <w:sz w:val="20"/>
                <w:szCs w:val="20"/>
                <w:color w:val="auto"/>
              </w:rPr>
            </w:pPr>
            <w:r>
              <w:rPr>
                <w:rFonts w:ascii="Calibri" w:cs="Calibri" w:eastAsia="Calibri" w:hAnsi="Calibri"/>
                <w:sz w:val="17"/>
                <w:szCs w:val="17"/>
                <w:color w:val="auto"/>
              </w:rPr>
              <w:t>$</w:t>
            </w:r>
          </w:p>
        </w:tc>
        <w:tc>
          <w:tcPr>
            <w:tcW w:w="6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shd w:val="clear" w:color="auto" w:fill="CCEEFF"/>
          </w:tcPr>
          <w:p>
            <w:pPr>
              <w:jc w:val="right"/>
              <w:ind w:right="3"/>
              <w:spacing w:after="0" w:line="205" w:lineRule="exact"/>
              <w:rPr>
                <w:sz w:val="20"/>
                <w:szCs w:val="20"/>
                <w:color w:val="auto"/>
              </w:rPr>
            </w:pPr>
            <w:r>
              <w:rPr>
                <w:rFonts w:ascii="Calibri" w:cs="Calibri" w:eastAsia="Calibri" w:hAnsi="Calibri"/>
                <w:sz w:val="17"/>
                <w:szCs w:val="17"/>
                <w:color w:val="auto"/>
              </w:rPr>
              <w:t>733</w:t>
            </w:r>
          </w:p>
        </w:tc>
        <w:tc>
          <w:tcPr>
            <w:tcW w:w="460" w:type="dxa"/>
            <w:vAlign w:val="bottom"/>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6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641</w:t>
            </w:r>
          </w:p>
        </w:tc>
        <w:tc>
          <w:tcPr>
            <w:tcW w:w="0" w:type="dxa"/>
            <w:vAlign w:val="bottom"/>
          </w:tcPr>
          <w:p>
            <w:pPr>
              <w:spacing w:after="0"/>
              <w:rPr>
                <w:sz w:val="1"/>
                <w:szCs w:val="1"/>
                <w:color w:val="auto"/>
              </w:rPr>
            </w:pPr>
          </w:p>
        </w:tc>
      </w:tr>
      <w:tr>
        <w:trPr>
          <w:trHeight w:val="212"/>
        </w:trPr>
        <w:tc>
          <w:tcPr>
            <w:tcW w:w="6760" w:type="dxa"/>
            <w:vAlign w:val="bottom"/>
          </w:tcPr>
          <w:p>
            <w:pPr>
              <w:ind w:left="20"/>
              <w:spacing w:after="0" w:line="205" w:lineRule="exact"/>
              <w:rPr>
                <w:sz w:val="20"/>
                <w:szCs w:val="20"/>
                <w:color w:val="auto"/>
              </w:rPr>
            </w:pPr>
            <w:r>
              <w:rPr>
                <w:rFonts w:ascii="Calibri" w:cs="Calibri" w:eastAsia="Calibri" w:hAnsi="Calibri"/>
                <w:sz w:val="17"/>
                <w:szCs w:val="17"/>
                <w:color w:val="auto"/>
              </w:rPr>
              <w:t>AbbVie's share of sales and marketng costs from U.S. collaboraton (included in SG&amp;A)</w:t>
            </w:r>
          </w:p>
        </w:tc>
        <w:tc>
          <w:tcPr>
            <w:tcW w:w="240" w:type="dxa"/>
            <w:vAlign w:val="bottom"/>
          </w:tcPr>
          <w:p>
            <w:pPr>
              <w:spacing w:after="0"/>
              <w:rPr>
                <w:sz w:val="18"/>
                <w:szCs w:val="18"/>
                <w:color w:val="auto"/>
              </w:rPr>
            </w:pPr>
          </w:p>
        </w:tc>
        <w:tc>
          <w:tcPr>
            <w:tcW w:w="840" w:type="dxa"/>
            <w:vAlign w:val="bottom"/>
          </w:tcPr>
          <w:p>
            <w:pPr>
              <w:jc w:val="right"/>
              <w:ind w:right="23"/>
              <w:spacing w:after="0" w:line="205" w:lineRule="exact"/>
              <w:rPr>
                <w:sz w:val="20"/>
                <w:szCs w:val="20"/>
                <w:color w:val="auto"/>
              </w:rPr>
            </w:pPr>
            <w:r>
              <w:rPr>
                <w:rFonts w:ascii="Calibri" w:cs="Calibri" w:eastAsia="Calibri" w:hAnsi="Calibri"/>
                <w:sz w:val="17"/>
                <w:szCs w:val="17"/>
                <w:color w:val="auto"/>
              </w:rPr>
              <w:t>10</w:t>
            </w:r>
          </w:p>
        </w:tc>
        <w:tc>
          <w:tcPr>
            <w:tcW w:w="440" w:type="dxa"/>
            <w:vAlign w:val="bottom"/>
          </w:tcPr>
          <w:p>
            <w:pPr>
              <w:spacing w:after="0"/>
              <w:rPr>
                <w:sz w:val="18"/>
                <w:szCs w:val="18"/>
                <w:color w:val="auto"/>
              </w:rPr>
            </w:pPr>
          </w:p>
        </w:tc>
        <w:tc>
          <w:tcPr>
            <w:tcW w:w="680" w:type="dxa"/>
            <w:vAlign w:val="bottom"/>
          </w:tcPr>
          <w:p>
            <w:pPr>
              <w:jc w:val="right"/>
              <w:spacing w:after="0" w:line="205" w:lineRule="exact"/>
              <w:rPr>
                <w:sz w:val="20"/>
                <w:szCs w:val="20"/>
                <w:color w:val="auto"/>
              </w:rPr>
            </w:pPr>
            <w:r>
              <w:rPr>
                <w:rFonts w:ascii="Calibri" w:cs="Calibri" w:eastAsia="Calibri" w:hAnsi="Calibri"/>
                <w:sz w:val="17"/>
                <w:szCs w:val="17"/>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
              <w:spacing w:after="0" w:line="205" w:lineRule="exact"/>
              <w:rPr>
                <w:sz w:val="20"/>
                <w:szCs w:val="20"/>
                <w:color w:val="auto"/>
              </w:rPr>
            </w:pPr>
            <w:r>
              <w:rPr>
                <w:rFonts w:ascii="Calibri" w:cs="Calibri" w:eastAsia="Calibri" w:hAnsi="Calibri"/>
                <w:sz w:val="17"/>
                <w:szCs w:val="17"/>
                <w:color w:val="auto"/>
              </w:rPr>
              <w:t>25</w:t>
            </w:r>
          </w:p>
        </w:tc>
        <w:tc>
          <w:tcPr>
            <w:tcW w:w="460" w:type="dxa"/>
            <w:vAlign w:val="bottom"/>
          </w:tcPr>
          <w:p>
            <w:pPr>
              <w:spacing w:after="0"/>
              <w:rPr>
                <w:sz w:val="18"/>
                <w:szCs w:val="18"/>
                <w:color w:val="auto"/>
              </w:rPr>
            </w:pPr>
          </w:p>
        </w:tc>
        <w:tc>
          <w:tcPr>
            <w:tcW w:w="660" w:type="dxa"/>
            <w:vAlign w:val="bottom"/>
          </w:tcPr>
          <w:p>
            <w:pPr>
              <w:jc w:val="right"/>
              <w:spacing w:after="0" w:line="205" w:lineRule="exact"/>
              <w:rPr>
                <w:sz w:val="20"/>
                <w:szCs w:val="20"/>
                <w:color w:val="auto"/>
              </w:rPr>
            </w:pPr>
            <w:r>
              <w:rPr>
                <w:rFonts w:ascii="Calibri" w:cs="Calibri" w:eastAsia="Calibri" w:hAnsi="Calibri"/>
                <w:sz w:val="17"/>
                <w:szCs w:val="17"/>
                <w:color w:val="auto"/>
              </w:rPr>
              <w:t>32</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AbbVie's share of development costs (included in R&amp;D)</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Calibri" w:cs="Calibri" w:eastAsia="Calibri" w:hAnsi="Calibri"/>
                <w:sz w:val="17"/>
                <w:szCs w:val="17"/>
                <w:color w:val="auto"/>
              </w:rPr>
              <w:t>21</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Calibri" w:cs="Calibri" w:eastAsia="Calibri" w:hAnsi="Calibri"/>
                <w:sz w:val="17"/>
                <w:szCs w:val="17"/>
                <w:color w:val="auto"/>
              </w:rPr>
              <w:t>63</w:t>
            </w:r>
          </w:p>
        </w:tc>
        <w:tc>
          <w:tcPr>
            <w:tcW w:w="4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Note 6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Goodwill</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changes in the carrying amount of goodwill:</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Balance as of December 31, 2023</w:t>
            </w:r>
          </w:p>
        </w:tc>
        <w:tc>
          <w:tcPr>
            <w:tcW w:w="4000" w:type="dxa"/>
            <w:vAlign w:val="bottom"/>
            <w:tcBorders>
              <w:top w:val="single" w:sz="8" w:color="auto"/>
            </w:tcBorders>
            <w:shd w:val="clear" w:color="auto" w:fill="CCEEFF"/>
          </w:tcPr>
          <w:p>
            <w:pPr>
              <w:jc w:val="right"/>
              <w:ind w:right="274"/>
              <w:spacing w:after="0"/>
              <w:rPr>
                <w:sz w:val="20"/>
                <w:szCs w:val="20"/>
                <w:color w:val="auto"/>
              </w:rPr>
            </w:pPr>
            <w:r>
              <w:rPr>
                <w:rFonts w:ascii="Calibri" w:cs="Calibri" w:eastAsia="Calibri" w:hAnsi="Calibri"/>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32,293</w:t>
            </w:r>
          </w:p>
        </w:tc>
      </w:tr>
      <w:tr>
        <w:trPr>
          <w:trHeight w:val="219"/>
        </w:trPr>
        <w:tc>
          <w:tcPr>
            <w:tcW w:w="6360" w:type="dxa"/>
            <w:vAlign w:val="bottom"/>
          </w:tcPr>
          <w:p>
            <w:pPr>
              <w:ind w:left="20"/>
              <w:spacing w:after="0" w:line="219" w:lineRule="exact"/>
              <w:rPr>
                <w:sz w:val="20"/>
                <w:szCs w:val="20"/>
                <w:color w:val="auto"/>
              </w:rPr>
            </w:pPr>
            <w:r>
              <w:rPr>
                <w:rFonts w:ascii="Calibri" w:cs="Calibri" w:eastAsia="Calibri" w:hAnsi="Calibri"/>
                <w:sz w:val="17"/>
                <w:szCs w:val="17"/>
                <w:color w:val="auto"/>
              </w:rPr>
              <w:t>Additons</w:t>
            </w:r>
            <w:r>
              <w:rPr>
                <w:rFonts w:ascii="Calibri" w:cs="Calibri" w:eastAsia="Calibri" w:hAnsi="Calibri"/>
                <w:sz w:val="22"/>
                <w:szCs w:val="22"/>
                <w:color w:val="auto"/>
                <w:vertAlign w:val="superscript"/>
              </w:rPr>
              <w:t>(a)</w:t>
            </w:r>
          </w:p>
        </w:tc>
        <w:tc>
          <w:tcPr>
            <w:tcW w:w="4000" w:type="dxa"/>
            <w:vAlign w:val="bottom"/>
          </w:tcPr>
          <w:p>
            <w:pPr>
              <w:spacing w:after="0"/>
              <w:rPr>
                <w:sz w:val="19"/>
                <w:szCs w:val="19"/>
                <w:color w:val="auto"/>
              </w:rPr>
            </w:pPr>
          </w:p>
        </w:tc>
        <w:tc>
          <w:tcPr>
            <w:tcW w:w="880" w:type="dxa"/>
            <w:vAlign w:val="bottom"/>
          </w:tcPr>
          <w:p>
            <w:pPr>
              <w:jc w:val="right"/>
              <w:spacing w:after="0" w:line="205" w:lineRule="exact"/>
              <w:rPr>
                <w:sz w:val="20"/>
                <w:szCs w:val="20"/>
                <w:color w:val="auto"/>
              </w:rPr>
            </w:pPr>
            <w:r>
              <w:rPr>
                <w:rFonts w:ascii="Calibri" w:cs="Calibri" w:eastAsia="Calibri" w:hAnsi="Calibri"/>
                <w:sz w:val="17"/>
                <w:szCs w:val="17"/>
                <w:color w:val="auto"/>
              </w:rPr>
              <w:t>2,951</w:t>
            </w:r>
          </w:p>
        </w:tc>
      </w:tr>
      <w:tr>
        <w:trPr>
          <w:trHeight w:val="212"/>
        </w:trPr>
        <w:tc>
          <w:tcPr>
            <w:tcW w:w="636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Foreign currency translaton adjustments</w:t>
            </w:r>
          </w:p>
        </w:tc>
        <w:tc>
          <w:tcPr>
            <w:tcW w:w="40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51</w:t>
            </w:r>
          </w:p>
        </w:tc>
      </w:tr>
      <w:tr>
        <w:trPr>
          <w:trHeight w:val="212"/>
        </w:trPr>
        <w:tc>
          <w:tcPr>
            <w:tcW w:w="63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Balance as of September 30, 2024</w:t>
            </w:r>
          </w:p>
        </w:tc>
        <w:tc>
          <w:tcPr>
            <w:tcW w:w="400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35,295</w:t>
            </w:r>
          </w:p>
        </w:tc>
      </w:tr>
      <w:tr>
        <w:trPr>
          <w:trHeight w:val="26"/>
        </w:trPr>
        <w:tc>
          <w:tcPr>
            <w:tcW w:w="63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spacing w:after="0"/>
        <w:rPr>
          <w:sz w:val="20"/>
          <w:szCs w:val="20"/>
          <w:color w:val="auto"/>
        </w:rPr>
      </w:pPr>
      <w:r>
        <w:rPr>
          <w:rFonts w:ascii="Calibri" w:cs="Calibri" w:eastAsia="Calibri" w:hAnsi="Calibri"/>
          <w:sz w:val="17"/>
          <w:szCs w:val="17"/>
          <w:color w:val="auto"/>
        </w:rPr>
        <w:t>(a) Goodwill additons related to the acquisitons of ImmunoGen and Cerevel Therapeutcs (see Note 4).</w:t>
      </w:r>
    </w:p>
    <w:p>
      <w:pPr>
        <w:spacing w:after="0" w:line="143" w:lineRule="exact"/>
        <w:rPr>
          <w:sz w:val="20"/>
          <w:szCs w:val="20"/>
          <w:color w:val="auto"/>
        </w:rPr>
      </w:pPr>
    </w:p>
    <w:p>
      <w:pPr>
        <w:ind w:right="360"/>
        <w:spacing w:after="0" w:line="237" w:lineRule="auto"/>
        <w:rPr>
          <w:sz w:val="20"/>
          <w:szCs w:val="20"/>
          <w:color w:val="auto"/>
        </w:rPr>
      </w:pPr>
      <w:r>
        <w:rPr>
          <w:rFonts w:ascii="Calibri" w:cs="Calibri" w:eastAsia="Calibri" w:hAnsi="Calibri"/>
          <w:sz w:val="17"/>
          <w:szCs w:val="17"/>
          <w:color w:val="auto"/>
        </w:rPr>
        <w:t>The company performs its annual goodwill impairment assessment in the third quarter, or earlier if impairment indicators exist. As of September 30, 2024, there were no accumulated goodwill impairment losses.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Intangible Assets, Net</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intangible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w w:val="97"/>
              </w:rPr>
              <w:t>September 30, 2024</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December 31, 2023</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81"/>
              <w:spacing w:after="0" w:line="122" w:lineRule="exact"/>
              <w:rPr>
                <w:sz w:val="20"/>
                <w:szCs w:val="20"/>
                <w:color w:val="auto"/>
              </w:rPr>
            </w:pPr>
            <w:r>
              <w:rPr>
                <w:rFonts w:ascii="Calibri" w:cs="Calibri" w:eastAsia="Calibri" w:hAnsi="Calibri"/>
                <w:sz w:val="13"/>
                <w:szCs w:val="13"/>
                <w:b w:val="1"/>
                <w:bCs w:val="1"/>
                <w:color w:val="auto"/>
              </w:rPr>
              <w:t>Gross</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81"/>
              <w:spacing w:after="0" w:line="122" w:lineRule="exact"/>
              <w:rPr>
                <w:sz w:val="20"/>
                <w:szCs w:val="20"/>
                <w:color w:val="auto"/>
              </w:rPr>
            </w:pPr>
            <w:r>
              <w:rPr>
                <w:rFonts w:ascii="Calibri" w:cs="Calibri" w:eastAsia="Calibri" w:hAnsi="Calibri"/>
                <w:sz w:val="13"/>
                <w:szCs w:val="13"/>
                <w:b w:val="1"/>
                <w:bCs w:val="1"/>
                <w:color w:val="auto"/>
              </w:rPr>
              <w:t>Net</w:t>
            </w: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201"/>
              <w:spacing w:after="0" w:line="122" w:lineRule="exact"/>
              <w:rPr>
                <w:sz w:val="20"/>
                <w:szCs w:val="20"/>
                <w:color w:val="auto"/>
              </w:rPr>
            </w:pPr>
            <w:r>
              <w:rPr>
                <w:rFonts w:ascii="Calibri" w:cs="Calibri" w:eastAsia="Calibri" w:hAnsi="Calibri"/>
                <w:sz w:val="13"/>
                <w:szCs w:val="13"/>
                <w:b w:val="1"/>
                <w:bCs w:val="1"/>
                <w:color w:val="auto"/>
              </w:rPr>
              <w:t>Gross</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61"/>
              <w:spacing w:after="0" w:line="122" w:lineRule="exact"/>
              <w:rPr>
                <w:sz w:val="20"/>
                <w:szCs w:val="20"/>
                <w:color w:val="auto"/>
              </w:rPr>
            </w:pPr>
            <w:r>
              <w:rPr>
                <w:rFonts w:ascii="Calibri" w:cs="Calibri" w:eastAsia="Calibri" w:hAnsi="Calibri"/>
                <w:sz w:val="13"/>
                <w:szCs w:val="13"/>
                <w:b w:val="1"/>
                <w:bCs w:val="1"/>
                <w:color w:val="auto"/>
              </w:rPr>
              <w:t>Net</w:t>
            </w: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01"/>
              <w:spacing w:after="0" w:line="129" w:lineRule="exact"/>
              <w:rPr>
                <w:sz w:val="20"/>
                <w:szCs w:val="20"/>
                <w:color w:val="auto"/>
              </w:rPr>
            </w:pPr>
            <w:r>
              <w:rPr>
                <w:rFonts w:ascii="Calibri" w:cs="Calibri" w:eastAsia="Calibri" w:hAnsi="Calibri"/>
                <w:sz w:val="14"/>
                <w:szCs w:val="14"/>
                <w:b w:val="1"/>
                <w:bCs w:val="1"/>
                <w:color w:val="auto"/>
                <w:w w:val="97"/>
              </w:rPr>
              <w:t>carrying</w:t>
            </w:r>
          </w:p>
        </w:tc>
        <w:tc>
          <w:tcPr>
            <w:tcW w:w="220" w:type="dxa"/>
            <w:vAlign w:val="bottom"/>
          </w:tcPr>
          <w:p>
            <w:pPr>
              <w:spacing w:after="0"/>
              <w:rPr>
                <w:sz w:val="11"/>
                <w:szCs w:val="11"/>
                <w:color w:val="auto"/>
              </w:rPr>
            </w:pPr>
          </w:p>
        </w:tc>
        <w:tc>
          <w:tcPr>
            <w:tcW w:w="1060" w:type="dxa"/>
            <w:vAlign w:val="bottom"/>
          </w:tcPr>
          <w:p>
            <w:pPr>
              <w:jc w:val="center"/>
              <w:ind w:right="159"/>
              <w:spacing w:after="0" w:line="129" w:lineRule="exact"/>
              <w:rPr>
                <w:sz w:val="20"/>
                <w:szCs w:val="20"/>
                <w:color w:val="auto"/>
              </w:rPr>
            </w:pPr>
            <w:r>
              <w:rPr>
                <w:rFonts w:ascii="Calibri" w:cs="Calibri" w:eastAsia="Calibri" w:hAnsi="Calibri"/>
                <w:sz w:val="14"/>
                <w:szCs w:val="14"/>
                <w:b w:val="1"/>
                <w:bCs w:val="1"/>
                <w:color w:val="auto"/>
                <w:w w:val="96"/>
              </w:rPr>
              <w:t>Accumulated</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29" w:lineRule="exact"/>
              <w:rPr>
                <w:sz w:val="20"/>
                <w:szCs w:val="20"/>
                <w:color w:val="auto"/>
              </w:rPr>
            </w:pPr>
            <w:r>
              <w:rPr>
                <w:rFonts w:ascii="Calibri" w:cs="Calibri" w:eastAsia="Calibri" w:hAnsi="Calibri"/>
                <w:sz w:val="14"/>
                <w:szCs w:val="14"/>
                <w:b w:val="1"/>
                <w:bCs w:val="1"/>
                <w:color w:val="auto"/>
                <w:w w:val="97"/>
              </w:rPr>
              <w:t>carrying</w:t>
            </w:r>
          </w:p>
        </w:tc>
        <w:tc>
          <w:tcPr>
            <w:tcW w:w="200" w:type="dxa"/>
            <w:vAlign w:val="bottom"/>
          </w:tcPr>
          <w:p>
            <w:pPr>
              <w:spacing w:after="0"/>
              <w:rPr>
                <w:sz w:val="11"/>
                <w:szCs w:val="11"/>
                <w:color w:val="auto"/>
              </w:rPr>
            </w:pPr>
          </w:p>
        </w:tc>
        <w:tc>
          <w:tcPr>
            <w:tcW w:w="960" w:type="dxa"/>
            <w:vAlign w:val="bottom"/>
          </w:tcPr>
          <w:p>
            <w:pPr>
              <w:jc w:val="center"/>
              <w:ind w:right="181"/>
              <w:spacing w:after="0" w:line="129" w:lineRule="exact"/>
              <w:rPr>
                <w:sz w:val="20"/>
                <w:szCs w:val="20"/>
                <w:color w:val="auto"/>
              </w:rPr>
            </w:pPr>
            <w:r>
              <w:rPr>
                <w:rFonts w:ascii="Calibri" w:cs="Calibri" w:eastAsia="Calibri" w:hAnsi="Calibri"/>
                <w:sz w:val="14"/>
                <w:szCs w:val="14"/>
                <w:b w:val="1"/>
                <w:bCs w:val="1"/>
                <w:color w:val="auto"/>
                <w:w w:val="97"/>
              </w:rPr>
              <w:t>carrying</w:t>
            </w:r>
          </w:p>
        </w:tc>
        <w:tc>
          <w:tcPr>
            <w:tcW w:w="220" w:type="dxa"/>
            <w:vAlign w:val="bottom"/>
          </w:tcPr>
          <w:p>
            <w:pPr>
              <w:spacing w:after="0"/>
              <w:rPr>
                <w:sz w:val="11"/>
                <w:szCs w:val="11"/>
                <w:color w:val="auto"/>
              </w:rPr>
            </w:pPr>
          </w:p>
        </w:tc>
        <w:tc>
          <w:tcPr>
            <w:tcW w:w="1040" w:type="dxa"/>
            <w:vAlign w:val="bottom"/>
          </w:tcPr>
          <w:p>
            <w:pPr>
              <w:jc w:val="right"/>
              <w:ind w:right="179"/>
              <w:spacing w:after="0" w:line="129" w:lineRule="exact"/>
              <w:rPr>
                <w:sz w:val="20"/>
                <w:szCs w:val="20"/>
                <w:color w:val="auto"/>
              </w:rPr>
            </w:pPr>
            <w:r>
              <w:rPr>
                <w:rFonts w:ascii="Calibri" w:cs="Calibri" w:eastAsia="Calibri" w:hAnsi="Calibri"/>
                <w:sz w:val="14"/>
                <w:szCs w:val="14"/>
                <w:b w:val="1"/>
                <w:bCs w:val="1"/>
                <w:color w:val="auto"/>
                <w:w w:val="99"/>
              </w:rPr>
              <w:t>Accumulated</w:t>
            </w:r>
          </w:p>
        </w:tc>
        <w:tc>
          <w:tcPr>
            <w:tcW w:w="260" w:type="dxa"/>
            <w:vAlign w:val="bottom"/>
          </w:tcPr>
          <w:p>
            <w:pPr>
              <w:spacing w:after="0"/>
              <w:rPr>
                <w:sz w:val="11"/>
                <w:szCs w:val="11"/>
                <w:color w:val="auto"/>
              </w:rPr>
            </w:pPr>
          </w:p>
        </w:tc>
        <w:tc>
          <w:tcPr>
            <w:tcW w:w="920" w:type="dxa"/>
            <w:vAlign w:val="bottom"/>
          </w:tcPr>
          <w:p>
            <w:pPr>
              <w:jc w:val="center"/>
              <w:ind w:right="141"/>
              <w:spacing w:after="0" w:line="129" w:lineRule="exact"/>
              <w:rPr>
                <w:sz w:val="20"/>
                <w:szCs w:val="20"/>
                <w:color w:val="auto"/>
              </w:rPr>
            </w:pPr>
            <w:r>
              <w:rPr>
                <w:rFonts w:ascii="Calibri" w:cs="Calibri" w:eastAsia="Calibri" w:hAnsi="Calibri"/>
                <w:sz w:val="14"/>
                <w:szCs w:val="14"/>
                <w:b w:val="1"/>
                <w:bCs w:val="1"/>
                <w:color w:val="auto"/>
                <w:w w:val="97"/>
              </w:rPr>
              <w:t>carrying</w:t>
            </w: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5"/>
                <w:szCs w:val="15"/>
                <w:color w:val="auto"/>
              </w:rPr>
            </w:pPr>
          </w:p>
        </w:tc>
        <w:tc>
          <w:tcPr>
            <w:tcW w:w="940" w:type="dxa"/>
            <w:vAlign w:val="bottom"/>
          </w:tcPr>
          <w:p>
            <w:pPr>
              <w:jc w:val="center"/>
              <w:ind w:right="161"/>
              <w:spacing w:after="0" w:line="164" w:lineRule="exact"/>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5"/>
                <w:szCs w:val="15"/>
                <w:color w:val="auto"/>
              </w:rPr>
            </w:pPr>
          </w:p>
        </w:tc>
        <w:tc>
          <w:tcPr>
            <w:tcW w:w="1060" w:type="dxa"/>
            <w:vAlign w:val="bottom"/>
          </w:tcPr>
          <w:p>
            <w:pPr>
              <w:jc w:val="center"/>
              <w:ind w:right="119"/>
              <w:spacing w:after="0"/>
              <w:rPr>
                <w:sz w:val="20"/>
                <w:szCs w:val="20"/>
                <w:color w:val="auto"/>
              </w:rPr>
            </w:pPr>
            <w:r>
              <w:rPr>
                <w:rFonts w:ascii="Calibri" w:cs="Calibri" w:eastAsia="Calibri" w:hAnsi="Calibri"/>
                <w:sz w:val="14"/>
                <w:szCs w:val="14"/>
                <w:b w:val="1"/>
                <w:bCs w:val="1"/>
                <w:color w:val="auto"/>
              </w:rPr>
              <w:t>amortzaton</w:t>
            </w:r>
          </w:p>
        </w:tc>
        <w:tc>
          <w:tcPr>
            <w:tcW w:w="260" w:type="dxa"/>
            <w:vAlign w:val="bottom"/>
          </w:tcPr>
          <w:p>
            <w:pPr>
              <w:spacing w:after="0"/>
              <w:rPr>
                <w:sz w:val="15"/>
                <w:szCs w:val="15"/>
                <w:color w:val="auto"/>
              </w:rPr>
            </w:pPr>
          </w:p>
        </w:tc>
        <w:tc>
          <w:tcPr>
            <w:tcW w:w="1020" w:type="dxa"/>
            <w:vAlign w:val="bottom"/>
            <w:gridSpan w:val="2"/>
          </w:tcPr>
          <w:p>
            <w:pPr>
              <w:jc w:val="center"/>
              <w:ind w:right="340"/>
              <w:spacing w:after="0" w:line="164" w:lineRule="exact"/>
              <w:rPr>
                <w:sz w:val="20"/>
                <w:szCs w:val="20"/>
                <w:color w:val="auto"/>
              </w:rPr>
            </w:pPr>
            <w:r>
              <w:rPr>
                <w:rFonts w:ascii="Calibri" w:cs="Calibri" w:eastAsia="Calibri" w:hAnsi="Calibri"/>
                <w:sz w:val="14"/>
                <w:szCs w:val="14"/>
                <w:b w:val="1"/>
                <w:bCs w:val="1"/>
                <w:color w:val="auto"/>
                <w:w w:val="96"/>
              </w:rPr>
              <w:t>amount</w:t>
            </w:r>
          </w:p>
        </w:tc>
        <w:tc>
          <w:tcPr>
            <w:tcW w:w="200" w:type="dxa"/>
            <w:vAlign w:val="bottom"/>
          </w:tcPr>
          <w:p>
            <w:pPr>
              <w:spacing w:after="0"/>
              <w:rPr>
                <w:sz w:val="15"/>
                <w:szCs w:val="15"/>
                <w:color w:val="auto"/>
              </w:rPr>
            </w:pPr>
          </w:p>
        </w:tc>
        <w:tc>
          <w:tcPr>
            <w:tcW w:w="960" w:type="dxa"/>
            <w:vAlign w:val="bottom"/>
          </w:tcPr>
          <w:p>
            <w:pPr>
              <w:jc w:val="center"/>
              <w:ind w:right="161"/>
              <w:spacing w:after="0" w:line="164" w:lineRule="exact"/>
              <w:rPr>
                <w:sz w:val="20"/>
                <w:szCs w:val="20"/>
                <w:color w:val="auto"/>
              </w:rPr>
            </w:pPr>
            <w:r>
              <w:rPr>
                <w:rFonts w:ascii="Calibri" w:cs="Calibri" w:eastAsia="Calibri" w:hAnsi="Calibri"/>
                <w:sz w:val="14"/>
                <w:szCs w:val="14"/>
                <w:b w:val="1"/>
                <w:bCs w:val="1"/>
                <w:color w:val="auto"/>
                <w:w w:val="96"/>
              </w:rPr>
              <w:t>amount</w:t>
            </w:r>
          </w:p>
        </w:tc>
        <w:tc>
          <w:tcPr>
            <w:tcW w:w="220" w:type="dxa"/>
            <w:vAlign w:val="bottom"/>
          </w:tcPr>
          <w:p>
            <w:pPr>
              <w:spacing w:after="0"/>
              <w:rPr>
                <w:sz w:val="15"/>
                <w:szCs w:val="15"/>
                <w:color w:val="auto"/>
              </w:rPr>
            </w:pPr>
          </w:p>
        </w:tc>
        <w:tc>
          <w:tcPr>
            <w:tcW w:w="1040" w:type="dxa"/>
            <w:vAlign w:val="bottom"/>
          </w:tcPr>
          <w:p>
            <w:pPr>
              <w:jc w:val="right"/>
              <w:ind w:right="179"/>
              <w:spacing w:after="0"/>
              <w:rPr>
                <w:sz w:val="20"/>
                <w:szCs w:val="20"/>
                <w:color w:val="auto"/>
              </w:rPr>
            </w:pPr>
            <w:r>
              <w:rPr>
                <w:rFonts w:ascii="Calibri" w:cs="Calibri" w:eastAsia="Calibri" w:hAnsi="Calibri"/>
                <w:sz w:val="14"/>
                <w:szCs w:val="14"/>
                <w:b w:val="1"/>
                <w:bCs w:val="1"/>
                <w:color w:val="auto"/>
              </w:rPr>
              <w:t>amortzaton</w:t>
            </w:r>
          </w:p>
        </w:tc>
        <w:tc>
          <w:tcPr>
            <w:tcW w:w="260" w:type="dxa"/>
            <w:vAlign w:val="bottom"/>
          </w:tcPr>
          <w:p>
            <w:pPr>
              <w:spacing w:after="0"/>
              <w:rPr>
                <w:sz w:val="15"/>
                <w:szCs w:val="15"/>
                <w:color w:val="auto"/>
              </w:rPr>
            </w:pPr>
          </w:p>
        </w:tc>
        <w:tc>
          <w:tcPr>
            <w:tcW w:w="920" w:type="dxa"/>
            <w:vAlign w:val="bottom"/>
          </w:tcPr>
          <w:p>
            <w:pPr>
              <w:jc w:val="center"/>
              <w:ind w:right="121"/>
              <w:spacing w:after="0" w:line="164" w:lineRule="exact"/>
              <w:rPr>
                <w:sz w:val="20"/>
                <w:szCs w:val="20"/>
                <w:color w:val="auto"/>
              </w:rPr>
            </w:pPr>
            <w:r>
              <w:rPr>
                <w:rFonts w:ascii="Calibri" w:cs="Calibri" w:eastAsia="Calibri" w:hAnsi="Calibri"/>
                <w:sz w:val="14"/>
                <w:szCs w:val="14"/>
                <w:b w:val="1"/>
                <w:bCs w:val="1"/>
                <w:color w:val="auto"/>
                <w:w w:val="96"/>
              </w:rPr>
              <w:t>amount</w:t>
            </w:r>
          </w:p>
        </w:tc>
        <w:tc>
          <w:tcPr>
            <w:tcW w:w="0" w:type="dxa"/>
            <w:vAlign w:val="bottom"/>
          </w:tcPr>
          <w:p>
            <w:pPr>
              <w:spacing w:after="0"/>
              <w:rPr>
                <w:sz w:val="1"/>
                <w:szCs w:val="1"/>
                <w:color w:val="auto"/>
              </w:rPr>
            </w:pPr>
          </w:p>
        </w:tc>
      </w:tr>
      <w:tr>
        <w:trPr>
          <w:trHeight w:val="30"/>
        </w:trPr>
        <w:tc>
          <w:tcPr>
            <w:tcW w:w="3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line="205" w:lineRule="exact"/>
              <w:rPr>
                <w:sz w:val="20"/>
                <w:szCs w:val="20"/>
                <w:color w:val="auto"/>
              </w:rPr>
            </w:pPr>
            <w:r>
              <w:rPr>
                <w:rFonts w:ascii="Calibri" w:cs="Calibri" w:eastAsia="Calibri" w:hAnsi="Calibri"/>
                <w:sz w:val="17"/>
                <w:szCs w:val="17"/>
                <w:color w:val="auto"/>
              </w:rPr>
              <w:t>Defnite-lived intangible assets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180"/>
              <w:spacing w:after="0"/>
              <w:rPr>
                <w:sz w:val="20"/>
                <w:szCs w:val="20"/>
                <w:color w:val="auto"/>
              </w:rPr>
            </w:pPr>
            <w:r>
              <w:rPr>
                <w:rFonts w:ascii="Calibri" w:cs="Calibri" w:eastAsia="Calibri" w:hAnsi="Calibri"/>
                <w:sz w:val="17"/>
                <w:szCs w:val="17"/>
                <w:color w:val="auto"/>
              </w:rPr>
              <w:t>Developed product rights</w:t>
            </w:r>
          </w:p>
        </w:tc>
        <w:tc>
          <w:tcPr>
            <w:tcW w:w="220" w:type="dxa"/>
            <w:vAlign w:val="bottom"/>
            <w:shd w:val="clear" w:color="auto" w:fill="CCEEFF"/>
          </w:tcPr>
          <w:p>
            <w:pPr>
              <w:jc w:val="right"/>
              <w:ind w:right="34"/>
              <w:spacing w:after="0"/>
              <w:rPr>
                <w:sz w:val="20"/>
                <w:szCs w:val="20"/>
                <w:color w:val="auto"/>
              </w:rPr>
            </w:pPr>
            <w:r>
              <w:rPr>
                <w:rFonts w:ascii="Calibri" w:cs="Calibri" w:eastAsia="Calibri" w:hAnsi="Calibri"/>
                <w:sz w:val="17"/>
                <w:szCs w:val="17"/>
                <w:color w:val="auto"/>
                <w:w w:val="92"/>
              </w:rPr>
              <w:t>$</w:t>
            </w:r>
          </w:p>
        </w:tc>
        <w:tc>
          <w:tcPr>
            <w:tcW w:w="940" w:type="dxa"/>
            <w:vAlign w:val="bottom"/>
            <w:shd w:val="clear" w:color="auto" w:fill="CCEEFF"/>
          </w:tcPr>
          <w:p>
            <w:pPr>
              <w:jc w:val="right"/>
              <w:ind w:right="1"/>
              <w:spacing w:after="0"/>
              <w:rPr>
                <w:sz w:val="20"/>
                <w:szCs w:val="20"/>
                <w:color w:val="auto"/>
              </w:rPr>
            </w:pPr>
            <w:r>
              <w:rPr>
                <w:rFonts w:ascii="Calibri" w:cs="Calibri" w:eastAsia="Calibri" w:hAnsi="Calibri"/>
                <w:sz w:val="17"/>
                <w:szCs w:val="17"/>
                <w:color w:val="auto"/>
              </w:rPr>
              <w:t>81,721</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(26,723)</w:t>
            </w:r>
          </w:p>
        </w:tc>
        <w:tc>
          <w:tcPr>
            <w:tcW w:w="260" w:type="dxa"/>
            <w:vAlign w:val="bottom"/>
            <w:shd w:val="clear" w:color="auto" w:fill="CCEEFF"/>
          </w:tcPr>
          <w:p>
            <w:pPr>
              <w:jc w:val="right"/>
              <w:ind w:right="34"/>
              <w:spacing w:after="0"/>
              <w:rPr>
                <w:sz w:val="20"/>
                <w:szCs w:val="20"/>
                <w:color w:val="auto"/>
              </w:rPr>
            </w:pPr>
            <w:r>
              <w:rPr>
                <w:rFonts w:ascii="Calibri" w:cs="Calibri" w:eastAsia="Calibri" w:hAnsi="Calibri"/>
                <w:sz w:val="17"/>
                <w:szCs w:val="17"/>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54,998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Calibri" w:cs="Calibri" w:eastAsia="Calibri" w:hAnsi="Calibri"/>
                <w:sz w:val="17"/>
                <w:szCs w:val="17"/>
                <w:color w:val="auto"/>
                <w:w w:val="92"/>
              </w:rPr>
              <w:t>$</w:t>
            </w:r>
          </w:p>
        </w:tc>
        <w:tc>
          <w:tcPr>
            <w:tcW w:w="960" w:type="dxa"/>
            <w:vAlign w:val="bottom"/>
            <w:shd w:val="clear" w:color="auto" w:fill="CCEEFF"/>
          </w:tcPr>
          <w:p>
            <w:pPr>
              <w:jc w:val="right"/>
              <w:ind w:right="21"/>
              <w:spacing w:after="0"/>
              <w:rPr>
                <w:sz w:val="20"/>
                <w:szCs w:val="20"/>
                <w:color w:val="auto"/>
              </w:rPr>
            </w:pPr>
            <w:r>
              <w:rPr>
                <w:rFonts w:ascii="Calibri" w:cs="Calibri" w:eastAsia="Calibri" w:hAnsi="Calibri"/>
                <w:sz w:val="17"/>
                <w:szCs w:val="17"/>
                <w:color w:val="auto"/>
              </w:rPr>
              <w:t>75,142</w:t>
            </w:r>
          </w:p>
        </w:tc>
        <w:tc>
          <w:tcPr>
            <w:tcW w:w="220" w:type="dxa"/>
            <w:vAlign w:val="bottom"/>
            <w:shd w:val="clear" w:color="auto" w:fill="CCEEFF"/>
          </w:tcPr>
          <w:p>
            <w:pPr>
              <w:ind w:left="80"/>
              <w:spacing w:after="0"/>
              <w:rPr>
                <w:sz w:val="20"/>
                <w:szCs w:val="20"/>
                <w:color w:val="auto"/>
              </w:rPr>
            </w:pPr>
            <w:r>
              <w:rPr>
                <w:rFonts w:ascii="Calibri" w:cs="Calibri" w:eastAsia="Calibri" w:hAnsi="Calibri"/>
                <w:sz w:val="17"/>
                <w:szCs w:val="17"/>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(22,455)</w:t>
            </w:r>
          </w:p>
        </w:tc>
        <w:tc>
          <w:tcPr>
            <w:tcW w:w="260" w:type="dxa"/>
            <w:vAlign w:val="bottom"/>
            <w:shd w:val="clear" w:color="auto" w:fill="CCEEFF"/>
          </w:tcPr>
          <w:p>
            <w:pPr>
              <w:jc w:val="right"/>
              <w:ind w:right="14"/>
              <w:spacing w:after="0"/>
              <w:rPr>
                <w:sz w:val="20"/>
                <w:szCs w:val="20"/>
                <w:color w:val="auto"/>
              </w:rPr>
            </w:pPr>
            <w:r>
              <w:rPr>
                <w:rFonts w:ascii="Calibri" w:cs="Calibri" w:eastAsia="Calibri" w:hAnsi="Calibri"/>
                <w:sz w:val="17"/>
                <w:szCs w:val="17"/>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52,687</w:t>
            </w:r>
          </w:p>
        </w:tc>
        <w:tc>
          <w:tcPr>
            <w:tcW w:w="0" w:type="dxa"/>
            <w:vAlign w:val="bottom"/>
          </w:tcPr>
          <w:p>
            <w:pPr>
              <w:spacing w:after="0"/>
              <w:rPr>
                <w:sz w:val="1"/>
                <w:szCs w:val="1"/>
                <w:color w:val="auto"/>
              </w:rPr>
            </w:pPr>
          </w:p>
        </w:tc>
      </w:tr>
      <w:tr>
        <w:trPr>
          <w:trHeight w:val="212"/>
        </w:trPr>
        <w:tc>
          <w:tcPr>
            <w:tcW w:w="3920" w:type="dxa"/>
            <w:vAlign w:val="bottom"/>
            <w:tcBorders>
              <w:bottom w:val="single" w:sz="8" w:color="auto"/>
            </w:tcBorders>
          </w:tcPr>
          <w:p>
            <w:pPr>
              <w:ind w:left="180"/>
              <w:spacing w:after="0" w:line="205" w:lineRule="exact"/>
              <w:rPr>
                <w:sz w:val="20"/>
                <w:szCs w:val="20"/>
                <w:color w:val="auto"/>
              </w:rPr>
            </w:pPr>
            <w:r>
              <w:rPr>
                <w:rFonts w:ascii="Calibri" w:cs="Calibri" w:eastAsia="Calibri" w:hAnsi="Calibri"/>
                <w:sz w:val="17"/>
                <w:szCs w:val="17"/>
                <w:color w:val="auto"/>
              </w:rPr>
              <w:t>License agreements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line="205" w:lineRule="exact"/>
              <w:rPr>
                <w:sz w:val="20"/>
                <w:szCs w:val="20"/>
                <w:color w:val="auto"/>
              </w:rPr>
            </w:pPr>
            <w:r>
              <w:rPr>
                <w:rFonts w:ascii="Calibri" w:cs="Calibri" w:eastAsia="Calibri" w:hAnsi="Calibri"/>
                <w:sz w:val="17"/>
                <w:szCs w:val="17"/>
                <w:color w:val="auto"/>
              </w:rPr>
              <w:t>8,316</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(6,363)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1,953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line="205" w:lineRule="exact"/>
              <w:rPr>
                <w:sz w:val="20"/>
                <w:szCs w:val="20"/>
                <w:color w:val="auto"/>
              </w:rPr>
            </w:pPr>
            <w:r>
              <w:rPr>
                <w:rFonts w:ascii="Calibri" w:cs="Calibri" w:eastAsia="Calibri" w:hAnsi="Calibri"/>
                <w:sz w:val="17"/>
                <w:szCs w:val="17"/>
                <w:color w:val="auto"/>
              </w:rPr>
              <w:t>8,191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(5,571)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2,620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defnite-lived intangible 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line="205" w:lineRule="exact"/>
              <w:rPr>
                <w:sz w:val="20"/>
                <w:szCs w:val="20"/>
                <w:color w:val="auto"/>
              </w:rPr>
            </w:pPr>
            <w:r>
              <w:rPr>
                <w:rFonts w:ascii="Calibri" w:cs="Calibri" w:eastAsia="Calibri" w:hAnsi="Calibri"/>
                <w:sz w:val="17"/>
                <w:szCs w:val="17"/>
                <w:color w:val="auto"/>
              </w:rPr>
              <w:t>90,037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(33,086)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56,951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line="205" w:lineRule="exact"/>
              <w:rPr>
                <w:sz w:val="20"/>
                <w:szCs w:val="20"/>
                <w:color w:val="auto"/>
              </w:rPr>
            </w:pPr>
            <w:r>
              <w:rPr>
                <w:rFonts w:ascii="Calibri" w:cs="Calibri" w:eastAsia="Calibri" w:hAnsi="Calibri"/>
                <w:sz w:val="17"/>
                <w:szCs w:val="17"/>
                <w:color w:val="auto"/>
              </w:rPr>
              <w:t>83,333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(28,026)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55,307</w:t>
            </w:r>
          </w:p>
        </w:tc>
        <w:tc>
          <w:tcPr>
            <w:tcW w:w="0" w:type="dxa"/>
            <w:vAlign w:val="bottom"/>
          </w:tcPr>
          <w:p>
            <w:pPr>
              <w:spacing w:after="0"/>
              <w:rPr>
                <w:sz w:val="1"/>
                <w:szCs w:val="1"/>
                <w:color w:val="auto"/>
              </w:rPr>
            </w:pPr>
          </w:p>
        </w:tc>
      </w:tr>
      <w:tr>
        <w:trPr>
          <w:trHeight w:val="212"/>
        </w:trPr>
        <w:tc>
          <w:tcPr>
            <w:tcW w:w="39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Indefnite-lived intangible 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line="205" w:lineRule="exact"/>
              <w:rPr>
                <w:sz w:val="20"/>
                <w:szCs w:val="20"/>
                <w:color w:val="auto"/>
              </w:rPr>
            </w:pPr>
            <w:r>
              <w:rPr>
                <w:rFonts w:ascii="Calibri" w:cs="Calibri" w:eastAsia="Calibri" w:hAnsi="Calibri"/>
                <w:sz w:val="17"/>
                <w:szCs w:val="17"/>
                <w:color w:val="auto"/>
              </w:rPr>
              <w:t>9,695</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9,695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line="205" w:lineRule="exact"/>
              <w:rPr>
                <w:sz w:val="20"/>
                <w:szCs w:val="20"/>
                <w:color w:val="auto"/>
              </w:rPr>
            </w:pPr>
            <w:r>
              <w:rPr>
                <w:rFonts w:ascii="Calibri" w:cs="Calibri" w:eastAsia="Calibri" w:hAnsi="Calibri"/>
                <w:sz w:val="17"/>
                <w:szCs w:val="17"/>
                <w:color w:val="auto"/>
              </w:rPr>
              <w:t>303</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303</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intangible assets, net</w:t>
            </w:r>
          </w:p>
        </w:tc>
        <w:tc>
          <w:tcPr>
            <w:tcW w:w="220" w:type="dxa"/>
            <w:vAlign w:val="bottom"/>
            <w:tcBorders>
              <w:bottom w:val="single" w:sz="8" w:color="auto"/>
            </w:tcBorders>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CCEEFF"/>
          </w:tcPr>
          <w:p>
            <w:pPr>
              <w:jc w:val="right"/>
              <w:ind w:right="1"/>
              <w:spacing w:after="0" w:line="205" w:lineRule="exact"/>
              <w:rPr>
                <w:sz w:val="20"/>
                <w:szCs w:val="20"/>
                <w:color w:val="auto"/>
              </w:rPr>
            </w:pPr>
            <w:r>
              <w:rPr>
                <w:rFonts w:ascii="Calibri" w:cs="Calibri" w:eastAsia="Calibri" w:hAnsi="Calibri"/>
                <w:sz w:val="17"/>
                <w:szCs w:val="17"/>
                <w:color w:val="auto"/>
              </w:rPr>
              <w:t>99,732</w:t>
            </w:r>
          </w:p>
        </w:tc>
        <w:tc>
          <w:tcPr>
            <w:tcW w:w="2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(33,086)</w:t>
            </w:r>
          </w:p>
        </w:tc>
        <w:tc>
          <w:tcPr>
            <w:tcW w:w="260" w:type="dxa"/>
            <w:vAlign w:val="bottom"/>
            <w:tcBorders>
              <w:bottom w:val="single" w:sz="8" w:color="auto"/>
            </w:tcBorders>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66,646</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CCEEFF"/>
          </w:tcPr>
          <w:p>
            <w:pPr>
              <w:jc w:val="right"/>
              <w:ind w:right="21"/>
              <w:spacing w:after="0" w:line="205" w:lineRule="exact"/>
              <w:rPr>
                <w:sz w:val="20"/>
                <w:szCs w:val="20"/>
                <w:color w:val="auto"/>
              </w:rPr>
            </w:pPr>
            <w:r>
              <w:rPr>
                <w:rFonts w:ascii="Calibri" w:cs="Calibri" w:eastAsia="Calibri" w:hAnsi="Calibri"/>
                <w:sz w:val="17"/>
                <w:szCs w:val="17"/>
                <w:color w:val="auto"/>
              </w:rPr>
              <w:t>83,636</w:t>
            </w:r>
          </w:p>
        </w:tc>
        <w:tc>
          <w:tcPr>
            <w:tcW w:w="220" w:type="dxa"/>
            <w:vAlign w:val="bottom"/>
            <w:tcBorders>
              <w:bottom w:val="single" w:sz="8" w:color="auto"/>
            </w:tcBorders>
            <w:shd w:val="clear" w:color="auto" w:fill="CCEEFF"/>
          </w:tcPr>
          <w:p>
            <w:pPr>
              <w:ind w:left="80"/>
              <w:spacing w:after="0" w:line="205" w:lineRule="exact"/>
              <w:rPr>
                <w:sz w:val="20"/>
                <w:szCs w:val="20"/>
                <w:color w:val="auto"/>
              </w:rPr>
            </w:pPr>
            <w:r>
              <w:rPr>
                <w:rFonts w:ascii="Calibri" w:cs="Calibri" w:eastAsia="Calibri" w:hAnsi="Calibri"/>
                <w:sz w:val="17"/>
                <w:szCs w:val="17"/>
                <w:color w:val="auto"/>
              </w:rPr>
              <w:t>$</w:t>
            </w:r>
          </w:p>
        </w:tc>
        <w:tc>
          <w:tcPr>
            <w:tcW w:w="10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(28,026)</w:t>
            </w:r>
          </w:p>
        </w:tc>
        <w:tc>
          <w:tcPr>
            <w:tcW w:w="26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55,610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Defnite-Lived Intangible Assets</w:t>
      </w:r>
    </w:p>
    <w:p>
      <w:pPr>
        <w:spacing w:after="0" w:line="143" w:lineRule="exact"/>
        <w:rPr>
          <w:sz w:val="20"/>
          <w:szCs w:val="20"/>
          <w:color w:val="auto"/>
        </w:rPr>
      </w:pPr>
    </w:p>
    <w:p>
      <w:pPr>
        <w:ind w:right="340"/>
        <w:spacing w:after="0" w:line="237" w:lineRule="auto"/>
        <w:rPr>
          <w:sz w:val="20"/>
          <w:szCs w:val="20"/>
          <w:color w:val="auto"/>
        </w:rPr>
      </w:pPr>
      <w:r>
        <w:rPr>
          <w:rFonts w:ascii="Calibri" w:cs="Calibri" w:eastAsia="Calibri" w:hAnsi="Calibri"/>
          <w:sz w:val="17"/>
          <w:szCs w:val="17"/>
          <w:color w:val="auto"/>
        </w:rPr>
        <w:t>The increase in defnite-lived intangible assets during 2024 was primarily due to the acquisiton of ImmunoGen. The intangible assets will be amortzed using the estmated patern of economic beneft. See Note 4 for additonal informaton regarding the acquisitons.</w:t>
      </w:r>
    </w:p>
    <w:p>
      <w:pPr>
        <w:spacing w:after="0" w:line="14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Amortzaton expense was $1.9 billion for the three months and $5.7 billion for the nine months ended September 30, 2024 and $2.0 billion for the three months and $6.1 billion for the nine months ended September 30, 2023. Amortzaton expense was included in cost of products sold in the condensed consolidated statements of earnings.</w:t>
      </w:r>
    </w:p>
    <w:p>
      <w:pPr>
        <w:spacing w:after="0" w:line="117" w:lineRule="exact"/>
        <w:rPr>
          <w:sz w:val="20"/>
          <w:szCs w:val="20"/>
          <w:color w:val="auto"/>
        </w:rPr>
      </w:pPr>
    </w:p>
    <w:p>
      <w:pPr>
        <w:ind w:right="40"/>
        <w:spacing w:after="0" w:line="225" w:lineRule="auto"/>
        <w:rPr>
          <w:sz w:val="20"/>
          <w:szCs w:val="20"/>
          <w:color w:val="auto"/>
        </w:rPr>
      </w:pPr>
      <w:r>
        <w:rPr>
          <w:rFonts w:ascii="Calibri" w:cs="Calibri" w:eastAsia="Calibri" w:hAnsi="Calibri"/>
          <w:sz w:val="17"/>
          <w:szCs w:val="17"/>
          <w:color w:val="auto"/>
        </w:rPr>
        <w:t>In August 2023, as part of the Infaton Reducton Act (IRA) of 2022, the company’s oncology product Imbruvica sold in the United States (U.S.) was included on the list of products selected for negotaton by the Centers for Medicare &amp; Medicaid Services. The selecton resulted in a signifcant decrease in the estmated future cash fows for the product and represented a triggering event which required the company to evaluate the underlying defnite lived-intangible asset for impairment. The company utlized a discounted cash fow analysis to determine the fair value of $1.9 billion, which was lower than the carrying value of $4.0 billion and resulted in a partal impairment of both the gross and net carrying amount as of August 29, 2023. Based on the revised cash fows, the company recorded a pre-tax impairment charge of $2.1 billion to cost of products sold in the condensed consolidated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467360</wp:posOffset>
            </wp:positionV>
            <wp:extent cx="491490" cy="901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14</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6" w:name="page17"/>
    <w:bookmarkEnd w:id="16"/>
    <w:p>
      <w:pPr>
        <w:spacing w:after="0" w:line="230" w:lineRule="auto"/>
        <w:rPr>
          <w:sz w:val="20"/>
          <w:szCs w:val="20"/>
          <w:color w:val="auto"/>
        </w:rPr>
      </w:pPr>
      <w:r>
        <w:rPr>
          <w:rFonts w:ascii="Calibri" w:cs="Calibri" w:eastAsia="Calibri" w:hAnsi="Calibri"/>
          <w:sz w:val="17"/>
          <w:szCs w:val="17"/>
          <w:color w:val="auto"/>
        </w:rPr>
        <w:t>of earnings for the third quarter of 2023. The fair value measurement was based on Level 3 inputs including estmated net revenues, cost of products sold, R&amp;D costs, selling and marketng costs and discount rate.</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Indefnite-Lived Intangible Assets</w:t>
      </w:r>
    </w:p>
    <w:p>
      <w:pPr>
        <w:spacing w:after="0" w:line="143" w:lineRule="exact"/>
        <w:rPr>
          <w:sz w:val="20"/>
          <w:szCs w:val="20"/>
          <w:color w:val="auto"/>
        </w:rPr>
      </w:pPr>
    </w:p>
    <w:p>
      <w:pPr>
        <w:ind w:right="340"/>
        <w:spacing w:after="0" w:line="238" w:lineRule="auto"/>
        <w:rPr>
          <w:sz w:val="20"/>
          <w:szCs w:val="20"/>
          <w:color w:val="auto"/>
        </w:rPr>
      </w:pPr>
      <w:r>
        <w:rPr>
          <w:rFonts w:ascii="Calibri" w:cs="Calibri" w:eastAsia="Calibri" w:hAnsi="Calibri"/>
          <w:sz w:val="17"/>
          <w:szCs w:val="17"/>
          <w:color w:val="auto"/>
        </w:rPr>
        <w:t>Indefnite-lived intangible assets represent acquired IPR&amp;D associated with products that have not yet received regulatory approval. The company performs its annual impairment assessment of indefnite-lived intangible assets in the third quarter, or earlier if impairment indicators exist. The increase in indefnite-lived intangible assets during 2024 was primarily due to the acquisitons of ImmunoGen and Cerevel Therapeutcs. See Note 4 for additonal informaton regarding the acquisitons.</w:t>
      </w:r>
    </w:p>
    <w:p>
      <w:pPr>
        <w:spacing w:after="0" w:line="131" w:lineRule="exact"/>
        <w:rPr>
          <w:sz w:val="20"/>
          <w:szCs w:val="20"/>
          <w:color w:val="auto"/>
        </w:rPr>
      </w:pPr>
    </w:p>
    <w:p>
      <w:pPr>
        <w:ind w:right="180"/>
        <w:spacing w:after="0" w:line="238" w:lineRule="auto"/>
        <w:rPr>
          <w:sz w:val="20"/>
          <w:szCs w:val="20"/>
          <w:color w:val="auto"/>
        </w:rPr>
      </w:pPr>
      <w:r>
        <w:rPr>
          <w:rFonts w:ascii="Calibri" w:cs="Calibri" w:eastAsia="Calibri" w:hAnsi="Calibri"/>
          <w:sz w:val="17"/>
          <w:szCs w:val="17"/>
          <w:color w:val="auto"/>
        </w:rPr>
        <w:t>During the frst quarter of 2023, the company made a decision to revise the research and development plan for AGN-151607, a novel investgatonal neurotoxin for the preventon of postoperatve atrial fbrillaton in cardiac surgery patents. This decision contributed to a delay in the estmated tming of regulatory approval as well as a signifcant decrease in estmated future cash fows of the product and represented a triggering event which required the company to evaluate the underlying indefnite-lived intangible asset for impairment. The company utlized a discounted cash fow analysis to estmate the fair value which was below the carrying value of the intangible asset. Based on the revised cash fows, the company recorded a pre-tax impairment charge of $630 million to research and development expense in the condensed consolidated statements of earnings for the frst quarter of 2023.</w:t>
      </w:r>
    </w:p>
    <w:p>
      <w:pPr>
        <w:spacing w:after="0" w:line="19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Note 7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6"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AbbVie contnuously evaluates its operatons to identfy opportunites to optmize its manufacturing and R&amp;D operatons, commercial infrastructure and administratve costs and to respond to changes in its business environment. As a result, AbbVie management periodically approves individual restructuring plans to achieve these objectves. As of September 30, 2024 and 2023, no such plans were individually signifcant. Restructuring charges were $30 million for the three months and $94 million for the nine months ended September 30, 2024 and $10 million for the three months and $55 million for the nine months ended September 30, 2023. These charges are recorded in cost of products sold, R&amp;D expense and SG&amp;A expense in the condensed consolidated statements of earnings based on the classifcaton of the afected employees or the related operatons.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cash actvity in the restructuring reserve for the nine months ended September 30, 2024:</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2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Accrued balance as of December 31, 2023</w:t>
            </w:r>
          </w:p>
        </w:tc>
        <w:tc>
          <w:tcPr>
            <w:tcW w:w="4000" w:type="dxa"/>
            <w:vAlign w:val="bottom"/>
            <w:tcBorders>
              <w:top w:val="single" w:sz="8" w:color="auto"/>
            </w:tcBorders>
            <w:shd w:val="clear" w:color="auto" w:fill="CCEEFF"/>
          </w:tcPr>
          <w:p>
            <w:pPr>
              <w:jc w:val="right"/>
              <w:ind w:right="334"/>
              <w:spacing w:after="0"/>
              <w:rPr>
                <w:sz w:val="20"/>
                <w:szCs w:val="20"/>
                <w:color w:val="auto"/>
              </w:rPr>
            </w:pPr>
            <w:r>
              <w:rPr>
                <w:rFonts w:ascii="Calibri" w:cs="Calibri" w:eastAsia="Calibri" w:hAnsi="Calibri"/>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196</w:t>
            </w:r>
          </w:p>
        </w:tc>
      </w:tr>
      <w:tr>
        <w:trPr>
          <w:trHeight w:val="212"/>
        </w:trPr>
        <w:tc>
          <w:tcPr>
            <w:tcW w:w="6420" w:type="dxa"/>
            <w:vAlign w:val="bottom"/>
          </w:tcPr>
          <w:p>
            <w:pPr>
              <w:ind w:left="20"/>
              <w:spacing w:after="0" w:line="205" w:lineRule="exact"/>
              <w:rPr>
                <w:sz w:val="20"/>
                <w:szCs w:val="20"/>
                <w:color w:val="auto"/>
              </w:rPr>
            </w:pPr>
            <w:r>
              <w:rPr>
                <w:rFonts w:ascii="Calibri" w:cs="Calibri" w:eastAsia="Calibri" w:hAnsi="Calibri"/>
                <w:sz w:val="17"/>
                <w:szCs w:val="17"/>
                <w:color w:val="auto"/>
              </w:rPr>
              <w:t>Restructuring charges</w:t>
            </w:r>
          </w:p>
        </w:tc>
        <w:tc>
          <w:tcPr>
            <w:tcW w:w="400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84</w:t>
            </w:r>
          </w:p>
        </w:tc>
      </w:tr>
      <w:tr>
        <w:trPr>
          <w:trHeight w:val="219"/>
        </w:trPr>
        <w:tc>
          <w:tcPr>
            <w:tcW w:w="64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Payments and other adjustments</w:t>
            </w:r>
          </w:p>
        </w:tc>
        <w:tc>
          <w:tcPr>
            <w:tcW w:w="40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(119)</w:t>
            </w:r>
          </w:p>
        </w:tc>
      </w:tr>
      <w:tr>
        <w:trPr>
          <w:trHeight w:val="212"/>
        </w:trPr>
        <w:tc>
          <w:tcPr>
            <w:tcW w:w="64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Accrued balance as of September 30, 2024</w:t>
            </w:r>
          </w:p>
        </w:tc>
        <w:tc>
          <w:tcPr>
            <w:tcW w:w="400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161</w:t>
            </w:r>
          </w:p>
        </w:tc>
      </w:tr>
      <w:tr>
        <w:trPr>
          <w:trHeight w:val="26"/>
        </w:trPr>
        <w:tc>
          <w:tcPr>
            <w:tcW w:w="6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Allergan Integraton Plan</w:t>
      </w:r>
    </w:p>
    <w:p>
      <w:pPr>
        <w:spacing w:after="0" w:line="143"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Following the closing of the Allergan acquisiton, AbbVie implemented an integraton plan designed to reduce costs, integrate and optmize the combined organizaton and incurred total cumulatve charges of $2.5 billion through December 31, 2023. These costs consisted of severance and employee beneft costs (cash severance, non-cash severance including accelerated equity award compensaton expense, retenton and other terminaton benefts) and other integraton expenses. The Allergan integraton plan was substantally complete as of December 31, 2023 and the remaining accrual as of September 30, 2024 is not signifcant.</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prior year charges associated with the Allergan acquisiton integraton plan: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140" w:type="dxa"/>
            <w:vAlign w:val="bottom"/>
          </w:tcPr>
          <w:p>
            <w:pPr>
              <w:jc w:val="right"/>
              <w:spacing w:after="0"/>
              <w:rPr>
                <w:sz w:val="20"/>
                <w:szCs w:val="20"/>
                <w:color w:val="auto"/>
              </w:rPr>
            </w:pPr>
            <w:r>
              <w:rPr>
                <w:rFonts w:ascii="Calibri" w:cs="Calibri" w:eastAsia="Calibri" w:hAnsi="Calibri"/>
                <w:sz w:val="14"/>
                <w:szCs w:val="14"/>
                <w:b w:val="1"/>
                <w:bCs w:val="1"/>
                <w:color w:val="auto"/>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220"/>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5000" w:type="dxa"/>
            <w:vAlign w:val="bottom"/>
            <w:vMerge w:val="continue"/>
          </w:tcPr>
          <w:p>
            <w:pPr>
              <w:spacing w:after="0"/>
              <w:rPr>
                <w:sz w:val="14"/>
                <w:szCs w:val="14"/>
                <w:color w:val="auto"/>
              </w:rPr>
            </w:pPr>
          </w:p>
        </w:tc>
        <w:tc>
          <w:tcPr>
            <w:tcW w:w="4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September 30, 2023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220"/>
              <w:spacing w:after="0" w:line="164" w:lineRule="exact"/>
              <w:rPr>
                <w:sz w:val="20"/>
                <w:szCs w:val="20"/>
                <w:color w:val="auto"/>
              </w:rPr>
            </w:pPr>
            <w:r>
              <w:rPr>
                <w:rFonts w:ascii="Calibri" w:cs="Calibri" w:eastAsia="Calibri" w:hAnsi="Calibri"/>
                <w:sz w:val="14"/>
                <w:szCs w:val="14"/>
                <w:b w:val="1"/>
                <w:bCs w:val="1"/>
                <w:color w:val="auto"/>
              </w:rPr>
              <w:t>September 30, 2023</w:t>
            </w:r>
          </w:p>
        </w:tc>
        <w:tc>
          <w:tcPr>
            <w:tcW w:w="0" w:type="dxa"/>
            <w:vAlign w:val="bottom"/>
          </w:tcPr>
          <w:p>
            <w:pPr>
              <w:spacing w:after="0"/>
              <w:rPr>
                <w:sz w:val="1"/>
                <w:szCs w:val="1"/>
                <w:color w:val="auto"/>
              </w:rPr>
            </w:pPr>
          </w:p>
        </w:tc>
      </w:tr>
      <w:tr>
        <w:trPr>
          <w:trHeight w:val="30"/>
        </w:trPr>
        <w:tc>
          <w:tcPr>
            <w:tcW w:w="50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Cost of products sold</w:t>
            </w:r>
          </w:p>
        </w:tc>
        <w:tc>
          <w:tcPr>
            <w:tcW w:w="4140" w:type="dxa"/>
            <w:vAlign w:val="bottom"/>
            <w:shd w:val="clear" w:color="auto" w:fill="CCEEFF"/>
          </w:tcPr>
          <w:p>
            <w:pPr>
              <w:jc w:val="right"/>
              <w:ind w:right="1323"/>
              <w:spacing w:after="0" w:line="205" w:lineRule="exact"/>
              <w:rPr>
                <w:sz w:val="20"/>
                <w:szCs w:val="20"/>
                <w:color w:val="auto"/>
              </w:rPr>
            </w:pPr>
            <w:r>
              <w:rPr>
                <w:rFonts w:ascii="Calibri" w:cs="Calibri" w:eastAsia="Calibri" w:hAnsi="Calibri"/>
                <w:sz w:val="17"/>
                <w:szCs w:val="17"/>
                <w:color w:val="auto"/>
              </w:rPr>
              <w:t>$</w:t>
            </w:r>
          </w:p>
        </w:tc>
        <w:tc>
          <w:tcPr>
            <w:tcW w:w="2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w:t>
            </w:r>
          </w:p>
        </w:tc>
        <w:tc>
          <w:tcPr>
            <w:tcW w:w="280" w:type="dxa"/>
            <w:vAlign w:val="bottom"/>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rPr>
              <w:t>$</w:t>
            </w:r>
          </w:p>
        </w:tc>
        <w:tc>
          <w:tcPr>
            <w:tcW w:w="15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66</w:t>
            </w:r>
          </w:p>
        </w:tc>
        <w:tc>
          <w:tcPr>
            <w:tcW w:w="0" w:type="dxa"/>
            <w:vAlign w:val="bottom"/>
          </w:tcPr>
          <w:p>
            <w:pPr>
              <w:spacing w:after="0"/>
              <w:rPr>
                <w:sz w:val="1"/>
                <w:szCs w:val="1"/>
                <w:color w:val="auto"/>
              </w:rPr>
            </w:pPr>
          </w:p>
        </w:tc>
      </w:tr>
      <w:tr>
        <w:trPr>
          <w:trHeight w:val="212"/>
        </w:trPr>
        <w:tc>
          <w:tcPr>
            <w:tcW w:w="5000" w:type="dxa"/>
            <w:vAlign w:val="bottom"/>
          </w:tcPr>
          <w:p>
            <w:pPr>
              <w:ind w:left="20"/>
              <w:spacing w:after="0" w:line="205" w:lineRule="exact"/>
              <w:rPr>
                <w:sz w:val="20"/>
                <w:szCs w:val="20"/>
                <w:color w:val="auto"/>
              </w:rPr>
            </w:pPr>
            <w:r>
              <w:rPr>
                <w:rFonts w:ascii="Calibri" w:cs="Calibri" w:eastAsia="Calibri" w:hAnsi="Calibri"/>
                <w:sz w:val="17"/>
                <w:szCs w:val="17"/>
                <w:color w:val="auto"/>
              </w:rPr>
              <w:t>Research and development</w:t>
            </w:r>
          </w:p>
        </w:tc>
        <w:tc>
          <w:tcPr>
            <w:tcW w:w="4140" w:type="dxa"/>
            <w:vAlign w:val="bottom"/>
          </w:tcPr>
          <w:p>
            <w:pPr>
              <w:spacing w:after="0"/>
              <w:rPr>
                <w:sz w:val="18"/>
                <w:szCs w:val="18"/>
                <w:color w:val="auto"/>
              </w:rPr>
            </w:pPr>
          </w:p>
        </w:tc>
        <w:tc>
          <w:tcPr>
            <w:tcW w:w="28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280" w:type="dxa"/>
            <w:vAlign w:val="bottom"/>
          </w:tcPr>
          <w:p>
            <w:pPr>
              <w:spacing w:after="0"/>
              <w:rPr>
                <w:sz w:val="18"/>
                <w:szCs w:val="18"/>
                <w:color w:val="auto"/>
              </w:rPr>
            </w:pPr>
          </w:p>
        </w:tc>
        <w:tc>
          <w:tcPr>
            <w:tcW w:w="154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Selling, general and administratve</w:t>
            </w:r>
          </w:p>
        </w:tc>
        <w:tc>
          <w:tcPr>
            <w:tcW w:w="4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39</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134</w:t>
            </w:r>
          </w:p>
        </w:tc>
        <w:tc>
          <w:tcPr>
            <w:tcW w:w="0" w:type="dxa"/>
            <w:vAlign w:val="bottom"/>
          </w:tcPr>
          <w:p>
            <w:pPr>
              <w:spacing w:after="0"/>
              <w:rPr>
                <w:sz w:val="1"/>
                <w:szCs w:val="1"/>
                <w:color w:val="auto"/>
              </w:rPr>
            </w:pPr>
          </w:p>
        </w:tc>
      </w:tr>
      <w:tr>
        <w:trPr>
          <w:trHeight w:val="212"/>
        </w:trPr>
        <w:tc>
          <w:tcPr>
            <w:tcW w:w="50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charges</w:t>
            </w:r>
          </w:p>
        </w:tc>
        <w:tc>
          <w:tcPr>
            <w:tcW w:w="4140" w:type="dxa"/>
            <w:vAlign w:val="bottom"/>
            <w:tcBorders>
              <w:bottom w:val="single" w:sz="8" w:color="auto"/>
            </w:tcBorders>
          </w:tcPr>
          <w:p>
            <w:pPr>
              <w:jc w:val="right"/>
              <w:ind w:right="1323"/>
              <w:spacing w:after="0" w:line="205" w:lineRule="exact"/>
              <w:rPr>
                <w:sz w:val="20"/>
                <w:szCs w:val="20"/>
                <w:color w:val="auto"/>
              </w:rPr>
            </w:pPr>
            <w:r>
              <w:rPr>
                <w:rFonts w:ascii="Calibri" w:cs="Calibri" w:eastAsia="Calibri" w:hAnsi="Calibri"/>
                <w:sz w:val="17"/>
                <w:szCs w:val="17"/>
                <w:color w:val="auto"/>
              </w:rPr>
              <w:t>$</w:t>
            </w:r>
          </w:p>
        </w:tc>
        <w:tc>
          <w:tcPr>
            <w:tcW w:w="2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60</w:t>
            </w:r>
          </w:p>
        </w:tc>
        <w:tc>
          <w:tcPr>
            <w:tcW w:w="280" w:type="dxa"/>
            <w:vAlign w:val="bottom"/>
            <w:tcBorders>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rPr>
              <w:t>$</w:t>
            </w:r>
          </w:p>
        </w:tc>
        <w:tc>
          <w:tcPr>
            <w:tcW w:w="15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202</w:t>
            </w:r>
          </w:p>
        </w:tc>
        <w:tc>
          <w:tcPr>
            <w:tcW w:w="0" w:type="dxa"/>
            <w:vAlign w:val="bottom"/>
          </w:tcPr>
          <w:p>
            <w:pPr>
              <w:spacing w:after="0"/>
              <w:rPr>
                <w:sz w:val="1"/>
                <w:szCs w:val="1"/>
                <w:color w:val="auto"/>
              </w:rPr>
            </w:pPr>
          </w:p>
        </w:tc>
      </w:tr>
      <w:tr>
        <w:trPr>
          <w:trHeight w:val="26"/>
        </w:trPr>
        <w:tc>
          <w:tcPr>
            <w:tcW w:w="50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728345</wp:posOffset>
            </wp:positionV>
            <wp:extent cx="491490" cy="901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15</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7" w:name="page18"/>
    <w:bookmarkEnd w:id="17"/>
    <w:p>
      <w:pPr>
        <w:spacing w:after="0"/>
        <w:rPr>
          <w:sz w:val="20"/>
          <w:szCs w:val="20"/>
          <w:color w:val="auto"/>
        </w:rPr>
      </w:pPr>
      <w:r>
        <w:rPr>
          <w:rFonts w:ascii="Calibri" w:cs="Calibri" w:eastAsia="Calibri" w:hAnsi="Calibri"/>
          <w:sz w:val="20"/>
          <w:szCs w:val="20"/>
          <w:b w:val="1"/>
          <w:bCs w:val="1"/>
          <w:color w:val="444867"/>
        </w:rPr>
        <w:t>Note 8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p>
      <w:pPr>
        <w:spacing w:after="0" w:line="17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Risk Management Policy</w:t>
      </w:r>
    </w:p>
    <w:p>
      <w:pPr>
        <w:spacing w:after="0" w:line="143" w:lineRule="exact"/>
        <w:rPr>
          <w:sz w:val="20"/>
          <w:szCs w:val="20"/>
          <w:color w:val="auto"/>
        </w:rPr>
      </w:pPr>
    </w:p>
    <w:p>
      <w:pPr>
        <w:ind w:right="340"/>
        <w:spacing w:after="0" w:line="237" w:lineRule="auto"/>
        <w:rPr>
          <w:sz w:val="20"/>
          <w:szCs w:val="20"/>
          <w:color w:val="auto"/>
        </w:rPr>
      </w:pPr>
      <w:r>
        <w:rPr>
          <w:rFonts w:ascii="Calibri" w:cs="Calibri" w:eastAsia="Calibri" w:hAnsi="Calibri"/>
          <w:sz w:val="17"/>
          <w:szCs w:val="17"/>
          <w:color w:val="auto"/>
        </w:rPr>
        <w:t>See Note 11 to the company’s Annual Report on Form 10-K for the year ended December 31, 2023 for a summary of AbbVie’s risk management policy and use of derivatve instruments.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Financial Instruments</w:t>
      </w:r>
    </w:p>
    <w:p>
      <w:pPr>
        <w:spacing w:after="0" w:line="143" w:lineRule="exact"/>
        <w:rPr>
          <w:sz w:val="20"/>
          <w:szCs w:val="20"/>
          <w:color w:val="auto"/>
        </w:rPr>
      </w:pPr>
    </w:p>
    <w:p>
      <w:pPr>
        <w:ind w:right="40"/>
        <w:spacing w:after="0" w:line="238" w:lineRule="auto"/>
        <w:rPr>
          <w:sz w:val="20"/>
          <w:szCs w:val="20"/>
          <w:color w:val="auto"/>
        </w:rPr>
      </w:pPr>
      <w:r>
        <w:rPr>
          <w:rFonts w:ascii="Calibri" w:cs="Calibri" w:eastAsia="Calibri" w:hAnsi="Calibri"/>
          <w:sz w:val="17"/>
          <w:szCs w:val="17"/>
          <w:color w:val="auto"/>
        </w:rPr>
        <w:t>Various AbbVie foreign subsidiaries enter into foreign currency forward exchange contracts to manage exposures to changes in foreign exchange rates for antcipated intercompany transactons denominated in a currency other than the functonal currency of the local entty. These contracts, with notonal amounts totaling $2.6 billion at September 30, 2024 and $1.8 billion at December 31, 2023, are designated as cash fow hedges and are recorded at fair value. The duratons of these forward exchange contracts were generally less than 18 months. Accumulated gains and losses as of September 30, 2024 are reclassifed from accumulated other comprehensive income (loss) (AOCI) and included in cost of products sold at the tme the products are sold, generally not exceeding six months from the date of setlement.</w:t>
      </w:r>
    </w:p>
    <w:p>
      <w:pPr>
        <w:spacing w:after="0" w:line="132" w:lineRule="exact"/>
        <w:rPr>
          <w:sz w:val="20"/>
          <w:szCs w:val="20"/>
          <w:color w:val="auto"/>
        </w:rPr>
      </w:pPr>
    </w:p>
    <w:p>
      <w:pPr>
        <w:jc w:val="both"/>
        <w:ind w:right="240"/>
        <w:spacing w:after="0" w:line="238" w:lineRule="auto"/>
        <w:rPr>
          <w:sz w:val="20"/>
          <w:szCs w:val="20"/>
          <w:color w:val="auto"/>
        </w:rPr>
      </w:pPr>
      <w:r>
        <w:rPr>
          <w:rFonts w:ascii="Calibri" w:cs="Calibri" w:eastAsia="Calibri" w:hAnsi="Calibri"/>
          <w:sz w:val="17"/>
          <w:szCs w:val="17"/>
          <w:color w:val="auto"/>
        </w:rPr>
        <w:t>In 2019, the company entered into treasury rate lock agreements with notonal amounts totaling $10.0 billion to hedge exposure to variability in future cash fows resultng from changes in interest rates related to the issuance of long-term debt in connecton with the acquisiton of Allergan. The treasury rate lock agreements were designated as cash fow hedges and recorded at fair value. The agreements were net setled upon issuance of the senior notes in 2019 and the resultng net gain was recognized in AOCI. This gain is reclassifed to interest expense, net over the term of the related debt.</w:t>
      </w:r>
    </w:p>
    <w:p>
      <w:pPr>
        <w:spacing w:after="0" w:line="144" w:lineRule="exact"/>
        <w:rPr>
          <w:sz w:val="20"/>
          <w:szCs w:val="20"/>
          <w:color w:val="auto"/>
        </w:rPr>
      </w:pPr>
    </w:p>
    <w:p>
      <w:pPr>
        <w:ind w:right="60"/>
        <w:spacing w:after="0" w:line="257" w:lineRule="auto"/>
        <w:rPr>
          <w:sz w:val="20"/>
          <w:szCs w:val="20"/>
          <w:color w:val="auto"/>
        </w:rPr>
      </w:pPr>
      <w:r>
        <w:rPr>
          <w:rFonts w:ascii="Calibri" w:cs="Calibri" w:eastAsia="Calibri" w:hAnsi="Calibri"/>
          <w:sz w:val="16"/>
          <w:szCs w:val="16"/>
          <w:color w:val="auto"/>
        </w:rPr>
        <w:t>In June 2023, the company entered into a cross-currency swap contract that matured in November 2023 with a notonal amount totaling €433 million to hedge the company’s exposure to changes in future cash fows of foreign currency denominated debt related to changes in foreign exchange rates. The cross-currency swap contract was designated as a cash fow hedge and efectvely converted the interest and principal payments of the related foreign currency denominated debt to U.S. dollars. The unrealized gains and losses on the contract were included in AOCI and reclassifed to net foreign exchange loss over the term of the related debt.</w:t>
      </w:r>
    </w:p>
    <w:p>
      <w:pPr>
        <w:spacing w:after="0" w:line="130"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Resultng gains or losses are refected in net foreign exchange gain or loss in the condensed consolidated statements of earnings and are generally ofset by losses or gains on the foreign currency exposure being managed. These contracts had notonal amounts totaling $7.7 billion at September 30, 2024 and $7.9 billion at December 31, 2023.</w:t>
      </w:r>
    </w:p>
    <w:p>
      <w:pPr>
        <w:spacing w:after="0" w:line="131" w:lineRule="exact"/>
        <w:rPr>
          <w:sz w:val="20"/>
          <w:szCs w:val="20"/>
          <w:color w:val="auto"/>
        </w:rPr>
      </w:pPr>
    </w:p>
    <w:p>
      <w:pPr>
        <w:ind w:right="160"/>
        <w:spacing w:after="0" w:line="238" w:lineRule="auto"/>
        <w:rPr>
          <w:sz w:val="20"/>
          <w:szCs w:val="20"/>
          <w:color w:val="auto"/>
        </w:rPr>
      </w:pPr>
      <w:r>
        <w:rPr>
          <w:rFonts w:ascii="Calibri" w:cs="Calibri" w:eastAsia="Calibri" w:hAnsi="Calibri"/>
          <w:sz w:val="17"/>
          <w:szCs w:val="17"/>
          <w:color w:val="auto"/>
        </w:rPr>
        <w:t>The company also uses foreign currency forward exchange contracts or foreign currency denominated debt to hedge its net investments in certain foreign subsidiaries and afliates. The company had an aggregate principal amount of senior Euro notes designated as net investment hedges of €3.2 billion at September 30, 2024 and €5.4 billion at December 31, 2023. In additon, the company had foreign currency forward exchange contracts designated as net investment hedges with notonal amounts totaling €6.2 billion, SEK1.9 billion, CAD750 million and CHF70 million at September 30, 2024 and €4.9 billion, SEK1.4 billion, CAD750 million and CHF50 million at December 31, 2023. The company uses the spot method of assessing hedge efectveness for derivatve instruments designated as net investment hedges. Realized and unrealized gains and losses from these hedges are included in AOCI and the inital fair value of hedge components excluded from the assessment of efectveness is recognized in interest expense, net over the life of the hedging instrument.</w:t>
      </w:r>
    </w:p>
    <w:p>
      <w:pPr>
        <w:spacing w:after="0" w:line="145" w:lineRule="exact"/>
        <w:rPr>
          <w:sz w:val="20"/>
          <w:szCs w:val="20"/>
          <w:color w:val="auto"/>
        </w:rPr>
      </w:pPr>
    </w:p>
    <w:p>
      <w:pPr>
        <w:ind w:right="260"/>
        <w:spacing w:after="0" w:line="238" w:lineRule="auto"/>
        <w:rPr>
          <w:sz w:val="20"/>
          <w:szCs w:val="20"/>
          <w:color w:val="auto"/>
        </w:rPr>
      </w:pPr>
      <w:r>
        <w:rPr>
          <w:rFonts w:ascii="Calibri" w:cs="Calibri" w:eastAsia="Calibri" w:hAnsi="Calibri"/>
          <w:sz w:val="17"/>
          <w:szCs w:val="17"/>
          <w:color w:val="auto"/>
        </w:rPr>
        <w:t>The company is a party to interest rate swap contracts designated as fair value hedges with notonal amounts totaling $3.5 billion at September 30, 2024 and $5.0 billion at December 31, 2023. The efect of the hedge contracts is to change a fxed-rate interest obligaton to a foatng rate for that porton of the debt. AbbVie records the contracts at fair value and adjusts the carrying amount of the fxed-rate debt by an ofsetng amount.</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No amounts are excluded from the assessment of efectveness for cash fow hedges or fair value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16</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7"/>
          <w:szCs w:val="17"/>
          <w:color w:val="auto"/>
        </w:rPr>
        <w:t>The following table summarizes the amounts and locaton of AbbVie’s derivatve instruments on the condensed consolidated balance sheets:</w:t>
      </w:r>
    </w:p>
    <w:tbl>
      <w:tblPr>
        <w:tblLayout w:type="fixed"/>
        <w:tblInd w:w="0" w:type="dxa"/>
        <w:tblCellMar>
          <w:top w:w="0" w:type="dxa"/>
          <w:left w:w="0" w:type="dxa"/>
          <w:bottom w:w="0" w:type="dxa"/>
          <w:right w:w="0" w:type="dxa"/>
        </w:tblCellMar>
      </w:tblPr>
      <w:tr>
        <w:trPr>
          <w:trHeight w:val="164"/>
        </w:trPr>
        <w:tc>
          <w:tcPr>
            <w:tcW w:w="3260" w:type="dxa"/>
            <w:vAlign w:val="bottom"/>
          </w:tcPr>
          <w:p>
            <w:pPr>
              <w:spacing w:after="0"/>
              <w:rPr>
                <w:sz w:val="14"/>
                <w:szCs w:val="14"/>
                <w:color w:val="auto"/>
              </w:rPr>
            </w:pPr>
          </w:p>
        </w:tc>
        <w:tc>
          <w:tcPr>
            <w:tcW w:w="2780" w:type="dxa"/>
            <w:vAlign w:val="bottom"/>
            <w:gridSpan w:val="2"/>
          </w:tcPr>
          <w:p>
            <w:pPr>
              <w:jc w:val="right"/>
              <w:ind w:right="433"/>
              <w:spacing w:after="0" w:line="164" w:lineRule="exact"/>
              <w:rPr>
                <w:sz w:val="20"/>
                <w:szCs w:val="20"/>
                <w:color w:val="auto"/>
              </w:rPr>
            </w:pPr>
            <w:r>
              <w:rPr>
                <w:rFonts w:ascii="Calibri" w:cs="Calibri" w:eastAsia="Calibri" w:hAnsi="Calibri"/>
                <w:sz w:val="14"/>
                <w:szCs w:val="14"/>
                <w:b w:val="1"/>
                <w:bCs w:val="1"/>
                <w:color w:val="auto"/>
              </w:rPr>
              <w:t>Fair value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2"/>
          </w:tcPr>
          <w:p>
            <w:pPr>
              <w:jc w:val="right"/>
              <w:ind w:right="413"/>
              <w:spacing w:after="0" w:line="164" w:lineRule="exact"/>
              <w:rPr>
                <w:sz w:val="20"/>
                <w:szCs w:val="20"/>
                <w:color w:val="auto"/>
              </w:rPr>
            </w:pPr>
            <w:r>
              <w:rPr>
                <w:rFonts w:ascii="Calibri" w:cs="Calibri" w:eastAsia="Calibri" w:hAnsi="Calibri"/>
                <w:sz w:val="14"/>
                <w:szCs w:val="14"/>
                <w:b w:val="1"/>
                <w:bCs w:val="1"/>
                <w:color w:val="auto"/>
              </w:rPr>
              <w:t>Fair value –</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14"/>
                <w:szCs w:val="14"/>
                <w:color w:val="auto"/>
              </w:rPr>
            </w:pPr>
          </w:p>
        </w:tc>
        <w:tc>
          <w:tcPr>
            <w:tcW w:w="27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Derivatves in asset positon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3"/>
          </w:tcPr>
          <w:p>
            <w:pPr>
              <w:jc w:val="right"/>
              <w:ind w:right="11"/>
              <w:spacing w:after="0" w:line="164" w:lineRule="exact"/>
              <w:rPr>
                <w:sz w:val="20"/>
                <w:szCs w:val="20"/>
                <w:color w:val="auto"/>
              </w:rPr>
            </w:pPr>
            <w:r>
              <w:rPr>
                <w:rFonts w:ascii="Calibri" w:cs="Calibri" w:eastAsia="Calibri" w:hAnsi="Calibri"/>
                <w:sz w:val="14"/>
                <w:szCs w:val="14"/>
                <w:b w:val="1"/>
                <w:bCs w:val="1"/>
                <w:color w:val="auto"/>
              </w:rPr>
              <w:t>Derivatves in liability positon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2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2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780" w:type="dxa"/>
            <w:vAlign w:val="bottom"/>
            <w:vMerge w:val="restart"/>
          </w:tcPr>
          <w:p>
            <w:pPr>
              <w:jc w:val="right"/>
              <w:ind w:right="251"/>
              <w:spacing w:after="0"/>
              <w:rPr>
                <w:sz w:val="20"/>
                <w:szCs w:val="20"/>
                <w:color w:val="auto"/>
              </w:rPr>
            </w:pPr>
            <w:r>
              <w:rPr>
                <w:rFonts w:ascii="Calibri" w:cs="Calibri" w:eastAsia="Calibri" w:hAnsi="Calibri"/>
                <w:sz w:val="14"/>
                <w:szCs w:val="14"/>
                <w:b w:val="1"/>
                <w:bCs w:val="1"/>
                <w:color w:val="auto"/>
              </w:rPr>
              <w:t>Balance sheet capton</w:t>
            </w:r>
          </w:p>
        </w:tc>
        <w:tc>
          <w:tcPr>
            <w:tcW w:w="1000" w:type="dxa"/>
            <w:vAlign w:val="bottom"/>
          </w:tcPr>
          <w:p>
            <w:pPr>
              <w:jc w:val="right"/>
              <w:ind w:right="73"/>
              <w:spacing w:after="0" w:line="109" w:lineRule="exact"/>
              <w:rPr>
                <w:sz w:val="20"/>
                <w:szCs w:val="20"/>
                <w:color w:val="auto"/>
              </w:rPr>
            </w:pPr>
            <w:r>
              <w:rPr>
                <w:rFonts w:ascii="Calibri" w:cs="Calibri" w:eastAsia="Calibri" w:hAnsi="Calibri"/>
                <w:sz w:val="11"/>
                <w:szCs w:val="11"/>
                <w:b w:val="1"/>
                <w:bCs w:val="1"/>
                <w:color w:val="auto"/>
              </w:rPr>
              <w:t>September 30,</w:t>
            </w:r>
          </w:p>
        </w:tc>
        <w:tc>
          <w:tcPr>
            <w:tcW w:w="140" w:type="dxa"/>
            <w:vAlign w:val="bottom"/>
          </w:tcPr>
          <w:p>
            <w:pPr>
              <w:spacing w:after="0"/>
              <w:rPr>
                <w:sz w:val="9"/>
                <w:szCs w:val="9"/>
                <w:color w:val="auto"/>
              </w:rPr>
            </w:pPr>
          </w:p>
        </w:tc>
        <w:tc>
          <w:tcPr>
            <w:tcW w:w="1000" w:type="dxa"/>
            <w:vAlign w:val="bottom"/>
          </w:tcPr>
          <w:p>
            <w:pPr>
              <w:jc w:val="right"/>
              <w:ind w:right="113"/>
              <w:spacing w:after="0" w:line="109" w:lineRule="exact"/>
              <w:rPr>
                <w:sz w:val="20"/>
                <w:szCs w:val="20"/>
                <w:color w:val="auto"/>
              </w:rPr>
            </w:pPr>
            <w:r>
              <w:rPr>
                <w:rFonts w:ascii="Calibri" w:cs="Calibri" w:eastAsia="Calibri" w:hAnsi="Calibri"/>
                <w:sz w:val="11"/>
                <w:szCs w:val="11"/>
                <w:b w:val="1"/>
                <w:bCs w:val="1"/>
                <w:color w:val="auto"/>
              </w:rPr>
              <w:t>December 31,</w:t>
            </w:r>
          </w:p>
        </w:tc>
        <w:tc>
          <w:tcPr>
            <w:tcW w:w="100" w:type="dxa"/>
            <w:vAlign w:val="bottom"/>
            <w:vMerge w:val="continue"/>
          </w:tcPr>
          <w:p>
            <w:pPr>
              <w:spacing w:after="0"/>
              <w:rPr>
                <w:sz w:val="9"/>
                <w:szCs w:val="9"/>
                <w:color w:val="auto"/>
              </w:rPr>
            </w:pPr>
          </w:p>
        </w:tc>
        <w:tc>
          <w:tcPr>
            <w:tcW w:w="1780" w:type="dxa"/>
            <w:vAlign w:val="bottom"/>
            <w:vMerge w:val="restart"/>
          </w:tcPr>
          <w:p>
            <w:pPr>
              <w:jc w:val="right"/>
              <w:ind w:right="254"/>
              <w:spacing w:after="0"/>
              <w:rPr>
                <w:sz w:val="20"/>
                <w:szCs w:val="20"/>
                <w:color w:val="auto"/>
              </w:rPr>
            </w:pPr>
            <w:r>
              <w:rPr>
                <w:rFonts w:ascii="Calibri" w:cs="Calibri" w:eastAsia="Calibri" w:hAnsi="Calibri"/>
                <w:sz w:val="14"/>
                <w:szCs w:val="14"/>
                <w:b w:val="1"/>
                <w:bCs w:val="1"/>
                <w:color w:val="auto"/>
              </w:rPr>
              <w:t>Balance sheet capton</w:t>
            </w:r>
          </w:p>
        </w:tc>
        <w:tc>
          <w:tcPr>
            <w:tcW w:w="1000" w:type="dxa"/>
            <w:vAlign w:val="bottom"/>
          </w:tcPr>
          <w:p>
            <w:pPr>
              <w:jc w:val="right"/>
              <w:ind w:right="53"/>
              <w:spacing w:after="0" w:line="109" w:lineRule="exact"/>
              <w:rPr>
                <w:sz w:val="20"/>
                <w:szCs w:val="20"/>
                <w:color w:val="auto"/>
              </w:rPr>
            </w:pPr>
            <w:r>
              <w:rPr>
                <w:rFonts w:ascii="Calibri" w:cs="Calibri" w:eastAsia="Calibri" w:hAnsi="Calibri"/>
                <w:sz w:val="11"/>
                <w:szCs w:val="11"/>
                <w:b w:val="1"/>
                <w:bCs w:val="1"/>
                <w:color w:val="auto"/>
              </w:rPr>
              <w:t>September 30,</w:t>
            </w:r>
          </w:p>
        </w:tc>
        <w:tc>
          <w:tcPr>
            <w:tcW w:w="140" w:type="dxa"/>
            <w:vAlign w:val="bottom"/>
          </w:tcPr>
          <w:p>
            <w:pPr>
              <w:spacing w:after="0"/>
              <w:rPr>
                <w:sz w:val="9"/>
                <w:szCs w:val="9"/>
                <w:color w:val="auto"/>
              </w:rPr>
            </w:pPr>
          </w:p>
        </w:tc>
        <w:tc>
          <w:tcPr>
            <w:tcW w:w="1020" w:type="dxa"/>
            <w:vAlign w:val="bottom"/>
          </w:tcPr>
          <w:p>
            <w:pPr>
              <w:jc w:val="right"/>
              <w:ind w:right="113"/>
              <w:spacing w:after="0" w:line="109" w:lineRule="exact"/>
              <w:rPr>
                <w:sz w:val="20"/>
                <w:szCs w:val="20"/>
                <w:color w:val="auto"/>
              </w:rPr>
            </w:pPr>
            <w:r>
              <w:rPr>
                <w:rFonts w:ascii="Calibri" w:cs="Calibri" w:eastAsia="Calibri" w:hAnsi="Calibri"/>
                <w:sz w:val="11"/>
                <w:szCs w:val="11"/>
                <w:b w:val="1"/>
                <w:bCs w:val="1"/>
                <w:color w:val="auto"/>
              </w:rPr>
              <w:t>December 31,</w:t>
            </w:r>
          </w:p>
        </w:tc>
        <w:tc>
          <w:tcPr>
            <w:tcW w:w="0" w:type="dxa"/>
            <w:vAlign w:val="bottom"/>
          </w:tcPr>
          <w:p>
            <w:pPr>
              <w:spacing w:after="0"/>
              <w:rPr>
                <w:sz w:val="1"/>
                <w:szCs w:val="1"/>
                <w:color w:val="auto"/>
              </w:rPr>
            </w:pPr>
          </w:p>
        </w:tc>
      </w:tr>
      <w:tr>
        <w:trPr>
          <w:trHeight w:val="163"/>
        </w:trPr>
        <w:tc>
          <w:tcPr>
            <w:tcW w:w="3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000" w:type="dxa"/>
            <w:vAlign w:val="bottom"/>
          </w:tcPr>
          <w:p>
            <w:pPr>
              <w:jc w:val="right"/>
              <w:ind w:right="353"/>
              <w:spacing w:after="0" w:line="164" w:lineRule="exact"/>
              <w:rPr>
                <w:sz w:val="20"/>
                <w:szCs w:val="20"/>
                <w:color w:val="auto"/>
              </w:rPr>
            </w:pPr>
            <w:r>
              <w:rPr>
                <w:rFonts w:ascii="Calibri" w:cs="Calibri" w:eastAsia="Calibri" w:hAnsi="Calibri"/>
                <w:sz w:val="14"/>
                <w:szCs w:val="14"/>
                <w:b w:val="1"/>
                <w:bCs w:val="1"/>
                <w:color w:val="auto"/>
              </w:rPr>
              <w:t>2024</w:t>
            </w:r>
          </w:p>
        </w:tc>
        <w:tc>
          <w:tcPr>
            <w:tcW w:w="140" w:type="dxa"/>
            <w:vAlign w:val="bottom"/>
          </w:tcPr>
          <w:p>
            <w:pPr>
              <w:spacing w:after="0"/>
              <w:rPr>
                <w:sz w:val="14"/>
                <w:szCs w:val="14"/>
                <w:color w:val="auto"/>
              </w:rPr>
            </w:pPr>
          </w:p>
        </w:tc>
        <w:tc>
          <w:tcPr>
            <w:tcW w:w="1000" w:type="dxa"/>
            <w:vAlign w:val="bottom"/>
          </w:tcPr>
          <w:p>
            <w:pPr>
              <w:jc w:val="right"/>
              <w:ind w:right="353"/>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000" w:type="dxa"/>
            <w:vAlign w:val="bottom"/>
          </w:tcPr>
          <w:p>
            <w:pPr>
              <w:jc w:val="right"/>
              <w:ind w:right="333"/>
              <w:spacing w:after="0" w:line="164" w:lineRule="exact"/>
              <w:rPr>
                <w:sz w:val="20"/>
                <w:szCs w:val="20"/>
                <w:color w:val="auto"/>
              </w:rPr>
            </w:pPr>
            <w:r>
              <w:rPr>
                <w:rFonts w:ascii="Calibri" w:cs="Calibri" w:eastAsia="Calibri" w:hAnsi="Calibri"/>
                <w:sz w:val="14"/>
                <w:szCs w:val="14"/>
                <w:b w:val="1"/>
                <w:bCs w:val="1"/>
                <w:color w:val="auto"/>
              </w:rPr>
              <w:t>2024</w:t>
            </w:r>
          </w:p>
        </w:tc>
        <w:tc>
          <w:tcPr>
            <w:tcW w:w="140" w:type="dxa"/>
            <w:vAlign w:val="bottom"/>
          </w:tcPr>
          <w:p>
            <w:pPr>
              <w:spacing w:after="0"/>
              <w:rPr>
                <w:sz w:val="14"/>
                <w:szCs w:val="14"/>
                <w:color w:val="auto"/>
              </w:rPr>
            </w:pPr>
          </w:p>
        </w:tc>
        <w:tc>
          <w:tcPr>
            <w:tcW w:w="1020" w:type="dxa"/>
            <w:vAlign w:val="bottom"/>
          </w:tcPr>
          <w:p>
            <w:pPr>
              <w:jc w:val="right"/>
              <w:ind w:right="353"/>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43"/>
        </w:trPr>
        <w:tc>
          <w:tcPr>
            <w:tcW w:w="3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line="156" w:lineRule="exact"/>
              <w:rPr>
                <w:sz w:val="20"/>
                <w:szCs w:val="20"/>
                <w:color w:val="auto"/>
              </w:rPr>
            </w:pPr>
            <w:r>
              <w:rPr>
                <w:rFonts w:ascii="Calibri" w:cs="Calibri" w:eastAsia="Calibri" w:hAnsi="Calibri"/>
                <w:sz w:val="14"/>
                <w:szCs w:val="14"/>
                <w:color w:val="auto"/>
              </w:rPr>
              <w:t>Foreign currency forward exchange contracts</w:t>
            </w:r>
          </w:p>
        </w:tc>
        <w:tc>
          <w:tcPr>
            <w:tcW w:w="1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Designated as cash fow hedges</w:t>
            </w:r>
          </w:p>
        </w:tc>
        <w:tc>
          <w:tcPr>
            <w:tcW w:w="17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Prepaid expenses and other $</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8</w:t>
            </w:r>
          </w:p>
        </w:tc>
        <w:tc>
          <w:tcPr>
            <w:tcW w:w="1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12</w:t>
            </w:r>
          </w:p>
        </w:tc>
        <w:tc>
          <w:tcPr>
            <w:tcW w:w="100" w:type="dxa"/>
            <w:vAlign w:val="bottom"/>
            <w:shd w:val="clear" w:color="auto" w:fill="CCEEFF"/>
          </w:tcPr>
          <w:p>
            <w:pPr>
              <w:spacing w:after="0"/>
              <w:rPr>
                <w:sz w:val="10"/>
                <w:szCs w:val="10"/>
                <w:color w:val="auto"/>
              </w:rPr>
            </w:pPr>
          </w:p>
        </w:tc>
        <w:tc>
          <w:tcPr>
            <w:tcW w:w="1780" w:type="dxa"/>
            <w:vAlign w:val="bottom"/>
            <w:shd w:val="clear" w:color="auto" w:fill="CCEEFF"/>
          </w:tcPr>
          <w:p>
            <w:pPr>
              <w:jc w:val="right"/>
              <w:ind w:right="54"/>
              <w:spacing w:after="0" w:line="116" w:lineRule="exact"/>
              <w:rPr>
                <w:sz w:val="20"/>
                <w:szCs w:val="20"/>
                <w:color w:val="auto"/>
              </w:rPr>
            </w:pPr>
            <w:r>
              <w:rPr>
                <w:rFonts w:ascii="Calibri" w:cs="Calibri" w:eastAsia="Calibri" w:hAnsi="Calibri"/>
                <w:sz w:val="11"/>
                <w:szCs w:val="11"/>
                <w:color w:val="auto"/>
              </w:rPr>
              <w:t>Accounts payable and</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45</w:t>
            </w:r>
          </w:p>
        </w:tc>
        <w:tc>
          <w:tcPr>
            <w:tcW w:w="1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32</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vMerge w:val="continue"/>
            <w:shd w:val="clear" w:color="auto" w:fill="CCEEFF"/>
          </w:tcPr>
          <w:p>
            <w:pPr>
              <w:spacing w:after="0"/>
              <w:rPr>
                <w:sz w:val="16"/>
                <w:szCs w:val="16"/>
                <w:color w:val="auto"/>
              </w:rPr>
            </w:pPr>
          </w:p>
        </w:tc>
        <w:tc>
          <w:tcPr>
            <w:tcW w:w="1780" w:type="dxa"/>
            <w:vAlign w:val="bottom"/>
            <w:tcBorders>
              <w:bottom w:val="single" w:sz="8" w:color="CCEEFF"/>
            </w:tcBorders>
            <w:vMerge w:val="continue"/>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accrued liabilites $</w:t>
            </w: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260" w:type="dxa"/>
            <w:vAlign w:val="bottom"/>
            <w:vMerge w:val="restart"/>
          </w:tcPr>
          <w:p>
            <w:pPr>
              <w:ind w:left="220"/>
              <w:spacing w:after="0"/>
              <w:rPr>
                <w:sz w:val="20"/>
                <w:szCs w:val="20"/>
                <w:color w:val="auto"/>
              </w:rPr>
            </w:pPr>
            <w:r>
              <w:rPr>
                <w:rFonts w:ascii="Calibri" w:cs="Calibri" w:eastAsia="Calibri" w:hAnsi="Calibri"/>
                <w:sz w:val="14"/>
                <w:szCs w:val="14"/>
                <w:color w:val="auto"/>
              </w:rPr>
              <w:t>Designated as net investment hedges</w:t>
            </w:r>
          </w:p>
        </w:tc>
        <w:tc>
          <w:tcPr>
            <w:tcW w:w="178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Prepaid expenses and other</w:t>
            </w: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12</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13</w:t>
            </w:r>
          </w:p>
        </w:tc>
        <w:tc>
          <w:tcPr>
            <w:tcW w:w="100" w:type="dxa"/>
            <w:vAlign w:val="bottom"/>
          </w:tcPr>
          <w:p>
            <w:pPr>
              <w:spacing w:after="0"/>
              <w:rPr>
                <w:sz w:val="10"/>
                <w:szCs w:val="10"/>
                <w:color w:val="auto"/>
              </w:rPr>
            </w:pPr>
          </w:p>
        </w:tc>
        <w:tc>
          <w:tcPr>
            <w:tcW w:w="1780" w:type="dxa"/>
            <w:vAlign w:val="bottom"/>
          </w:tcPr>
          <w:p>
            <w:pPr>
              <w:jc w:val="right"/>
              <w:ind w:right="54"/>
              <w:spacing w:after="0" w:line="116" w:lineRule="exact"/>
              <w:rPr>
                <w:sz w:val="20"/>
                <w:szCs w:val="20"/>
                <w:color w:val="auto"/>
              </w:rPr>
            </w:pPr>
            <w:r>
              <w:rPr>
                <w:rFonts w:ascii="Calibri" w:cs="Calibri" w:eastAsia="Calibri" w:hAnsi="Calibri"/>
                <w:sz w:val="11"/>
                <w:szCs w:val="11"/>
                <w:color w:val="auto"/>
              </w:rPr>
              <w:t>Accounts payable and</w:t>
            </w: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32</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4"/>
                <w:szCs w:val="14"/>
                <w:color w:val="auto"/>
              </w:rPr>
              <w:t>66</w:t>
            </w:r>
          </w:p>
        </w:tc>
        <w:tc>
          <w:tcPr>
            <w:tcW w:w="0" w:type="dxa"/>
            <w:vAlign w:val="bottom"/>
          </w:tcPr>
          <w:p>
            <w:pPr>
              <w:spacing w:after="0"/>
              <w:rPr>
                <w:sz w:val="1"/>
                <w:szCs w:val="1"/>
                <w:color w:val="auto"/>
              </w:rPr>
            </w:pPr>
          </w:p>
        </w:tc>
      </w:tr>
      <w:tr>
        <w:trPr>
          <w:trHeight w:val="163"/>
        </w:trPr>
        <w:tc>
          <w:tcPr>
            <w:tcW w:w="3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ind w:right="54"/>
              <w:spacing w:after="0" w:line="164" w:lineRule="exact"/>
              <w:rPr>
                <w:sz w:val="20"/>
                <w:szCs w:val="20"/>
                <w:color w:val="auto"/>
              </w:rPr>
            </w:pPr>
            <w:r>
              <w:rPr>
                <w:rFonts w:ascii="Calibri" w:cs="Calibri" w:eastAsia="Calibri" w:hAnsi="Calibri"/>
                <w:sz w:val="14"/>
                <w:szCs w:val="14"/>
                <w:color w:val="auto"/>
              </w:rPr>
              <w:t>accrued liabilites</w:t>
            </w: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CCEEFF"/>
            </w:tcBorders>
            <w:shd w:val="clear" w:color="auto" w:fill="CCEEFF"/>
          </w:tcPr>
          <w:p>
            <w:pPr>
              <w:ind w:left="220"/>
              <w:spacing w:after="0" w:line="164" w:lineRule="exact"/>
              <w:rPr>
                <w:sz w:val="20"/>
                <w:szCs w:val="20"/>
                <w:color w:val="auto"/>
              </w:rPr>
            </w:pPr>
            <w:r>
              <w:rPr>
                <w:rFonts w:ascii="Calibri" w:cs="Calibri" w:eastAsia="Calibri" w:hAnsi="Calibri"/>
                <w:sz w:val="14"/>
                <w:szCs w:val="14"/>
                <w:color w:val="auto"/>
              </w:rPr>
              <w:t>Designated as net investment hedges</w:t>
            </w:r>
          </w:p>
        </w:tc>
        <w:tc>
          <w:tcPr>
            <w:tcW w:w="1780" w:type="dxa"/>
            <w:vAlign w:val="bottom"/>
            <w:tcBorders>
              <w:bottom w:val="single" w:sz="8" w:color="CCEEFF"/>
            </w:tcBorders>
            <w:shd w:val="clear" w:color="auto" w:fill="CCEEFF"/>
          </w:tcPr>
          <w:p>
            <w:pPr>
              <w:jc w:val="right"/>
              <w:ind w:right="51"/>
              <w:spacing w:after="0" w:line="164" w:lineRule="exact"/>
              <w:rPr>
                <w:sz w:val="20"/>
                <w:szCs w:val="20"/>
                <w:color w:val="auto"/>
              </w:rPr>
            </w:pPr>
            <w:r>
              <w:rPr>
                <w:rFonts w:ascii="Calibri" w:cs="Calibri" w:eastAsia="Calibri" w:hAnsi="Calibri"/>
                <w:sz w:val="14"/>
                <w:szCs w:val="14"/>
                <w:color w:val="auto"/>
              </w:rPr>
              <w:t>Other assets</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line="164" w:lineRule="exact"/>
              <w:rPr>
                <w:sz w:val="20"/>
                <w:szCs w:val="20"/>
                <w:color w:val="auto"/>
              </w:rPr>
            </w:pPr>
            <w:r>
              <w:rPr>
                <w:rFonts w:ascii="Calibri" w:cs="Calibri" w:eastAsia="Calibri" w:hAnsi="Calibri"/>
                <w:sz w:val="14"/>
                <w:szCs w:val="14"/>
                <w:color w:val="auto"/>
              </w:rPr>
              <w:t>—</w:t>
            </w:r>
          </w:p>
        </w:tc>
        <w:tc>
          <w:tcPr>
            <w:tcW w:w="1780" w:type="dxa"/>
            <w:vAlign w:val="bottom"/>
            <w:tcBorders>
              <w:bottom w:val="single" w:sz="8" w:color="CCEEFF"/>
            </w:tcBorders>
            <w:shd w:val="clear" w:color="auto" w:fill="CCEEFF"/>
          </w:tcPr>
          <w:p>
            <w:pPr>
              <w:jc w:val="right"/>
              <w:ind w:right="54"/>
              <w:spacing w:after="0" w:line="164" w:lineRule="exact"/>
              <w:rPr>
                <w:sz w:val="20"/>
                <w:szCs w:val="20"/>
                <w:color w:val="auto"/>
              </w:rPr>
            </w:pPr>
            <w:r>
              <w:rPr>
                <w:rFonts w:ascii="Calibri" w:cs="Calibri" w:eastAsia="Calibri" w:hAnsi="Calibri"/>
                <w:sz w:val="14"/>
                <w:szCs w:val="14"/>
                <w:color w:val="auto"/>
              </w:rPr>
              <w:t>Other long-term liabilites</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108</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69</w:t>
            </w:r>
          </w:p>
        </w:tc>
        <w:tc>
          <w:tcPr>
            <w:tcW w:w="0" w:type="dxa"/>
            <w:vAlign w:val="bottom"/>
          </w:tcPr>
          <w:p>
            <w:pPr>
              <w:spacing w:after="0"/>
              <w:rPr>
                <w:sz w:val="1"/>
                <w:szCs w:val="1"/>
                <w:color w:val="auto"/>
              </w:rPr>
            </w:pPr>
          </w:p>
        </w:tc>
      </w:tr>
      <w:tr>
        <w:trPr>
          <w:trHeight w:val="116"/>
        </w:trPr>
        <w:tc>
          <w:tcPr>
            <w:tcW w:w="3260" w:type="dxa"/>
            <w:vAlign w:val="bottom"/>
            <w:vMerge w:val="restart"/>
          </w:tcPr>
          <w:p>
            <w:pPr>
              <w:ind w:left="220"/>
              <w:spacing w:after="0"/>
              <w:rPr>
                <w:sz w:val="20"/>
                <w:szCs w:val="20"/>
                <w:color w:val="auto"/>
              </w:rPr>
            </w:pPr>
            <w:r>
              <w:rPr>
                <w:rFonts w:ascii="Calibri" w:cs="Calibri" w:eastAsia="Calibri" w:hAnsi="Calibri"/>
                <w:sz w:val="14"/>
                <w:szCs w:val="14"/>
                <w:color w:val="auto"/>
              </w:rPr>
              <w:t>Not designated as hedges</w:t>
            </w:r>
          </w:p>
        </w:tc>
        <w:tc>
          <w:tcPr>
            <w:tcW w:w="178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Prepaid expenses and other</w:t>
            </w: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24</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41</w:t>
            </w:r>
          </w:p>
        </w:tc>
        <w:tc>
          <w:tcPr>
            <w:tcW w:w="100" w:type="dxa"/>
            <w:vAlign w:val="bottom"/>
          </w:tcPr>
          <w:p>
            <w:pPr>
              <w:spacing w:after="0"/>
              <w:rPr>
                <w:sz w:val="10"/>
                <w:szCs w:val="10"/>
                <w:color w:val="auto"/>
              </w:rPr>
            </w:pPr>
          </w:p>
        </w:tc>
        <w:tc>
          <w:tcPr>
            <w:tcW w:w="1780" w:type="dxa"/>
            <w:vAlign w:val="bottom"/>
          </w:tcPr>
          <w:p>
            <w:pPr>
              <w:jc w:val="right"/>
              <w:ind w:right="54"/>
              <w:spacing w:after="0" w:line="116" w:lineRule="exact"/>
              <w:rPr>
                <w:sz w:val="20"/>
                <w:szCs w:val="20"/>
                <w:color w:val="auto"/>
              </w:rPr>
            </w:pPr>
            <w:r>
              <w:rPr>
                <w:rFonts w:ascii="Calibri" w:cs="Calibri" w:eastAsia="Calibri" w:hAnsi="Calibri"/>
                <w:sz w:val="11"/>
                <w:szCs w:val="11"/>
                <w:color w:val="auto"/>
              </w:rPr>
              <w:t>Accounts payable and</w:t>
            </w: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17</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4"/>
                <w:szCs w:val="14"/>
                <w:color w:val="auto"/>
              </w:rPr>
              <w:t>36</w:t>
            </w:r>
          </w:p>
        </w:tc>
        <w:tc>
          <w:tcPr>
            <w:tcW w:w="0" w:type="dxa"/>
            <w:vAlign w:val="bottom"/>
          </w:tcPr>
          <w:p>
            <w:pPr>
              <w:spacing w:after="0"/>
              <w:rPr>
                <w:sz w:val="1"/>
                <w:szCs w:val="1"/>
                <w:color w:val="auto"/>
              </w:rPr>
            </w:pPr>
          </w:p>
        </w:tc>
      </w:tr>
      <w:tr>
        <w:trPr>
          <w:trHeight w:val="163"/>
        </w:trPr>
        <w:tc>
          <w:tcPr>
            <w:tcW w:w="3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ind w:right="54"/>
              <w:spacing w:after="0" w:line="164" w:lineRule="exact"/>
              <w:rPr>
                <w:sz w:val="20"/>
                <w:szCs w:val="20"/>
                <w:color w:val="auto"/>
              </w:rPr>
            </w:pPr>
            <w:r>
              <w:rPr>
                <w:rFonts w:ascii="Calibri" w:cs="Calibri" w:eastAsia="Calibri" w:hAnsi="Calibri"/>
                <w:sz w:val="14"/>
                <w:szCs w:val="14"/>
                <w:color w:val="auto"/>
              </w:rPr>
              <w:t>accrued liabilites</w:t>
            </w: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Interest rate swap contracts</w:t>
            </w:r>
          </w:p>
        </w:tc>
        <w:tc>
          <w:tcPr>
            <w:tcW w:w="17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220"/>
              <w:spacing w:after="0" w:line="164" w:lineRule="exact"/>
              <w:rPr>
                <w:sz w:val="20"/>
                <w:szCs w:val="20"/>
                <w:color w:val="auto"/>
              </w:rPr>
            </w:pPr>
            <w:r>
              <w:rPr>
                <w:rFonts w:ascii="Calibri" w:cs="Calibri" w:eastAsia="Calibri" w:hAnsi="Calibri"/>
                <w:sz w:val="14"/>
                <w:szCs w:val="14"/>
                <w:color w:val="auto"/>
              </w:rPr>
              <w:t>Designated as fair value hedges</w:t>
            </w:r>
          </w:p>
        </w:tc>
        <w:tc>
          <w:tcPr>
            <w:tcW w:w="1780" w:type="dxa"/>
            <w:vAlign w:val="bottom"/>
          </w:tcPr>
          <w:p>
            <w:pPr>
              <w:jc w:val="right"/>
              <w:ind w:right="51"/>
              <w:spacing w:after="0" w:line="164" w:lineRule="exact"/>
              <w:rPr>
                <w:sz w:val="20"/>
                <w:szCs w:val="20"/>
                <w:color w:val="auto"/>
              </w:rPr>
            </w:pPr>
            <w:r>
              <w:rPr>
                <w:rFonts w:ascii="Calibri" w:cs="Calibri" w:eastAsia="Calibri" w:hAnsi="Calibri"/>
                <w:sz w:val="14"/>
                <w:szCs w:val="14"/>
                <w:color w:val="auto"/>
              </w:rPr>
              <w:t>Other assets</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54"/>
              <w:spacing w:after="0" w:line="164" w:lineRule="exact"/>
              <w:rPr>
                <w:sz w:val="20"/>
                <w:szCs w:val="20"/>
                <w:color w:val="auto"/>
              </w:rPr>
            </w:pPr>
            <w:r>
              <w:rPr>
                <w:rFonts w:ascii="Calibri" w:cs="Calibri" w:eastAsia="Calibri" w:hAnsi="Calibri"/>
                <w:sz w:val="14"/>
                <w:szCs w:val="14"/>
                <w:color w:val="auto"/>
              </w:rPr>
              <w:t>Other long-term liabilites</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244</w:t>
            </w:r>
          </w:p>
        </w:tc>
        <w:tc>
          <w:tcPr>
            <w:tcW w:w="14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color w:val="auto"/>
              </w:rPr>
              <w:t>293</w:t>
            </w:r>
          </w:p>
        </w:tc>
        <w:tc>
          <w:tcPr>
            <w:tcW w:w="0" w:type="dxa"/>
            <w:vAlign w:val="bottom"/>
          </w:tcPr>
          <w:p>
            <w:pPr>
              <w:spacing w:after="0"/>
              <w:rPr>
                <w:sz w:val="1"/>
                <w:szCs w:val="1"/>
                <w:color w:val="auto"/>
              </w:rPr>
            </w:pPr>
          </w:p>
        </w:tc>
      </w:tr>
      <w:tr>
        <w:trPr>
          <w:trHeight w:val="30"/>
        </w:trPr>
        <w:tc>
          <w:tcPr>
            <w:tcW w:w="3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6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Total derivatves</w:t>
            </w:r>
          </w:p>
        </w:tc>
        <w:tc>
          <w:tcPr>
            <w:tcW w:w="17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44</w:t>
            </w:r>
          </w:p>
        </w:tc>
        <w:tc>
          <w:tcPr>
            <w:tcW w:w="14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446</w:t>
            </w:r>
          </w:p>
        </w:tc>
        <w:tc>
          <w:tcPr>
            <w:tcW w:w="14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496</w:t>
            </w:r>
          </w:p>
        </w:tc>
        <w:tc>
          <w:tcPr>
            <w:tcW w:w="0" w:type="dxa"/>
            <w:vAlign w:val="bottom"/>
          </w:tcPr>
          <w:p>
            <w:pPr>
              <w:spacing w:after="0"/>
              <w:rPr>
                <w:sz w:val="1"/>
                <w:szCs w:val="1"/>
                <w:color w:val="auto"/>
              </w:rPr>
            </w:pPr>
          </w:p>
        </w:tc>
      </w:tr>
      <w:tr>
        <w:trPr>
          <w:trHeight w:val="20"/>
        </w:trPr>
        <w:tc>
          <w:tcPr>
            <w:tcW w:w="3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37" w:lineRule="auto"/>
        <w:rPr>
          <w:sz w:val="20"/>
          <w:szCs w:val="20"/>
          <w:color w:val="auto"/>
        </w:rPr>
      </w:pPr>
      <w:r>
        <w:rPr>
          <w:rFonts w:ascii="Calibri" w:cs="Calibri" w:eastAsia="Calibri" w:hAnsi="Calibri"/>
          <w:sz w:val="17"/>
          <w:szCs w:val="17"/>
          <w:color w:val="auto"/>
        </w:rPr>
        <w:t>While certain derivatves are subject to netng arrangements with the company’s counterpartes, the company does not ofset derivatve assets and liabilites within the condensed consolidated balance sheets.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presents the pre-tax amounts of gains (losses) from derivatve instruments recognized in other comprehensive income (loss):</w:t>
      </w:r>
    </w:p>
    <w:tbl>
      <w:tblPr>
        <w:tblLayout w:type="fixed"/>
        <w:tblInd w:w="0" w:type="dxa"/>
        <w:tblCellMar>
          <w:top w:w="0" w:type="dxa"/>
          <w:left w:w="0" w:type="dxa"/>
          <w:bottom w:w="0" w:type="dxa"/>
          <w:right w:w="0" w:type="dxa"/>
        </w:tblCellMar>
      </w:tblPr>
      <w:tr>
        <w:trPr>
          <w:trHeight w:val="164"/>
        </w:trPr>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right="320"/>
              <w:spacing w:after="0" w:line="164" w:lineRule="exact"/>
              <w:rPr>
                <w:sz w:val="20"/>
                <w:szCs w:val="20"/>
                <w:color w:val="auto"/>
              </w:rPr>
            </w:pPr>
            <w:r>
              <w:rPr>
                <w:rFonts w:ascii="Calibri" w:cs="Calibri" w:eastAsia="Calibri" w:hAnsi="Calibri"/>
                <w:sz w:val="14"/>
                <w:szCs w:val="14"/>
                <w:b w:val="1"/>
                <w:bCs w:val="1"/>
                <w:color w:val="auto"/>
                <w:w w:val="97"/>
              </w:rPr>
              <w:t>Three months ended</w:t>
            </w:r>
          </w:p>
        </w:tc>
        <w:tc>
          <w:tcPr>
            <w:tcW w:w="220" w:type="dxa"/>
            <w:vAlign w:val="bottom"/>
          </w:tcPr>
          <w:p>
            <w:pPr>
              <w:spacing w:after="0"/>
              <w:rPr>
                <w:sz w:val="14"/>
                <w:szCs w:val="14"/>
                <w:color w:val="auto"/>
              </w:rPr>
            </w:pPr>
          </w:p>
        </w:tc>
        <w:tc>
          <w:tcPr>
            <w:tcW w:w="1640" w:type="dxa"/>
            <w:vAlign w:val="bottom"/>
            <w:gridSpan w:val="3"/>
          </w:tcPr>
          <w:p>
            <w:pPr>
              <w:jc w:val="right"/>
              <w:ind w:right="278"/>
              <w:spacing w:after="0" w:line="164" w:lineRule="exact"/>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right="300"/>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220" w:type="dxa"/>
            <w:vAlign w:val="bottom"/>
          </w:tcPr>
          <w:p>
            <w:pPr>
              <w:spacing w:after="0"/>
              <w:rPr>
                <w:sz w:val="14"/>
                <w:szCs w:val="14"/>
                <w:color w:val="auto"/>
              </w:rPr>
            </w:pPr>
          </w:p>
        </w:tc>
        <w:tc>
          <w:tcPr>
            <w:tcW w:w="1640" w:type="dxa"/>
            <w:vAlign w:val="bottom"/>
            <w:gridSpan w:val="3"/>
          </w:tcPr>
          <w:p>
            <w:pPr>
              <w:jc w:val="right"/>
              <w:ind w:right="418"/>
              <w:spacing w:after="0" w:line="164" w:lineRule="exact"/>
              <w:rPr>
                <w:sz w:val="20"/>
                <w:szCs w:val="20"/>
                <w:color w:val="auto"/>
              </w:rPr>
            </w:pPr>
            <w:r>
              <w:rPr>
                <w:rFonts w:ascii="Calibri" w:cs="Calibri" w:eastAsia="Calibri" w:hAnsi="Calibri"/>
                <w:sz w:val="14"/>
                <w:szCs w:val="14"/>
                <w:b w:val="1"/>
                <w:bCs w:val="1"/>
                <w:color w:val="auto"/>
              </w:rPr>
              <w:t>September 30,</w:t>
            </w:r>
          </w:p>
        </w:tc>
        <w:tc>
          <w:tcPr>
            <w:tcW w:w="0" w:type="dxa"/>
            <w:vAlign w:val="bottom"/>
          </w:tcPr>
          <w:p>
            <w:pPr>
              <w:spacing w:after="0"/>
              <w:rPr>
                <w:sz w:val="1"/>
                <w:szCs w:val="1"/>
                <w:color w:val="auto"/>
              </w:rPr>
            </w:pPr>
          </w:p>
        </w:tc>
      </w:tr>
      <w:tr>
        <w:trPr>
          <w:trHeight w:val="43"/>
        </w:trPr>
        <w:tc>
          <w:tcPr>
            <w:tcW w:w="74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83"/>
              <w:spacing w:after="0" w:line="156"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3"/>
                <w:szCs w:val="13"/>
                <w:color w:val="auto"/>
              </w:rPr>
            </w:pPr>
          </w:p>
        </w:tc>
        <w:tc>
          <w:tcPr>
            <w:tcW w:w="660" w:type="dxa"/>
            <w:vAlign w:val="bottom"/>
          </w:tcPr>
          <w:p>
            <w:pPr>
              <w:jc w:val="right"/>
              <w:ind w:right="218"/>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83"/>
              <w:spacing w:after="0" w:line="156"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3"/>
                <w:szCs w:val="13"/>
                <w:color w:val="auto"/>
              </w:rPr>
            </w:pPr>
          </w:p>
        </w:tc>
        <w:tc>
          <w:tcPr>
            <w:tcW w:w="680" w:type="dxa"/>
            <w:vAlign w:val="bottom"/>
          </w:tcPr>
          <w:p>
            <w:pPr>
              <w:jc w:val="right"/>
              <w:ind w:right="218"/>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7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420" w:type="dxa"/>
            <w:vAlign w:val="bottom"/>
          </w:tcPr>
          <w:p>
            <w:pPr>
              <w:ind w:left="20"/>
              <w:spacing w:after="0" w:line="205" w:lineRule="exact"/>
              <w:rPr>
                <w:sz w:val="20"/>
                <w:szCs w:val="20"/>
                <w:color w:val="auto"/>
              </w:rPr>
            </w:pPr>
            <w:r>
              <w:rPr>
                <w:rFonts w:ascii="Calibri" w:cs="Calibri" w:eastAsia="Calibri" w:hAnsi="Calibri"/>
                <w:sz w:val="17"/>
                <w:szCs w:val="17"/>
                <w:color w:val="auto"/>
              </w:rPr>
              <w:t>Foreign currency forward exchange contracts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20"/>
              <w:spacing w:after="0"/>
              <w:rPr>
                <w:sz w:val="20"/>
                <w:szCs w:val="20"/>
                <w:color w:val="auto"/>
              </w:rPr>
            </w:pPr>
            <w:r>
              <w:rPr>
                <w:rFonts w:ascii="Calibri" w:cs="Calibri" w:eastAsia="Calibri" w:hAnsi="Calibri"/>
                <w:sz w:val="17"/>
                <w:szCs w:val="17"/>
                <w:color w:val="auto"/>
              </w:rPr>
              <w:t>Designated as cash fow hedges</w:t>
            </w:r>
          </w:p>
        </w:tc>
        <w:tc>
          <w:tcPr>
            <w:tcW w:w="220" w:type="dxa"/>
            <w:vAlign w:val="bottom"/>
            <w:shd w:val="clear" w:color="auto" w:fill="CCEEFF"/>
          </w:tcPr>
          <w:p>
            <w:pPr>
              <w:jc w:val="right"/>
              <w:ind w:right="14"/>
              <w:spacing w:after="0"/>
              <w:rPr>
                <w:sz w:val="20"/>
                <w:szCs w:val="20"/>
                <w:color w:val="auto"/>
              </w:rPr>
            </w:pPr>
            <w:r>
              <w:rPr>
                <w:rFonts w:ascii="Calibri" w:cs="Calibri" w:eastAsia="Calibri" w:hAnsi="Calibri"/>
                <w:sz w:val="17"/>
                <w:szCs w:val="17"/>
                <w:color w:val="auto"/>
              </w:rPr>
              <w:t>$</w:t>
            </w:r>
          </w:p>
        </w:tc>
        <w:tc>
          <w:tcPr>
            <w:tcW w:w="720" w:type="dxa"/>
            <w:vAlign w:val="bottom"/>
            <w:shd w:val="clear" w:color="auto" w:fill="CCEEFF"/>
          </w:tcPr>
          <w:p>
            <w:pPr>
              <w:jc w:val="right"/>
              <w:ind w:right="3"/>
              <w:spacing w:after="0"/>
              <w:rPr>
                <w:sz w:val="20"/>
                <w:szCs w:val="20"/>
                <w:color w:val="auto"/>
              </w:rPr>
            </w:pPr>
            <w:r>
              <w:rPr>
                <w:rFonts w:ascii="Calibri" w:cs="Calibri" w:eastAsia="Calibri" w:hAnsi="Calibri"/>
                <w:sz w:val="17"/>
                <w:szCs w:val="17"/>
                <w:color w:val="auto"/>
              </w:rPr>
              <w:t>(45)</w:t>
            </w:r>
          </w:p>
        </w:tc>
        <w:tc>
          <w:tcPr>
            <w:tcW w:w="260" w:type="dxa"/>
            <w:vAlign w:val="bottom"/>
            <w:shd w:val="clear" w:color="auto" w:fill="CCEEFF"/>
          </w:tcPr>
          <w:p>
            <w:pPr>
              <w:jc w:val="right"/>
              <w:ind w:right="14"/>
              <w:spacing w:after="0"/>
              <w:rPr>
                <w:sz w:val="20"/>
                <w:szCs w:val="20"/>
                <w:color w:val="auto"/>
              </w:rPr>
            </w:pPr>
            <w:r>
              <w:rPr>
                <w:rFonts w:ascii="Calibri" w:cs="Calibri" w:eastAsia="Calibri" w:hAnsi="Calibri"/>
                <w:sz w:val="17"/>
                <w:szCs w:val="17"/>
                <w:color w:val="auto"/>
              </w:rPr>
              <w:t>$</w:t>
            </w:r>
          </w:p>
        </w:tc>
        <w:tc>
          <w:tcPr>
            <w:tcW w:w="6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Calibri" w:cs="Calibri" w:eastAsia="Calibri" w:hAnsi="Calibri"/>
                <w:sz w:val="17"/>
                <w:szCs w:val="17"/>
                <w:color w:val="auto"/>
              </w:rPr>
              <w:t>$</w:t>
            </w:r>
          </w:p>
        </w:tc>
        <w:tc>
          <w:tcPr>
            <w:tcW w:w="720" w:type="dxa"/>
            <w:vAlign w:val="bottom"/>
            <w:shd w:val="clear" w:color="auto" w:fill="CCEEFF"/>
          </w:tcPr>
          <w:p>
            <w:pPr>
              <w:jc w:val="right"/>
              <w:ind w:right="43"/>
              <w:spacing w:after="0"/>
              <w:rPr>
                <w:sz w:val="20"/>
                <w:szCs w:val="20"/>
                <w:color w:val="auto"/>
              </w:rPr>
            </w:pPr>
            <w:r>
              <w:rPr>
                <w:rFonts w:ascii="Calibri" w:cs="Calibri" w:eastAsia="Calibri" w:hAnsi="Calibri"/>
                <w:sz w:val="17"/>
                <w:szCs w:val="17"/>
                <w:color w:val="auto"/>
              </w:rPr>
              <w:t>30</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6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81</w:t>
            </w:r>
          </w:p>
        </w:tc>
        <w:tc>
          <w:tcPr>
            <w:tcW w:w="0" w:type="dxa"/>
            <w:vAlign w:val="bottom"/>
          </w:tcPr>
          <w:p>
            <w:pPr>
              <w:spacing w:after="0"/>
              <w:rPr>
                <w:sz w:val="1"/>
                <w:szCs w:val="1"/>
                <w:color w:val="auto"/>
              </w:rPr>
            </w:pPr>
          </w:p>
        </w:tc>
      </w:tr>
      <w:tr>
        <w:trPr>
          <w:trHeight w:val="212"/>
        </w:trPr>
        <w:tc>
          <w:tcPr>
            <w:tcW w:w="7420" w:type="dxa"/>
            <w:vAlign w:val="bottom"/>
          </w:tcPr>
          <w:p>
            <w:pPr>
              <w:ind w:left="220"/>
              <w:spacing w:after="0" w:line="205" w:lineRule="exact"/>
              <w:rPr>
                <w:sz w:val="20"/>
                <w:szCs w:val="20"/>
                <w:color w:val="auto"/>
              </w:rPr>
            </w:pPr>
            <w:r>
              <w:rPr>
                <w:rFonts w:ascii="Calibri" w:cs="Calibri" w:eastAsia="Calibri" w:hAnsi="Calibri"/>
                <w:sz w:val="17"/>
                <w:szCs w:val="17"/>
                <w:color w:val="auto"/>
              </w:rPr>
              <w:t>Designated as net investment hedges</w:t>
            </w:r>
          </w:p>
        </w:tc>
        <w:tc>
          <w:tcPr>
            <w:tcW w:w="220" w:type="dxa"/>
            <w:vAlign w:val="bottom"/>
          </w:tcPr>
          <w:p>
            <w:pPr>
              <w:spacing w:after="0"/>
              <w:rPr>
                <w:sz w:val="18"/>
                <w:szCs w:val="18"/>
                <w:color w:val="auto"/>
              </w:rPr>
            </w:pPr>
          </w:p>
        </w:tc>
        <w:tc>
          <w:tcPr>
            <w:tcW w:w="720" w:type="dxa"/>
            <w:vAlign w:val="bottom"/>
          </w:tcPr>
          <w:p>
            <w:pPr>
              <w:jc w:val="right"/>
              <w:ind w:right="3"/>
              <w:spacing w:after="0" w:line="205" w:lineRule="exact"/>
              <w:rPr>
                <w:sz w:val="20"/>
                <w:szCs w:val="20"/>
                <w:color w:val="auto"/>
              </w:rPr>
            </w:pPr>
            <w:r>
              <w:rPr>
                <w:rFonts w:ascii="Calibri" w:cs="Calibri" w:eastAsia="Calibri" w:hAnsi="Calibri"/>
                <w:sz w:val="17"/>
                <w:szCs w:val="17"/>
                <w:color w:val="auto"/>
              </w:rPr>
              <w:t>(238)</w:t>
            </w:r>
          </w:p>
        </w:tc>
        <w:tc>
          <w:tcPr>
            <w:tcW w:w="260" w:type="dxa"/>
            <w:vAlign w:val="bottom"/>
          </w:tcPr>
          <w:p>
            <w:pPr>
              <w:spacing w:after="0"/>
              <w:rPr>
                <w:sz w:val="18"/>
                <w:szCs w:val="18"/>
                <w:color w:val="auto"/>
              </w:rPr>
            </w:pPr>
          </w:p>
        </w:tc>
        <w:tc>
          <w:tcPr>
            <w:tcW w:w="660" w:type="dxa"/>
            <w:vAlign w:val="bottom"/>
          </w:tcPr>
          <w:p>
            <w:pPr>
              <w:jc w:val="right"/>
              <w:spacing w:after="0" w:line="205" w:lineRule="exact"/>
              <w:rPr>
                <w:sz w:val="20"/>
                <w:szCs w:val="20"/>
                <w:color w:val="auto"/>
              </w:rPr>
            </w:pPr>
            <w:r>
              <w:rPr>
                <w:rFonts w:ascii="Calibri" w:cs="Calibri" w:eastAsia="Calibri" w:hAnsi="Calibri"/>
                <w:sz w:val="17"/>
                <w:szCs w:val="17"/>
                <w:color w:val="auto"/>
              </w:rPr>
              <w:t>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
              <w:spacing w:after="0" w:line="205" w:lineRule="exact"/>
              <w:rPr>
                <w:sz w:val="20"/>
                <w:szCs w:val="20"/>
                <w:color w:val="auto"/>
              </w:rPr>
            </w:pPr>
            <w:r>
              <w:rPr>
                <w:rFonts w:ascii="Calibri" w:cs="Calibri" w:eastAsia="Calibri" w:hAnsi="Calibri"/>
                <w:sz w:val="17"/>
                <w:szCs w:val="17"/>
                <w:color w:val="auto"/>
              </w:rPr>
              <w:t>(16)</w:t>
            </w:r>
          </w:p>
        </w:tc>
        <w:tc>
          <w:tcPr>
            <w:tcW w:w="240" w:type="dxa"/>
            <w:vAlign w:val="bottom"/>
          </w:tcPr>
          <w:p>
            <w:pPr>
              <w:spacing w:after="0"/>
              <w:rPr>
                <w:sz w:val="18"/>
                <w:szCs w:val="18"/>
                <w:color w:val="auto"/>
              </w:rPr>
            </w:pPr>
          </w:p>
        </w:tc>
        <w:tc>
          <w:tcPr>
            <w:tcW w:w="680" w:type="dxa"/>
            <w:vAlign w:val="bottom"/>
          </w:tcPr>
          <w:p>
            <w:pPr>
              <w:jc w:val="right"/>
              <w:spacing w:after="0" w:line="205" w:lineRule="exact"/>
              <w:rPr>
                <w:sz w:val="20"/>
                <w:szCs w:val="20"/>
                <w:color w:val="auto"/>
              </w:rPr>
            </w:pPr>
            <w:r>
              <w:rPr>
                <w:rFonts w:ascii="Calibri" w:cs="Calibri" w:eastAsia="Calibri" w:hAnsi="Calibri"/>
                <w:sz w:val="17"/>
                <w:szCs w:val="17"/>
                <w:color w:val="auto"/>
              </w:rPr>
              <w:t>153</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Cross-currency swap contracts designated as cash fow hedges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Calibri" w:cs="Calibri" w:eastAsia="Calibri" w:hAnsi="Calibri"/>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Calibri" w:cs="Calibri" w:eastAsia="Calibri" w:hAnsi="Calibri"/>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38" w:lineRule="auto"/>
        <w:rPr>
          <w:sz w:val="20"/>
          <w:szCs w:val="20"/>
          <w:color w:val="auto"/>
        </w:rPr>
      </w:pPr>
      <w:r>
        <w:rPr>
          <w:rFonts w:ascii="Calibri" w:cs="Calibri" w:eastAsia="Calibri" w:hAnsi="Calibri"/>
          <w:sz w:val="17"/>
          <w:szCs w:val="17"/>
          <w:color w:val="auto"/>
        </w:rPr>
        <w:t>Assuming market rates remain constant through contract maturites, the company expects to reclassify pre-tax gains of $6 million into cost of products sold for foreign currency cash fow hedges and pre-tax gains of $21 million into interest expense, net for treasury rate lock agreement cash fow hedges during the next 12 months.</w:t>
      </w:r>
    </w:p>
    <w:p>
      <w:pPr>
        <w:spacing w:after="0" w:line="143"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Related to AbbVie’s non-derivatve, foreign currency denominated debt designated as net investment hedges, the company recognized in other comprehensive income (loss) pre-tax losses of $151 million for the three months and pre-tax gains of $56 million for the nine months ended September 30, 2024 and pre-tax gains of $173 million for the three months and pre-tax gains of $47 million 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17</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9" w:name="page20"/>
    <w:bookmarkEnd w:id="19"/>
    <w:p>
      <w:pPr>
        <w:ind w:right="40"/>
        <w:spacing w:after="0" w:line="237" w:lineRule="auto"/>
        <w:rPr>
          <w:sz w:val="20"/>
          <w:szCs w:val="20"/>
          <w:color w:val="auto"/>
        </w:rPr>
      </w:pPr>
      <w:r>
        <w:rPr>
          <w:rFonts w:ascii="Calibri" w:cs="Calibri" w:eastAsia="Calibri" w:hAnsi="Calibri"/>
          <w:sz w:val="17"/>
          <w:szCs w:val="17"/>
          <w:color w:val="auto"/>
        </w:rPr>
        <w:t>The following table summarizes the pre-tax amounts and locaton of derivatve instrument net gains (losses) recognized in the condensed consolidated statements of earnings, including the net gains (losses) reclassifed out of AOCI into net earnings. See Note 10 for the amount of net gains (losses) reclassifed out of AOCI.</w:t>
      </w:r>
    </w:p>
    <w:tbl>
      <w:tblPr>
        <w:tblLayout w:type="fixed"/>
        <w:tblInd w:w="0" w:type="dxa"/>
        <w:tblCellMar>
          <w:top w:w="0" w:type="dxa"/>
          <w:left w:w="0" w:type="dxa"/>
          <w:bottom w:w="0" w:type="dxa"/>
          <w:right w:w="0" w:type="dxa"/>
        </w:tblCellMar>
      </w:tblPr>
      <w:tr>
        <w:trPr>
          <w:trHeight w:val="166"/>
        </w:trPr>
        <w:tc>
          <w:tcPr>
            <w:tcW w:w="4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ind w:left="100"/>
              <w:spacing w:after="0" w:line="166" w:lineRule="exact"/>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1460" w:type="dxa"/>
            <w:vAlign w:val="bottom"/>
            <w:gridSpan w:val="3"/>
          </w:tcPr>
          <w:p>
            <w:pPr>
              <w:ind w:left="80"/>
              <w:spacing w:after="0" w:line="166" w:lineRule="exact"/>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ind w:left="280"/>
              <w:spacing w:after="0" w:line="164" w:lineRule="exact"/>
              <w:rPr>
                <w:sz w:val="20"/>
                <w:szCs w:val="20"/>
                <w:color w:val="auto"/>
              </w:rPr>
            </w:pPr>
            <w:r>
              <w:rPr>
                <w:rFonts w:ascii="Calibri" w:cs="Calibri" w:eastAsia="Calibri" w:hAnsi="Calibri"/>
                <w:sz w:val="14"/>
                <w:szCs w:val="14"/>
                <w:b w:val="1"/>
                <w:bCs w:val="1"/>
                <w:color w:val="auto"/>
              </w:rPr>
              <w:t>September 30,</w:t>
            </w:r>
          </w:p>
        </w:tc>
        <w:tc>
          <w:tcPr>
            <w:tcW w:w="180" w:type="dxa"/>
            <w:vAlign w:val="bottom"/>
          </w:tcPr>
          <w:p>
            <w:pPr>
              <w:spacing w:after="0"/>
              <w:rPr>
                <w:sz w:val="14"/>
                <w:szCs w:val="14"/>
                <w:color w:val="auto"/>
              </w:rPr>
            </w:pPr>
          </w:p>
        </w:tc>
        <w:tc>
          <w:tcPr>
            <w:tcW w:w="1460" w:type="dxa"/>
            <w:vAlign w:val="bottom"/>
            <w:gridSpan w:val="3"/>
          </w:tcPr>
          <w:p>
            <w:pPr>
              <w:jc w:val="right"/>
              <w:ind w:right="316"/>
              <w:spacing w:after="0" w:line="164" w:lineRule="exact"/>
              <w:rPr>
                <w:sz w:val="20"/>
                <w:szCs w:val="20"/>
                <w:color w:val="auto"/>
              </w:rPr>
            </w:pPr>
            <w:r>
              <w:rPr>
                <w:rFonts w:ascii="Calibri" w:cs="Calibri" w:eastAsia="Calibri" w:hAnsi="Calibri"/>
                <w:sz w:val="14"/>
                <w:szCs w:val="14"/>
                <w:b w:val="1"/>
                <w:bCs w:val="1"/>
                <w:color w:val="auto"/>
              </w:rPr>
              <w:t>September 30,</w:t>
            </w:r>
          </w:p>
        </w:tc>
        <w:tc>
          <w:tcPr>
            <w:tcW w:w="0" w:type="dxa"/>
            <w:vAlign w:val="bottom"/>
          </w:tcPr>
          <w:p>
            <w:pPr>
              <w:spacing w:after="0"/>
              <w:rPr>
                <w:sz w:val="1"/>
                <w:szCs w:val="1"/>
                <w:color w:val="auto"/>
              </w:rPr>
            </w:pPr>
          </w:p>
        </w:tc>
      </w:tr>
      <w:tr>
        <w:trPr>
          <w:trHeight w:val="43"/>
        </w:trPr>
        <w:tc>
          <w:tcPr>
            <w:tcW w:w="48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880" w:type="dxa"/>
            <w:vAlign w:val="bottom"/>
            <w:vMerge w:val="restart"/>
          </w:tcPr>
          <w:p>
            <w:pPr>
              <w:jc w:val="right"/>
              <w:ind w:right="36"/>
              <w:spacing w:after="0"/>
              <w:rPr>
                <w:sz w:val="20"/>
                <w:szCs w:val="20"/>
                <w:color w:val="auto"/>
              </w:rPr>
            </w:pPr>
            <w:r>
              <w:rPr>
                <w:rFonts w:ascii="Calibri" w:cs="Calibri" w:eastAsia="Calibri" w:hAnsi="Calibri"/>
                <w:sz w:val="14"/>
                <w:szCs w:val="14"/>
                <w:b w:val="1"/>
                <w:bCs w:val="1"/>
                <w:color w:val="auto"/>
              </w:rPr>
              <w:t>Statement of earnings capton</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ind w:left="100"/>
              <w:spacing w:after="0" w:line="156"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3"/>
                <w:szCs w:val="13"/>
                <w:color w:val="auto"/>
              </w:rPr>
            </w:pPr>
          </w:p>
        </w:tc>
        <w:tc>
          <w:tcPr>
            <w:tcW w:w="620" w:type="dxa"/>
            <w:vAlign w:val="bottom"/>
          </w:tcPr>
          <w:p>
            <w:pPr>
              <w:jc w:val="right"/>
              <w:ind w:right="176"/>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ind w:left="80"/>
              <w:spacing w:after="0" w:line="156"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3"/>
                <w:szCs w:val="13"/>
                <w:color w:val="auto"/>
              </w:rPr>
            </w:pPr>
          </w:p>
        </w:tc>
        <w:tc>
          <w:tcPr>
            <w:tcW w:w="580" w:type="dxa"/>
            <w:vAlign w:val="bottom"/>
          </w:tcPr>
          <w:p>
            <w:pPr>
              <w:jc w:val="right"/>
              <w:ind w:right="136"/>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48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40" w:type="dxa"/>
            <w:vAlign w:val="bottom"/>
          </w:tcPr>
          <w:p>
            <w:pPr>
              <w:ind w:left="20"/>
              <w:spacing w:after="0" w:line="205" w:lineRule="exact"/>
              <w:rPr>
                <w:sz w:val="20"/>
                <w:szCs w:val="20"/>
                <w:color w:val="auto"/>
              </w:rPr>
            </w:pPr>
            <w:r>
              <w:rPr>
                <w:rFonts w:ascii="Calibri" w:cs="Calibri" w:eastAsia="Calibri" w:hAnsi="Calibri"/>
                <w:sz w:val="17"/>
                <w:szCs w:val="17"/>
                <w:color w:val="auto"/>
              </w:rPr>
              <w:t>Foreign currency forward exchange contracts</w:t>
            </w: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20"/>
              <w:spacing w:after="0"/>
              <w:rPr>
                <w:sz w:val="20"/>
                <w:szCs w:val="20"/>
                <w:color w:val="auto"/>
              </w:rPr>
            </w:pPr>
            <w:r>
              <w:rPr>
                <w:rFonts w:ascii="Calibri" w:cs="Calibri" w:eastAsia="Calibri" w:hAnsi="Calibri"/>
                <w:sz w:val="17"/>
                <w:szCs w:val="17"/>
                <w:color w:val="auto"/>
              </w:rPr>
              <w:t>Designated as cash fow hedges</w:t>
            </w:r>
          </w:p>
        </w:tc>
        <w:tc>
          <w:tcPr>
            <w:tcW w:w="3080" w:type="dxa"/>
            <w:vAlign w:val="bottom"/>
            <w:gridSpan w:val="2"/>
            <w:shd w:val="clear" w:color="auto" w:fill="CCEEFF"/>
          </w:tcPr>
          <w:p>
            <w:pPr>
              <w:ind w:left="1340"/>
              <w:spacing w:after="0"/>
              <w:rPr>
                <w:sz w:val="20"/>
                <w:szCs w:val="20"/>
                <w:color w:val="auto"/>
              </w:rPr>
            </w:pPr>
            <w:r>
              <w:rPr>
                <w:rFonts w:ascii="Calibri" w:cs="Calibri" w:eastAsia="Calibri" w:hAnsi="Calibri"/>
                <w:sz w:val="17"/>
                <w:szCs w:val="17"/>
                <w:color w:val="auto"/>
              </w:rPr>
              <w:t>Cost of products sold  $</w:t>
            </w:r>
          </w:p>
        </w:tc>
        <w:tc>
          <w:tcPr>
            <w:tcW w:w="720" w:type="dxa"/>
            <w:vAlign w:val="bottom"/>
            <w:shd w:val="clear" w:color="auto" w:fill="CCEEFF"/>
          </w:tcPr>
          <w:p>
            <w:pPr>
              <w:jc w:val="right"/>
              <w:ind w:right="39"/>
              <w:spacing w:after="0"/>
              <w:rPr>
                <w:sz w:val="20"/>
                <w:szCs w:val="20"/>
                <w:color w:val="auto"/>
              </w:rPr>
            </w:pPr>
            <w:r>
              <w:rPr>
                <w:rFonts w:ascii="Calibri" w:cs="Calibri" w:eastAsia="Calibri" w:hAnsi="Calibri"/>
                <w:sz w:val="17"/>
                <w:szCs w:val="17"/>
                <w:color w:val="auto"/>
              </w:rPr>
              <w:t>19</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w w:val="92"/>
              </w:rPr>
              <w:t>$</w:t>
            </w:r>
          </w:p>
        </w:tc>
        <w:tc>
          <w:tcPr>
            <w:tcW w:w="660" w:type="dxa"/>
            <w:vAlign w:val="bottom"/>
            <w:shd w:val="clear" w:color="auto" w:fill="CCEEFF"/>
          </w:tcPr>
          <w:p>
            <w:pPr>
              <w:jc w:val="right"/>
              <w:ind w:right="19"/>
              <w:spacing w:after="0"/>
              <w:rPr>
                <w:sz w:val="20"/>
                <w:szCs w:val="20"/>
                <w:color w:val="auto"/>
              </w:rPr>
            </w:pPr>
            <w:r>
              <w:rPr>
                <w:rFonts w:ascii="Calibri" w:cs="Calibri" w:eastAsia="Calibri" w:hAnsi="Calibri"/>
                <w:sz w:val="17"/>
                <w:szCs w:val="17"/>
                <w:color w:val="auto"/>
              </w:rPr>
              <w:t>41</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67</w:t>
            </w:r>
          </w:p>
        </w:tc>
        <w:tc>
          <w:tcPr>
            <w:tcW w:w="0" w:type="dxa"/>
            <w:vAlign w:val="bottom"/>
          </w:tcPr>
          <w:p>
            <w:pPr>
              <w:spacing w:after="0"/>
              <w:rPr>
                <w:sz w:val="1"/>
                <w:szCs w:val="1"/>
                <w:color w:val="auto"/>
              </w:rPr>
            </w:pPr>
          </w:p>
        </w:tc>
      </w:tr>
      <w:tr>
        <w:trPr>
          <w:trHeight w:val="212"/>
        </w:trPr>
        <w:tc>
          <w:tcPr>
            <w:tcW w:w="4840" w:type="dxa"/>
            <w:vAlign w:val="bottom"/>
          </w:tcPr>
          <w:p>
            <w:pPr>
              <w:ind w:left="220"/>
              <w:spacing w:after="0" w:line="205" w:lineRule="exact"/>
              <w:rPr>
                <w:sz w:val="20"/>
                <w:szCs w:val="20"/>
                <w:color w:val="auto"/>
              </w:rPr>
            </w:pPr>
            <w:r>
              <w:rPr>
                <w:rFonts w:ascii="Calibri" w:cs="Calibri" w:eastAsia="Calibri" w:hAnsi="Calibri"/>
                <w:sz w:val="17"/>
                <w:szCs w:val="17"/>
                <w:color w:val="auto"/>
              </w:rPr>
              <w:t>Designated as net investment hedges</w:t>
            </w:r>
          </w:p>
        </w:tc>
        <w:tc>
          <w:tcPr>
            <w:tcW w:w="3080" w:type="dxa"/>
            <w:vAlign w:val="bottom"/>
            <w:gridSpan w:val="2"/>
          </w:tcPr>
          <w:p>
            <w:pPr>
              <w:jc w:val="right"/>
              <w:ind w:right="320"/>
              <w:spacing w:after="0" w:line="205" w:lineRule="exact"/>
              <w:rPr>
                <w:sz w:val="20"/>
                <w:szCs w:val="20"/>
                <w:color w:val="auto"/>
              </w:rPr>
            </w:pPr>
            <w:r>
              <w:rPr>
                <w:rFonts w:ascii="Calibri" w:cs="Calibri" w:eastAsia="Calibri" w:hAnsi="Calibri"/>
                <w:sz w:val="17"/>
                <w:szCs w:val="17"/>
                <w:color w:val="auto"/>
              </w:rPr>
              <w:t>Interest expense, net</w:t>
            </w:r>
          </w:p>
        </w:tc>
        <w:tc>
          <w:tcPr>
            <w:tcW w:w="720" w:type="dxa"/>
            <w:vAlign w:val="bottom"/>
          </w:tcPr>
          <w:p>
            <w:pPr>
              <w:jc w:val="right"/>
              <w:ind w:right="39"/>
              <w:spacing w:after="0" w:line="205" w:lineRule="exact"/>
              <w:rPr>
                <w:sz w:val="20"/>
                <w:szCs w:val="20"/>
                <w:color w:val="auto"/>
              </w:rPr>
            </w:pPr>
            <w:r>
              <w:rPr>
                <w:rFonts w:ascii="Calibri" w:cs="Calibri" w:eastAsia="Calibri" w:hAnsi="Calibri"/>
                <w:sz w:val="17"/>
                <w:szCs w:val="17"/>
                <w:color w:val="auto"/>
              </w:rPr>
              <w:t>32</w:t>
            </w:r>
          </w:p>
        </w:tc>
        <w:tc>
          <w:tcPr>
            <w:tcW w:w="240" w:type="dxa"/>
            <w:vAlign w:val="bottom"/>
          </w:tcPr>
          <w:p>
            <w:pPr>
              <w:spacing w:after="0"/>
              <w:rPr>
                <w:sz w:val="18"/>
                <w:szCs w:val="18"/>
                <w:color w:val="auto"/>
              </w:rPr>
            </w:pPr>
          </w:p>
        </w:tc>
        <w:tc>
          <w:tcPr>
            <w:tcW w:w="620" w:type="dxa"/>
            <w:vAlign w:val="bottom"/>
          </w:tcPr>
          <w:p>
            <w:pPr>
              <w:jc w:val="right"/>
              <w:spacing w:after="0" w:line="205" w:lineRule="exact"/>
              <w:rPr>
                <w:sz w:val="20"/>
                <w:szCs w:val="20"/>
                <w:color w:val="auto"/>
              </w:rPr>
            </w:pPr>
            <w:r>
              <w:rPr>
                <w:rFonts w:ascii="Calibri" w:cs="Calibri" w:eastAsia="Calibri" w:hAnsi="Calibri"/>
                <w:sz w:val="17"/>
                <w:szCs w:val="17"/>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90</w:t>
            </w:r>
          </w:p>
        </w:tc>
        <w:tc>
          <w:tcPr>
            <w:tcW w:w="22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85</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20"/>
              <w:spacing w:after="0"/>
              <w:rPr>
                <w:sz w:val="20"/>
                <w:szCs w:val="20"/>
                <w:color w:val="auto"/>
              </w:rPr>
            </w:pPr>
            <w:r>
              <w:rPr>
                <w:rFonts w:ascii="Calibri" w:cs="Calibri" w:eastAsia="Calibri" w:hAnsi="Calibri"/>
                <w:sz w:val="17"/>
                <w:szCs w:val="17"/>
                <w:color w:val="auto"/>
              </w:rPr>
              <w:t>Not designated as hedges</w:t>
            </w:r>
          </w:p>
        </w:tc>
        <w:tc>
          <w:tcPr>
            <w:tcW w:w="308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7"/>
                <w:szCs w:val="17"/>
                <w:color w:val="auto"/>
              </w:rPr>
              <w:t>Net foreign exchange loss (gain)</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(30)</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(14)</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line="205" w:lineRule="exact"/>
              <w:rPr>
                <w:sz w:val="20"/>
                <w:szCs w:val="20"/>
                <w:color w:val="auto"/>
              </w:rPr>
            </w:pPr>
            <w:r>
              <w:rPr>
                <w:rFonts w:ascii="Calibri" w:cs="Calibri" w:eastAsia="Calibri" w:hAnsi="Calibri"/>
                <w:sz w:val="17"/>
                <w:szCs w:val="17"/>
                <w:color w:val="auto"/>
              </w:rPr>
              <w:t>Treasury rate lock agreements designated as cash fow hedges</w:t>
            </w:r>
          </w:p>
        </w:tc>
        <w:tc>
          <w:tcPr>
            <w:tcW w:w="3080" w:type="dxa"/>
            <w:vAlign w:val="bottom"/>
            <w:gridSpan w:val="2"/>
          </w:tcPr>
          <w:p>
            <w:pPr>
              <w:jc w:val="right"/>
              <w:ind w:right="320"/>
              <w:spacing w:after="0" w:line="205" w:lineRule="exact"/>
              <w:rPr>
                <w:sz w:val="20"/>
                <w:szCs w:val="20"/>
                <w:color w:val="auto"/>
              </w:rPr>
            </w:pPr>
            <w:r>
              <w:rPr>
                <w:rFonts w:ascii="Calibri" w:cs="Calibri" w:eastAsia="Calibri" w:hAnsi="Calibri"/>
                <w:sz w:val="17"/>
                <w:szCs w:val="17"/>
                <w:color w:val="auto"/>
              </w:rPr>
              <w:t>Interest expense, net</w:t>
            </w:r>
          </w:p>
        </w:tc>
        <w:tc>
          <w:tcPr>
            <w:tcW w:w="720" w:type="dxa"/>
            <w:vAlign w:val="bottom"/>
          </w:tcPr>
          <w:p>
            <w:pPr>
              <w:jc w:val="right"/>
              <w:ind w:right="39"/>
              <w:spacing w:after="0" w:line="205" w:lineRule="exact"/>
              <w:rPr>
                <w:sz w:val="20"/>
                <w:szCs w:val="20"/>
                <w:color w:val="auto"/>
              </w:rPr>
            </w:pPr>
            <w:r>
              <w:rPr>
                <w:rFonts w:ascii="Calibri" w:cs="Calibri" w:eastAsia="Calibri" w:hAnsi="Calibri"/>
                <w:sz w:val="17"/>
                <w:szCs w:val="17"/>
                <w:color w:val="auto"/>
              </w:rPr>
              <w:t>6</w:t>
            </w:r>
          </w:p>
        </w:tc>
        <w:tc>
          <w:tcPr>
            <w:tcW w:w="240" w:type="dxa"/>
            <w:vAlign w:val="bottom"/>
          </w:tcPr>
          <w:p>
            <w:pPr>
              <w:spacing w:after="0"/>
              <w:rPr>
                <w:sz w:val="18"/>
                <w:szCs w:val="18"/>
                <w:color w:val="auto"/>
              </w:rPr>
            </w:pPr>
          </w:p>
        </w:tc>
        <w:tc>
          <w:tcPr>
            <w:tcW w:w="620" w:type="dxa"/>
            <w:vAlign w:val="bottom"/>
          </w:tcPr>
          <w:p>
            <w:pPr>
              <w:jc w:val="right"/>
              <w:spacing w:after="0" w:line="205" w:lineRule="exact"/>
              <w:rPr>
                <w:sz w:val="20"/>
                <w:szCs w:val="20"/>
                <w:color w:val="auto"/>
              </w:rPr>
            </w:pPr>
            <w:r>
              <w:rPr>
                <w:rFonts w:ascii="Calibri" w:cs="Calibri" w:eastAsia="Calibri" w:hAnsi="Calibri"/>
                <w:sz w:val="17"/>
                <w:szCs w:val="17"/>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18</w:t>
            </w:r>
          </w:p>
        </w:tc>
        <w:tc>
          <w:tcPr>
            <w:tcW w:w="22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Cross-currency swap contracts designated as cash fow hedges</w:t>
            </w:r>
          </w:p>
        </w:tc>
        <w:tc>
          <w:tcPr>
            <w:tcW w:w="308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7"/>
                <w:szCs w:val="17"/>
                <w:color w:val="auto"/>
              </w:rPr>
              <w:t>Net foreign exchange loss (gain)</w:t>
            </w:r>
          </w:p>
        </w:tc>
        <w:tc>
          <w:tcPr>
            <w:tcW w:w="720" w:type="dxa"/>
            <w:vAlign w:val="bottom"/>
            <w:shd w:val="clear" w:color="auto" w:fill="CCEEFF"/>
          </w:tcPr>
          <w:p>
            <w:pPr>
              <w:jc w:val="right"/>
              <w:ind w:right="39"/>
              <w:spacing w:after="0"/>
              <w:rPr>
                <w:sz w:val="20"/>
                <w:szCs w:val="20"/>
                <w:color w:val="auto"/>
              </w:rPr>
            </w:pPr>
            <w:r>
              <w:rPr>
                <w:rFonts w:ascii="Calibri" w:cs="Calibri" w:eastAsia="Calibri" w:hAnsi="Calibri"/>
                <w:sz w:val="17"/>
                <w:szCs w:val="17"/>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(6)</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line="205" w:lineRule="exact"/>
              <w:rPr>
                <w:sz w:val="20"/>
                <w:szCs w:val="20"/>
                <w:color w:val="auto"/>
              </w:rPr>
            </w:pPr>
            <w:r>
              <w:rPr>
                <w:rFonts w:ascii="Calibri" w:cs="Calibri" w:eastAsia="Calibri" w:hAnsi="Calibri"/>
                <w:sz w:val="17"/>
                <w:szCs w:val="17"/>
                <w:color w:val="auto"/>
              </w:rPr>
              <w:t>Interest rate swap contracts</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20"/>
              <w:spacing w:after="0"/>
              <w:rPr>
                <w:sz w:val="20"/>
                <w:szCs w:val="20"/>
                <w:color w:val="auto"/>
              </w:rPr>
            </w:pPr>
            <w:r>
              <w:rPr>
                <w:rFonts w:ascii="Calibri" w:cs="Calibri" w:eastAsia="Calibri" w:hAnsi="Calibri"/>
                <w:sz w:val="17"/>
                <w:szCs w:val="17"/>
                <w:color w:val="auto"/>
              </w:rPr>
              <w:t>Designated as fair value hedges</w:t>
            </w:r>
          </w:p>
        </w:tc>
        <w:tc>
          <w:tcPr>
            <w:tcW w:w="308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7"/>
                <w:szCs w:val="17"/>
                <w:color w:val="auto"/>
              </w:rPr>
              <w:t>Interest expense, net</w:t>
            </w:r>
          </w:p>
        </w:tc>
        <w:tc>
          <w:tcPr>
            <w:tcW w:w="720" w:type="dxa"/>
            <w:vAlign w:val="bottom"/>
            <w:shd w:val="clear" w:color="auto" w:fill="CCEEFF"/>
          </w:tcPr>
          <w:p>
            <w:pPr>
              <w:jc w:val="right"/>
              <w:ind w:right="39"/>
              <w:spacing w:after="0"/>
              <w:rPr>
                <w:sz w:val="20"/>
                <w:szCs w:val="20"/>
                <w:color w:val="auto"/>
              </w:rPr>
            </w:pPr>
            <w:r>
              <w:rPr>
                <w:rFonts w:ascii="Calibri" w:cs="Calibri" w:eastAsia="Calibri" w:hAnsi="Calibri"/>
                <w:sz w:val="17"/>
                <w:szCs w:val="17"/>
                <w:color w:val="auto"/>
              </w:rPr>
              <w:t>60</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Calibri" w:cs="Calibri" w:eastAsia="Calibri" w:hAnsi="Calibri"/>
                <w:sz w:val="17"/>
                <w:szCs w:val="17"/>
                <w:color w:val="auto"/>
              </w:rPr>
              <w:t>49</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(44)</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Debt designated as hedged item in fair value hedges</w:t>
            </w:r>
          </w:p>
        </w:tc>
        <w:tc>
          <w:tcPr>
            <w:tcW w:w="3080" w:type="dxa"/>
            <w:vAlign w:val="bottom"/>
            <w:tcBorders>
              <w:bottom w:val="single" w:sz="8" w:color="auto"/>
            </w:tcBorders>
            <w:gridSpan w:val="2"/>
          </w:tcPr>
          <w:p>
            <w:pPr>
              <w:jc w:val="right"/>
              <w:ind w:right="320"/>
              <w:spacing w:after="0" w:line="205" w:lineRule="exact"/>
              <w:rPr>
                <w:sz w:val="20"/>
                <w:szCs w:val="20"/>
                <w:color w:val="auto"/>
              </w:rPr>
            </w:pPr>
            <w:r>
              <w:rPr>
                <w:rFonts w:ascii="Calibri" w:cs="Calibri" w:eastAsia="Calibri" w:hAnsi="Calibri"/>
                <w:sz w:val="17"/>
                <w:szCs w:val="17"/>
                <w:color w:val="auto"/>
              </w:rPr>
              <w:t>Interest expense, net</w:t>
            </w:r>
          </w:p>
        </w:tc>
        <w:tc>
          <w:tcPr>
            <w:tcW w:w="7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(49)</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44</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Fair Value Measures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The fair value hierarchy consists of the following three levels:</w:t>
      </w:r>
    </w:p>
    <w:p>
      <w:pPr>
        <w:spacing w:after="0" w:line="128" w:lineRule="exact"/>
        <w:rPr>
          <w:sz w:val="20"/>
          <w:szCs w:val="20"/>
          <w:color w:val="auto"/>
        </w:rPr>
      </w:pPr>
    </w:p>
    <w:p>
      <w:pPr>
        <w:ind w:left="460" w:hanging="186"/>
        <w:spacing w:after="0"/>
        <w:tabs>
          <w:tab w:leader="none" w:pos="460"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Level 1 – Valuatons based on unadjusted quoted prices in actve markets for identcal assets that the company has the ability to access;</w:t>
      </w:r>
    </w:p>
    <w:p>
      <w:pPr>
        <w:spacing w:after="0" w:line="143" w:lineRule="exact"/>
        <w:rPr>
          <w:rFonts w:ascii="Calibri" w:cs="Calibri" w:eastAsia="Calibri" w:hAnsi="Calibri"/>
          <w:sz w:val="17"/>
          <w:szCs w:val="17"/>
          <w:color w:val="auto"/>
        </w:rPr>
      </w:pPr>
    </w:p>
    <w:p>
      <w:pPr>
        <w:ind w:left="460" w:right="60" w:hanging="186"/>
        <w:spacing w:after="0" w:line="237" w:lineRule="auto"/>
        <w:tabs>
          <w:tab w:leader="none" w:pos="453"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Level 2 – Valuatons based on quoted prices for similar instruments in actve markets, quoted prices for identcal or similar instruments in markets that are not actve and model-based valuatons in which all signifcant inputs are observable in the market; and</w:t>
      </w:r>
    </w:p>
    <w:p>
      <w:pPr>
        <w:spacing w:after="0" w:line="144" w:lineRule="exact"/>
        <w:rPr>
          <w:rFonts w:ascii="Calibri" w:cs="Calibri" w:eastAsia="Calibri" w:hAnsi="Calibri"/>
          <w:sz w:val="17"/>
          <w:szCs w:val="17"/>
          <w:color w:val="auto"/>
        </w:rPr>
      </w:pPr>
    </w:p>
    <w:p>
      <w:pPr>
        <w:ind w:left="460" w:right="260" w:hanging="186"/>
        <w:spacing w:after="0" w:line="237" w:lineRule="auto"/>
        <w:tabs>
          <w:tab w:leader="none" w:pos="453"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Level 3 – Valuatons using signifcant inputs that are unobservable in the market and include the use of judgment by the company’s management about the assumptons market partcipants would use in pricing the asset or liability.</w:t>
      </w:r>
    </w:p>
    <w:p>
      <w:pPr>
        <w:spacing w:after="0" w:line="132" w:lineRule="exact"/>
        <w:rPr>
          <w:sz w:val="20"/>
          <w:szCs w:val="20"/>
          <w:color w:val="auto"/>
        </w:rPr>
      </w:pPr>
    </w:p>
    <w:p>
      <w:pPr>
        <w:ind w:right="440"/>
        <w:spacing w:after="0" w:line="237" w:lineRule="auto"/>
        <w:rPr>
          <w:sz w:val="20"/>
          <w:szCs w:val="20"/>
          <w:color w:val="auto"/>
        </w:rPr>
      </w:pPr>
      <w:r>
        <w:rPr>
          <w:rFonts w:ascii="Calibri" w:cs="Calibri" w:eastAsia="Calibri" w:hAnsi="Calibri"/>
          <w:sz w:val="17"/>
          <w:szCs w:val="17"/>
          <w:color w:val="auto"/>
        </w:rPr>
        <w:t>The following table summarizes the bases used to measure certain assets and liabilites carried at fair value on a recurring basis on the condensed consolidated balance sheet as of September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tcPr>
          <w:p>
            <w:pPr>
              <w:jc w:val="right"/>
              <w:ind w:right="38"/>
              <w:spacing w:after="0"/>
              <w:rPr>
                <w:sz w:val="20"/>
                <w:szCs w:val="20"/>
                <w:color w:val="auto"/>
              </w:rPr>
            </w:pPr>
            <w:r>
              <w:rPr>
                <w:rFonts w:ascii="Calibri" w:cs="Calibri" w:eastAsia="Calibri" w:hAnsi="Calibri"/>
                <w:sz w:val="14"/>
                <w:szCs w:val="14"/>
                <w:b w:val="1"/>
                <w:bCs w:val="1"/>
                <w:color w:val="auto"/>
              </w:rPr>
              <w:t>Basis of fair value measurement</w:t>
            </w:r>
          </w:p>
        </w:tc>
        <w:tc>
          <w:tcPr>
            <w:tcW w:w="1120" w:type="dxa"/>
            <w:vAlign w:val="bottom"/>
          </w:tcPr>
          <w:p>
            <w:pPr>
              <w:spacing w:after="0"/>
              <w:rPr>
                <w:sz w:val="14"/>
                <w:szCs w:val="14"/>
                <w:color w:val="auto"/>
              </w:rPr>
            </w:pPr>
          </w:p>
        </w:tc>
      </w:tr>
      <w:tr>
        <w:trPr>
          <w:trHeight w:val="43"/>
        </w:trPr>
        <w:tc>
          <w:tcPr>
            <w:tcW w:w="40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22"/>
        </w:trPr>
        <w:tc>
          <w:tcPr>
            <w:tcW w:w="4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Calibri" w:cs="Calibri" w:eastAsia="Calibri" w:hAnsi="Calibri"/>
                <w:sz w:val="13"/>
                <w:szCs w:val="13"/>
                <w:b w:val="1"/>
                <w:bCs w:val="1"/>
                <w:color w:val="auto"/>
              </w:rPr>
              <w:t>Quoted prices in actve</w:t>
            </w:r>
          </w:p>
        </w:tc>
        <w:tc>
          <w:tcPr>
            <w:tcW w:w="220" w:type="dxa"/>
            <w:vAlign w:val="bottom"/>
          </w:tcPr>
          <w:p>
            <w:pPr>
              <w:spacing w:after="0"/>
              <w:rPr>
                <w:sz w:val="10"/>
                <w:szCs w:val="10"/>
                <w:color w:val="auto"/>
              </w:rPr>
            </w:pPr>
          </w:p>
        </w:tc>
        <w:tc>
          <w:tcPr>
            <w:tcW w:w="1240" w:type="dxa"/>
            <w:vAlign w:val="bottom"/>
          </w:tcPr>
          <w:p>
            <w:pPr>
              <w:jc w:val="center"/>
              <w:ind w:right="119"/>
              <w:spacing w:after="0" w:line="122" w:lineRule="exact"/>
              <w:rPr>
                <w:sz w:val="20"/>
                <w:szCs w:val="20"/>
                <w:color w:val="auto"/>
              </w:rPr>
            </w:pPr>
            <w:r>
              <w:rPr>
                <w:rFonts w:ascii="Calibri" w:cs="Calibri" w:eastAsia="Calibri" w:hAnsi="Calibri"/>
                <w:sz w:val="13"/>
                <w:szCs w:val="13"/>
                <w:b w:val="1"/>
                <w:bCs w:val="1"/>
                <w:color w:val="auto"/>
              </w:rPr>
              <w:t>Signifcant other</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2"/>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gridSpan w:val="2"/>
          </w:tcPr>
          <w:p>
            <w:pPr>
              <w:jc w:val="center"/>
              <w:spacing w:after="0" w:line="142" w:lineRule="exact"/>
              <w:rPr>
                <w:sz w:val="20"/>
                <w:szCs w:val="20"/>
                <w:color w:val="auto"/>
              </w:rPr>
            </w:pPr>
            <w:r>
              <w:rPr>
                <w:rFonts w:ascii="Calibri" w:cs="Calibri" w:eastAsia="Calibri" w:hAnsi="Calibri"/>
                <w:sz w:val="14"/>
                <w:szCs w:val="14"/>
                <w:b w:val="1"/>
                <w:bCs w:val="1"/>
                <w:color w:val="auto"/>
              </w:rPr>
              <w:t>markets for identcal</w:t>
            </w:r>
          </w:p>
        </w:tc>
        <w:tc>
          <w:tcPr>
            <w:tcW w:w="220" w:type="dxa"/>
            <w:vAlign w:val="bottom"/>
          </w:tcPr>
          <w:p>
            <w:pPr>
              <w:spacing w:after="0"/>
              <w:rPr>
                <w:sz w:val="12"/>
                <w:szCs w:val="12"/>
                <w:color w:val="auto"/>
              </w:rPr>
            </w:pPr>
          </w:p>
        </w:tc>
        <w:tc>
          <w:tcPr>
            <w:tcW w:w="1240" w:type="dxa"/>
            <w:vAlign w:val="bottom"/>
          </w:tcPr>
          <w:p>
            <w:pPr>
              <w:jc w:val="center"/>
              <w:ind w:right="159"/>
              <w:spacing w:after="0" w:line="142" w:lineRule="exact"/>
              <w:rPr>
                <w:sz w:val="20"/>
                <w:szCs w:val="20"/>
                <w:color w:val="auto"/>
              </w:rPr>
            </w:pPr>
            <w:r>
              <w:rPr>
                <w:rFonts w:ascii="Calibri" w:cs="Calibri" w:eastAsia="Calibri" w:hAnsi="Calibri"/>
                <w:sz w:val="14"/>
                <w:szCs w:val="14"/>
                <w:b w:val="1"/>
                <w:bCs w:val="1"/>
                <w:color w:val="auto"/>
                <w:w w:val="99"/>
              </w:rPr>
              <w:t>observable</w:t>
            </w:r>
          </w:p>
        </w:tc>
        <w:tc>
          <w:tcPr>
            <w:tcW w:w="320" w:type="dxa"/>
            <w:vAlign w:val="bottom"/>
          </w:tcPr>
          <w:p>
            <w:pPr>
              <w:spacing w:after="0"/>
              <w:rPr>
                <w:sz w:val="12"/>
                <w:szCs w:val="12"/>
                <w:color w:val="auto"/>
              </w:rPr>
            </w:pPr>
          </w:p>
        </w:tc>
        <w:tc>
          <w:tcPr>
            <w:tcW w:w="1120" w:type="dxa"/>
            <w:vAlign w:val="bottom"/>
          </w:tcPr>
          <w:p>
            <w:pPr>
              <w:jc w:val="center"/>
              <w:ind w:right="157"/>
              <w:spacing w:after="0" w:line="142" w:lineRule="exact"/>
              <w:rPr>
                <w:sz w:val="20"/>
                <w:szCs w:val="20"/>
                <w:color w:val="auto"/>
              </w:rPr>
            </w:pPr>
            <w:r>
              <w:rPr>
                <w:rFonts w:ascii="Calibri" w:cs="Calibri" w:eastAsia="Calibri" w:hAnsi="Calibri"/>
                <w:sz w:val="14"/>
                <w:szCs w:val="14"/>
                <w:b w:val="1"/>
                <w:bCs w:val="1"/>
                <w:color w:val="auto"/>
              </w:rPr>
              <w:t>Signifcant</w:t>
            </w:r>
          </w:p>
        </w:tc>
      </w:tr>
      <w:tr>
        <w:trPr>
          <w:trHeight w:val="129"/>
        </w:trPr>
        <w:tc>
          <w:tcPr>
            <w:tcW w:w="4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278"/>
              <w:spacing w:after="0" w:line="129" w:lineRule="exact"/>
              <w:rPr>
                <w:sz w:val="20"/>
                <w:szCs w:val="20"/>
                <w:color w:val="auto"/>
              </w:rPr>
            </w:pPr>
            <w:r>
              <w:rPr>
                <w:rFonts w:ascii="Calibri" w:cs="Calibri" w:eastAsia="Calibri" w:hAnsi="Calibri"/>
                <w:sz w:val="14"/>
                <w:szCs w:val="14"/>
                <w:b w:val="1"/>
                <w:bCs w:val="1"/>
                <w:color w:val="auto"/>
                <w:w w:val="95"/>
              </w:rPr>
              <w:t>assets</w:t>
            </w:r>
          </w:p>
        </w:tc>
        <w:tc>
          <w:tcPr>
            <w:tcW w:w="220" w:type="dxa"/>
            <w:vAlign w:val="bottom"/>
          </w:tcPr>
          <w:p>
            <w:pPr>
              <w:spacing w:after="0"/>
              <w:rPr>
                <w:sz w:val="11"/>
                <w:szCs w:val="11"/>
                <w:color w:val="auto"/>
              </w:rPr>
            </w:pPr>
          </w:p>
        </w:tc>
        <w:tc>
          <w:tcPr>
            <w:tcW w:w="1240" w:type="dxa"/>
            <w:vAlign w:val="bottom"/>
          </w:tcPr>
          <w:p>
            <w:pPr>
              <w:jc w:val="center"/>
              <w:ind w:right="159"/>
              <w:spacing w:after="0" w:line="129" w:lineRule="exact"/>
              <w:rPr>
                <w:sz w:val="20"/>
                <w:szCs w:val="20"/>
                <w:color w:val="auto"/>
              </w:rPr>
            </w:pPr>
            <w:r>
              <w:rPr>
                <w:rFonts w:ascii="Calibri" w:cs="Calibri" w:eastAsia="Calibri" w:hAnsi="Calibri"/>
                <w:sz w:val="14"/>
                <w:szCs w:val="14"/>
                <w:b w:val="1"/>
                <w:bCs w:val="1"/>
                <w:color w:val="auto"/>
                <w:w w:val="98"/>
              </w:rPr>
              <w:t>inputs</w:t>
            </w:r>
          </w:p>
        </w:tc>
        <w:tc>
          <w:tcPr>
            <w:tcW w:w="1440" w:type="dxa"/>
            <w:vAlign w:val="bottom"/>
            <w:gridSpan w:val="2"/>
          </w:tcPr>
          <w:p>
            <w:pPr>
              <w:jc w:val="center"/>
              <w:spacing w:after="0" w:line="129" w:lineRule="exact"/>
              <w:rPr>
                <w:sz w:val="20"/>
                <w:szCs w:val="20"/>
                <w:color w:val="auto"/>
              </w:rPr>
            </w:pPr>
            <w:r>
              <w:rPr>
                <w:rFonts w:ascii="Calibri" w:cs="Calibri" w:eastAsia="Calibri" w:hAnsi="Calibri"/>
                <w:sz w:val="14"/>
                <w:szCs w:val="14"/>
                <w:b w:val="1"/>
                <w:bCs w:val="1"/>
                <w:color w:val="auto"/>
                <w:w w:val="97"/>
              </w:rPr>
              <w:t>unobservable inputs</w:t>
            </w:r>
          </w:p>
        </w:tc>
      </w:tr>
      <w:tr>
        <w:trPr>
          <w:trHeight w:val="176"/>
        </w:trPr>
        <w:tc>
          <w:tcPr>
            <w:tcW w:w="40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1700" w:type="dxa"/>
            <w:vAlign w:val="bottom"/>
          </w:tcPr>
          <w:p>
            <w:pPr>
              <w:spacing w:after="0"/>
              <w:rPr>
                <w:sz w:val="15"/>
                <w:szCs w:val="15"/>
                <w:color w:val="auto"/>
              </w:rPr>
            </w:pPr>
          </w:p>
        </w:tc>
        <w:tc>
          <w:tcPr>
            <w:tcW w:w="1140" w:type="dxa"/>
            <w:vAlign w:val="bottom"/>
          </w:tcPr>
          <w:p>
            <w:pPr>
              <w:jc w:val="right"/>
              <w:ind w:right="556"/>
              <w:spacing w:after="0" w:line="164" w:lineRule="exact"/>
              <w:rPr>
                <w:sz w:val="20"/>
                <w:szCs w:val="20"/>
                <w:color w:val="auto"/>
              </w:rPr>
            </w:pPr>
            <w:r>
              <w:rPr>
                <w:rFonts w:ascii="Calibri" w:cs="Calibri" w:eastAsia="Calibri" w:hAnsi="Calibri"/>
                <w:sz w:val="14"/>
                <w:szCs w:val="14"/>
                <w:b w:val="1"/>
                <w:bCs w:val="1"/>
                <w:color w:val="auto"/>
              </w:rPr>
              <w:t>Total</w:t>
            </w:r>
          </w:p>
        </w:tc>
        <w:tc>
          <w:tcPr>
            <w:tcW w:w="280" w:type="dxa"/>
            <w:vAlign w:val="bottom"/>
          </w:tcPr>
          <w:p>
            <w:pPr>
              <w:spacing w:after="0"/>
              <w:rPr>
                <w:sz w:val="15"/>
                <w:szCs w:val="15"/>
                <w:color w:val="auto"/>
              </w:rPr>
            </w:pPr>
          </w:p>
        </w:tc>
        <w:tc>
          <w:tcPr>
            <w:tcW w:w="1140" w:type="dxa"/>
            <w:vAlign w:val="bottom"/>
          </w:tcPr>
          <w:p>
            <w:pPr>
              <w:jc w:val="center"/>
              <w:ind w:right="258"/>
              <w:spacing w:after="0" w:line="164" w:lineRule="exact"/>
              <w:rPr>
                <w:sz w:val="20"/>
                <w:szCs w:val="20"/>
                <w:color w:val="auto"/>
              </w:rPr>
            </w:pPr>
            <w:r>
              <w:rPr>
                <w:rFonts w:ascii="Calibri" w:cs="Calibri" w:eastAsia="Calibri" w:hAnsi="Calibri"/>
                <w:sz w:val="14"/>
                <w:szCs w:val="14"/>
                <w:b w:val="1"/>
                <w:bCs w:val="1"/>
                <w:color w:val="auto"/>
                <w:w w:val="97"/>
              </w:rPr>
              <w:t>(Level 1)</w:t>
            </w:r>
          </w:p>
        </w:tc>
        <w:tc>
          <w:tcPr>
            <w:tcW w:w="220" w:type="dxa"/>
            <w:vAlign w:val="bottom"/>
          </w:tcPr>
          <w:p>
            <w:pPr>
              <w:spacing w:after="0"/>
              <w:rPr>
                <w:sz w:val="15"/>
                <w:szCs w:val="15"/>
                <w:color w:val="auto"/>
              </w:rPr>
            </w:pPr>
          </w:p>
        </w:tc>
        <w:tc>
          <w:tcPr>
            <w:tcW w:w="1240" w:type="dxa"/>
            <w:vAlign w:val="bottom"/>
          </w:tcPr>
          <w:p>
            <w:pPr>
              <w:jc w:val="center"/>
              <w:ind w:right="119"/>
              <w:spacing w:after="0" w:line="164" w:lineRule="exact"/>
              <w:rPr>
                <w:sz w:val="20"/>
                <w:szCs w:val="20"/>
                <w:color w:val="auto"/>
              </w:rPr>
            </w:pPr>
            <w:r>
              <w:rPr>
                <w:rFonts w:ascii="Calibri" w:cs="Calibri" w:eastAsia="Calibri" w:hAnsi="Calibri"/>
                <w:sz w:val="14"/>
                <w:szCs w:val="14"/>
                <w:b w:val="1"/>
                <w:bCs w:val="1"/>
                <w:color w:val="auto"/>
                <w:w w:val="97"/>
              </w:rPr>
              <w:t>(Level 2)</w:t>
            </w:r>
          </w:p>
        </w:tc>
        <w:tc>
          <w:tcPr>
            <w:tcW w:w="320" w:type="dxa"/>
            <w:vAlign w:val="bottom"/>
          </w:tcPr>
          <w:p>
            <w:pPr>
              <w:spacing w:after="0"/>
              <w:rPr>
                <w:sz w:val="15"/>
                <w:szCs w:val="15"/>
                <w:color w:val="auto"/>
              </w:rPr>
            </w:pPr>
          </w:p>
        </w:tc>
        <w:tc>
          <w:tcPr>
            <w:tcW w:w="1120" w:type="dxa"/>
            <w:vAlign w:val="bottom"/>
          </w:tcPr>
          <w:p>
            <w:pPr>
              <w:jc w:val="center"/>
              <w:ind w:right="157"/>
              <w:spacing w:after="0"/>
              <w:rPr>
                <w:sz w:val="20"/>
                <w:szCs w:val="20"/>
                <w:color w:val="auto"/>
              </w:rPr>
            </w:pPr>
            <w:r>
              <w:rPr>
                <w:rFonts w:ascii="Calibri" w:cs="Calibri" w:eastAsia="Calibri" w:hAnsi="Calibri"/>
                <w:sz w:val="14"/>
                <w:szCs w:val="14"/>
                <w:b w:val="1"/>
                <w:bCs w:val="1"/>
                <w:color w:val="auto"/>
                <w:w w:val="97"/>
              </w:rPr>
              <w:t>(Level 3)</w:t>
            </w:r>
          </w:p>
        </w:tc>
      </w:tr>
      <w:tr>
        <w:trPr>
          <w:trHeight w:val="30"/>
        </w:trPr>
        <w:tc>
          <w:tcPr>
            <w:tcW w:w="4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5"/>
        </w:trPr>
        <w:tc>
          <w:tcPr>
            <w:tcW w:w="408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Assets</w:t>
            </w: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Cash and equivalents</w:t>
            </w:r>
          </w:p>
        </w:tc>
        <w:tc>
          <w:tcPr>
            <w:tcW w:w="1700" w:type="dxa"/>
            <w:vAlign w:val="bottom"/>
            <w:shd w:val="clear" w:color="auto" w:fill="CCEEFF"/>
          </w:tcPr>
          <w:p>
            <w:pPr>
              <w:jc w:val="right"/>
              <w:ind w:right="134"/>
              <w:spacing w:after="0"/>
              <w:rPr>
                <w:sz w:val="20"/>
                <w:szCs w:val="20"/>
                <w:color w:val="auto"/>
              </w:rPr>
            </w:pPr>
            <w:r>
              <w:rPr>
                <w:rFonts w:ascii="Calibri" w:cs="Calibri" w:eastAsia="Calibri" w:hAnsi="Calibri"/>
                <w:sz w:val="17"/>
                <w:szCs w:val="17"/>
                <w:color w:val="auto"/>
              </w:rPr>
              <w:t>$</w:t>
            </w:r>
          </w:p>
        </w:tc>
        <w:tc>
          <w:tcPr>
            <w:tcW w:w="1140" w:type="dxa"/>
            <w:vAlign w:val="bottom"/>
            <w:shd w:val="clear" w:color="auto" w:fill="CCEEFF"/>
          </w:tcPr>
          <w:p>
            <w:pPr>
              <w:jc w:val="right"/>
              <w:ind w:right="76"/>
              <w:spacing w:after="0"/>
              <w:rPr>
                <w:sz w:val="20"/>
                <w:szCs w:val="20"/>
                <w:color w:val="auto"/>
              </w:rPr>
            </w:pPr>
            <w:r>
              <w:rPr>
                <w:rFonts w:ascii="Calibri" w:cs="Calibri" w:eastAsia="Calibri" w:hAnsi="Calibri"/>
                <w:sz w:val="17"/>
                <w:szCs w:val="17"/>
                <w:color w:val="auto"/>
              </w:rPr>
              <w:t>7,257</w:t>
            </w:r>
          </w:p>
        </w:tc>
        <w:tc>
          <w:tcPr>
            <w:tcW w:w="2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w:t>
            </w:r>
          </w:p>
        </w:tc>
        <w:tc>
          <w:tcPr>
            <w:tcW w:w="114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6,080</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240" w:type="dxa"/>
            <w:vAlign w:val="bottom"/>
            <w:shd w:val="clear" w:color="auto" w:fill="CCEEFF"/>
          </w:tcPr>
          <w:p>
            <w:pPr>
              <w:jc w:val="right"/>
              <w:ind w:right="19"/>
              <w:spacing w:after="0"/>
              <w:rPr>
                <w:sz w:val="20"/>
                <w:szCs w:val="20"/>
                <w:color w:val="auto"/>
              </w:rPr>
            </w:pPr>
            <w:r>
              <w:rPr>
                <w:rFonts w:ascii="Calibri" w:cs="Calibri" w:eastAsia="Calibri" w:hAnsi="Calibri"/>
                <w:sz w:val="17"/>
                <w:szCs w:val="17"/>
                <w:color w:val="auto"/>
              </w:rPr>
              <w:t>1,177</w:t>
            </w:r>
          </w:p>
        </w:tc>
        <w:tc>
          <w:tcPr>
            <w:tcW w:w="320" w:type="dxa"/>
            <w:vAlign w:val="bottom"/>
            <w:shd w:val="clear" w:color="auto" w:fill="CCEEFF"/>
          </w:tcPr>
          <w:p>
            <w:pPr>
              <w:jc w:val="right"/>
              <w:ind w:right="78"/>
              <w:spacing w:after="0"/>
              <w:rPr>
                <w:sz w:val="20"/>
                <w:szCs w:val="20"/>
                <w:color w:val="auto"/>
              </w:rPr>
            </w:pPr>
            <w:r>
              <w:rPr>
                <w:rFonts w:ascii="Calibri" w:cs="Calibri" w:eastAsia="Calibri" w:hAnsi="Calibri"/>
                <w:sz w:val="17"/>
                <w:szCs w:val="17"/>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Money market funds and tme deposits</w:t>
            </w:r>
          </w:p>
        </w:tc>
        <w:tc>
          <w:tcPr>
            <w:tcW w:w="1700" w:type="dxa"/>
            <w:vAlign w:val="bottom"/>
          </w:tcPr>
          <w:p>
            <w:pPr>
              <w:spacing w:after="0"/>
              <w:rPr>
                <w:sz w:val="18"/>
                <w:szCs w:val="18"/>
                <w:color w:val="auto"/>
              </w:rPr>
            </w:pP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10</w:t>
            </w:r>
          </w:p>
        </w:tc>
        <w:tc>
          <w:tcPr>
            <w:tcW w:w="280" w:type="dxa"/>
            <w:vAlign w:val="bottom"/>
          </w:tcPr>
          <w:p>
            <w:pPr>
              <w:spacing w:after="0"/>
              <w:rPr>
                <w:sz w:val="18"/>
                <w:szCs w:val="18"/>
                <w:color w:val="auto"/>
              </w:rPr>
            </w:pP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4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10</w:t>
            </w:r>
          </w:p>
        </w:tc>
        <w:tc>
          <w:tcPr>
            <w:tcW w:w="32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26"/>
        </w:trPr>
        <w:tc>
          <w:tcPr>
            <w:tcW w:w="40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Debt securites</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6"/>
              <w:spacing w:after="0"/>
              <w:rPr>
                <w:sz w:val="20"/>
                <w:szCs w:val="20"/>
                <w:color w:val="auto"/>
              </w:rPr>
            </w:pPr>
            <w:r>
              <w:rPr>
                <w:rFonts w:ascii="Calibri" w:cs="Calibri" w:eastAsia="Calibri" w:hAnsi="Calibri"/>
                <w:sz w:val="17"/>
                <w:szCs w:val="17"/>
                <w:color w:val="auto"/>
              </w:rPr>
              <w:t>32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Calibri" w:cs="Calibri" w:eastAsia="Calibri" w:hAnsi="Calibri"/>
                <w:sz w:val="17"/>
                <w:szCs w:val="17"/>
                <w:color w:val="auto"/>
              </w:rPr>
              <w:t>32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Equity securites</w:t>
            </w:r>
          </w:p>
        </w:tc>
        <w:tc>
          <w:tcPr>
            <w:tcW w:w="1700" w:type="dxa"/>
            <w:vAlign w:val="bottom"/>
          </w:tcPr>
          <w:p>
            <w:pPr>
              <w:spacing w:after="0"/>
              <w:rPr>
                <w:sz w:val="18"/>
                <w:szCs w:val="18"/>
                <w:color w:val="auto"/>
              </w:rPr>
            </w:pP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100</w:t>
            </w:r>
          </w:p>
        </w:tc>
        <w:tc>
          <w:tcPr>
            <w:tcW w:w="280" w:type="dxa"/>
            <w:vAlign w:val="bottom"/>
          </w:tcPr>
          <w:p>
            <w:pPr>
              <w:spacing w:after="0"/>
              <w:rPr>
                <w:sz w:val="18"/>
                <w:szCs w:val="18"/>
                <w:color w:val="auto"/>
              </w:rPr>
            </w:pP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71</w:t>
            </w:r>
          </w:p>
        </w:tc>
        <w:tc>
          <w:tcPr>
            <w:tcW w:w="220" w:type="dxa"/>
            <w:vAlign w:val="bottom"/>
          </w:tcPr>
          <w:p>
            <w:pPr>
              <w:spacing w:after="0"/>
              <w:rPr>
                <w:sz w:val="18"/>
                <w:szCs w:val="18"/>
                <w:color w:val="auto"/>
              </w:rPr>
            </w:pPr>
          </w:p>
        </w:tc>
        <w:tc>
          <w:tcPr>
            <w:tcW w:w="124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29</w:t>
            </w:r>
          </w:p>
        </w:tc>
        <w:tc>
          <w:tcPr>
            <w:tcW w:w="32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19"/>
        </w:trPr>
        <w:tc>
          <w:tcPr>
            <w:tcW w:w="40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Foreign currency contracts</w:t>
            </w:r>
          </w:p>
        </w:tc>
        <w:tc>
          <w:tcPr>
            <w:tcW w:w="1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Calibri" w:cs="Calibri" w:eastAsia="Calibri" w:hAnsi="Calibri"/>
                <w:sz w:val="17"/>
                <w:szCs w:val="17"/>
                <w:color w:val="auto"/>
              </w:rPr>
              <w:t>44</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7"/>
                <w:szCs w:val="17"/>
                <w:color w:val="auto"/>
              </w:rPr>
              <w:t>44</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assets</w:t>
            </w:r>
          </w:p>
        </w:tc>
        <w:tc>
          <w:tcPr>
            <w:tcW w:w="170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tcPr>
          <w:p>
            <w:pPr>
              <w:jc w:val="right"/>
              <w:ind w:right="76"/>
              <w:spacing w:after="0" w:line="205" w:lineRule="exact"/>
              <w:rPr>
                <w:sz w:val="20"/>
                <w:szCs w:val="20"/>
                <w:color w:val="auto"/>
              </w:rPr>
            </w:pPr>
            <w:r>
              <w:rPr>
                <w:rFonts w:ascii="Calibri" w:cs="Calibri" w:eastAsia="Calibri" w:hAnsi="Calibri"/>
                <w:sz w:val="17"/>
                <w:szCs w:val="17"/>
                <w:color w:val="auto"/>
              </w:rPr>
              <w:t>7,443</w:t>
            </w:r>
          </w:p>
        </w:tc>
        <w:tc>
          <w:tcPr>
            <w:tcW w:w="2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6,151</w:t>
            </w:r>
          </w:p>
        </w:tc>
        <w:tc>
          <w:tcPr>
            <w:tcW w:w="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40" w:type="dxa"/>
            <w:vAlign w:val="bottom"/>
            <w:tcBorders>
              <w:bottom w:val="single" w:sz="8" w:color="auto"/>
            </w:tcBorders>
          </w:tcPr>
          <w:p>
            <w:pPr>
              <w:jc w:val="right"/>
              <w:ind w:right="19"/>
              <w:spacing w:after="0" w:line="205" w:lineRule="exact"/>
              <w:rPr>
                <w:sz w:val="20"/>
                <w:szCs w:val="20"/>
                <w:color w:val="auto"/>
              </w:rPr>
            </w:pPr>
            <w:r>
              <w:rPr>
                <w:rFonts w:ascii="Calibri" w:cs="Calibri" w:eastAsia="Calibri" w:hAnsi="Calibri"/>
                <w:sz w:val="17"/>
                <w:szCs w:val="17"/>
                <w:color w:val="auto"/>
              </w:rPr>
              <w:t>1,292</w:t>
            </w:r>
          </w:p>
        </w:tc>
        <w:tc>
          <w:tcPr>
            <w:tcW w:w="320" w:type="dxa"/>
            <w:vAlign w:val="bottom"/>
            <w:tcBorders>
              <w:bottom w:val="single" w:sz="8" w:color="auto"/>
            </w:tcBorders>
          </w:tcPr>
          <w:p>
            <w:pPr>
              <w:jc w:val="right"/>
              <w:ind w:right="78"/>
              <w:spacing w:after="0" w:line="205" w:lineRule="exact"/>
              <w:rPr>
                <w:sz w:val="20"/>
                <w:szCs w:val="20"/>
                <w:color w:val="auto"/>
              </w:rPr>
            </w:pPr>
            <w:r>
              <w:rPr>
                <w:rFonts w:ascii="Calibri" w:cs="Calibri" w:eastAsia="Calibri" w:hAnsi="Calibri"/>
                <w:sz w:val="17"/>
                <w:szCs w:val="17"/>
                <w:color w:val="auto"/>
              </w:rPr>
              <w:t>$</w:t>
            </w: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8"/>
        </w:trPr>
        <w:tc>
          <w:tcPr>
            <w:tcW w:w="408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Liabilites</w:t>
            </w: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Interest rate swap contracts</w:t>
            </w:r>
          </w:p>
        </w:tc>
        <w:tc>
          <w:tcPr>
            <w:tcW w:w="1700" w:type="dxa"/>
            <w:vAlign w:val="bottom"/>
          </w:tcPr>
          <w:p>
            <w:pPr>
              <w:jc w:val="right"/>
              <w:ind w:right="13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244</w:t>
            </w:r>
          </w:p>
        </w:tc>
        <w:tc>
          <w:tcPr>
            <w:tcW w:w="28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124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244</w:t>
            </w:r>
          </w:p>
        </w:tc>
        <w:tc>
          <w:tcPr>
            <w:tcW w:w="320" w:type="dxa"/>
            <w:vAlign w:val="bottom"/>
          </w:tcPr>
          <w:p>
            <w:pPr>
              <w:jc w:val="right"/>
              <w:ind w:right="78"/>
              <w:spacing w:after="0" w:line="205" w:lineRule="exact"/>
              <w:rPr>
                <w:sz w:val="20"/>
                <w:szCs w:val="20"/>
                <w:color w:val="auto"/>
              </w:rPr>
            </w:pPr>
            <w:r>
              <w:rPr>
                <w:rFonts w:ascii="Calibri" w:cs="Calibri" w:eastAsia="Calibri" w:hAnsi="Calibri"/>
                <w:sz w:val="17"/>
                <w:szCs w:val="17"/>
                <w:color w:val="auto"/>
              </w:rPr>
              <w:t>$</w:t>
            </w: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26"/>
        </w:trPr>
        <w:tc>
          <w:tcPr>
            <w:tcW w:w="40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Foreign currency contracts</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6"/>
              <w:spacing w:after="0"/>
              <w:rPr>
                <w:sz w:val="20"/>
                <w:szCs w:val="20"/>
                <w:color w:val="auto"/>
              </w:rPr>
            </w:pPr>
            <w:r>
              <w:rPr>
                <w:rFonts w:ascii="Calibri" w:cs="Calibri" w:eastAsia="Calibri" w:hAnsi="Calibri"/>
                <w:sz w:val="17"/>
                <w:szCs w:val="17"/>
                <w:color w:val="auto"/>
              </w:rPr>
              <w:t>202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Calibri" w:cs="Calibri" w:eastAsia="Calibri" w:hAnsi="Calibri"/>
                <w:sz w:val="17"/>
                <w:szCs w:val="17"/>
                <w:color w:val="auto"/>
              </w:rPr>
              <w:t>202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Financing liability</w:t>
            </w:r>
          </w:p>
        </w:tc>
        <w:tc>
          <w:tcPr>
            <w:tcW w:w="1700" w:type="dxa"/>
            <w:vAlign w:val="bottom"/>
          </w:tcPr>
          <w:p>
            <w:pPr>
              <w:spacing w:after="0"/>
              <w:rPr>
                <w:sz w:val="18"/>
                <w:szCs w:val="18"/>
                <w:color w:val="auto"/>
              </w:rPr>
            </w:pP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253</w:t>
            </w:r>
          </w:p>
        </w:tc>
        <w:tc>
          <w:tcPr>
            <w:tcW w:w="280" w:type="dxa"/>
            <w:vAlign w:val="bottom"/>
          </w:tcPr>
          <w:p>
            <w:pPr>
              <w:spacing w:after="0"/>
              <w:rPr>
                <w:sz w:val="18"/>
                <w:szCs w:val="18"/>
                <w:color w:val="auto"/>
              </w:rPr>
            </w:pP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4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w:t>
            </w:r>
          </w:p>
        </w:tc>
        <w:tc>
          <w:tcPr>
            <w:tcW w:w="32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253</w:t>
            </w:r>
          </w:p>
        </w:tc>
      </w:tr>
      <w:tr>
        <w:trPr>
          <w:trHeight w:val="219"/>
        </w:trPr>
        <w:tc>
          <w:tcPr>
            <w:tcW w:w="40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Contngent consideraton</w:t>
            </w:r>
          </w:p>
        </w:tc>
        <w:tc>
          <w:tcPr>
            <w:tcW w:w="1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Calibri" w:cs="Calibri" w:eastAsia="Calibri" w:hAnsi="Calibri"/>
                <w:sz w:val="17"/>
                <w:szCs w:val="17"/>
                <w:color w:val="auto"/>
              </w:rPr>
              <w:t>21,926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21,926</w:t>
            </w:r>
          </w:p>
        </w:tc>
      </w:tr>
      <w:tr>
        <w:trPr>
          <w:trHeight w:val="212"/>
        </w:trPr>
        <w:tc>
          <w:tcPr>
            <w:tcW w:w="40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liabilites</w:t>
            </w:r>
          </w:p>
        </w:tc>
        <w:tc>
          <w:tcPr>
            <w:tcW w:w="170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tcPr>
          <w:p>
            <w:pPr>
              <w:jc w:val="right"/>
              <w:ind w:right="76"/>
              <w:spacing w:after="0" w:line="205" w:lineRule="exact"/>
              <w:rPr>
                <w:sz w:val="20"/>
                <w:szCs w:val="20"/>
                <w:color w:val="auto"/>
              </w:rPr>
            </w:pPr>
            <w:r>
              <w:rPr>
                <w:rFonts w:ascii="Calibri" w:cs="Calibri" w:eastAsia="Calibri" w:hAnsi="Calibri"/>
                <w:sz w:val="17"/>
                <w:szCs w:val="17"/>
                <w:color w:val="auto"/>
              </w:rPr>
              <w:t>22,625</w:t>
            </w:r>
          </w:p>
        </w:tc>
        <w:tc>
          <w:tcPr>
            <w:tcW w:w="2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40" w:type="dxa"/>
            <w:vAlign w:val="bottom"/>
            <w:tcBorders>
              <w:bottom w:val="single" w:sz="8" w:color="auto"/>
            </w:tcBorders>
          </w:tcPr>
          <w:p>
            <w:pPr>
              <w:jc w:val="right"/>
              <w:ind w:right="19"/>
              <w:spacing w:after="0" w:line="205" w:lineRule="exact"/>
              <w:rPr>
                <w:sz w:val="20"/>
                <w:szCs w:val="20"/>
                <w:color w:val="auto"/>
              </w:rPr>
            </w:pPr>
            <w:r>
              <w:rPr>
                <w:rFonts w:ascii="Calibri" w:cs="Calibri" w:eastAsia="Calibri" w:hAnsi="Calibri"/>
                <w:sz w:val="17"/>
                <w:szCs w:val="17"/>
                <w:color w:val="auto"/>
              </w:rPr>
              <w:t>446</w:t>
            </w:r>
          </w:p>
        </w:tc>
        <w:tc>
          <w:tcPr>
            <w:tcW w:w="320" w:type="dxa"/>
            <w:vAlign w:val="bottom"/>
            <w:tcBorders>
              <w:bottom w:val="single" w:sz="8" w:color="auto"/>
            </w:tcBorders>
          </w:tcPr>
          <w:p>
            <w:pPr>
              <w:jc w:val="right"/>
              <w:ind w:right="78"/>
              <w:spacing w:after="0" w:line="205" w:lineRule="exact"/>
              <w:rPr>
                <w:sz w:val="20"/>
                <w:szCs w:val="20"/>
                <w:color w:val="auto"/>
              </w:rPr>
            </w:pPr>
            <w:r>
              <w:rPr>
                <w:rFonts w:ascii="Calibri" w:cs="Calibri" w:eastAsia="Calibri" w:hAnsi="Calibri"/>
                <w:sz w:val="17"/>
                <w:szCs w:val="17"/>
                <w:color w:val="auto"/>
              </w:rPr>
              <w:t>$</w:t>
            </w: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22,179</w:t>
            </w:r>
          </w:p>
        </w:tc>
      </w:tr>
      <w:tr>
        <w:trPr>
          <w:trHeight w:val="26"/>
        </w:trPr>
        <w:tc>
          <w:tcPr>
            <w:tcW w:w="4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507365</wp:posOffset>
            </wp:positionV>
            <wp:extent cx="491490" cy="901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18</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0" w:name="page21"/>
    <w:bookmarkEnd w:id="20"/>
    <w:p>
      <w:pPr>
        <w:ind w:right="440"/>
        <w:spacing w:after="0" w:line="237" w:lineRule="auto"/>
        <w:rPr>
          <w:sz w:val="20"/>
          <w:szCs w:val="20"/>
          <w:color w:val="auto"/>
        </w:rPr>
      </w:pPr>
      <w:r>
        <w:rPr>
          <w:rFonts w:ascii="Calibri" w:cs="Calibri" w:eastAsia="Calibri" w:hAnsi="Calibri"/>
          <w:sz w:val="17"/>
          <w:szCs w:val="17"/>
          <w:color w:val="auto"/>
        </w:rPr>
        <w:t>The following table summarizes the bases used to measure certain assets and liabilites carried at fair value on a recurring basis on the condensed consolidated balance sheet as of December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tcPr>
          <w:p>
            <w:pPr>
              <w:jc w:val="center"/>
              <w:ind w:left="778"/>
              <w:spacing w:after="0"/>
              <w:rPr>
                <w:sz w:val="20"/>
                <w:szCs w:val="20"/>
                <w:color w:val="auto"/>
              </w:rPr>
            </w:pPr>
            <w:r>
              <w:rPr>
                <w:rFonts w:ascii="Calibri" w:cs="Calibri" w:eastAsia="Calibri" w:hAnsi="Calibri"/>
                <w:sz w:val="14"/>
                <w:szCs w:val="14"/>
                <w:b w:val="1"/>
                <w:bCs w:val="1"/>
                <w:color w:val="auto"/>
                <w:w w:val="97"/>
              </w:rPr>
              <w:t>Basis of fair value measurement</w:t>
            </w:r>
          </w:p>
        </w:tc>
        <w:tc>
          <w:tcPr>
            <w:tcW w:w="1120" w:type="dxa"/>
            <w:vAlign w:val="bottom"/>
          </w:tcPr>
          <w:p>
            <w:pPr>
              <w:spacing w:after="0"/>
              <w:rPr>
                <w:sz w:val="14"/>
                <w:szCs w:val="14"/>
                <w:color w:val="auto"/>
              </w:rPr>
            </w:pPr>
          </w:p>
        </w:tc>
      </w:tr>
      <w:tr>
        <w:trPr>
          <w:trHeight w:val="43"/>
        </w:trPr>
        <w:tc>
          <w:tcPr>
            <w:tcW w:w="40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09"/>
        </w:trPr>
        <w:tc>
          <w:tcPr>
            <w:tcW w:w="4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20" w:type="dxa"/>
            <w:vAlign w:val="bottom"/>
            <w:gridSpan w:val="2"/>
          </w:tcPr>
          <w:p>
            <w:pPr>
              <w:ind w:left="40"/>
              <w:spacing w:after="0" w:line="109" w:lineRule="exact"/>
              <w:rPr>
                <w:sz w:val="20"/>
                <w:szCs w:val="20"/>
                <w:color w:val="auto"/>
              </w:rPr>
            </w:pPr>
            <w:r>
              <w:rPr>
                <w:rFonts w:ascii="Calibri" w:cs="Calibri" w:eastAsia="Calibri" w:hAnsi="Calibri"/>
                <w:sz w:val="11"/>
                <w:szCs w:val="11"/>
                <w:b w:val="1"/>
                <w:bCs w:val="1"/>
                <w:color w:val="auto"/>
              </w:rPr>
              <w:t>Quoted prices in actve</w:t>
            </w:r>
          </w:p>
        </w:tc>
        <w:tc>
          <w:tcPr>
            <w:tcW w:w="220" w:type="dxa"/>
            <w:vAlign w:val="bottom"/>
          </w:tcPr>
          <w:p>
            <w:pPr>
              <w:spacing w:after="0"/>
              <w:rPr>
                <w:sz w:val="9"/>
                <w:szCs w:val="9"/>
                <w:color w:val="auto"/>
              </w:rPr>
            </w:pPr>
          </w:p>
        </w:tc>
        <w:tc>
          <w:tcPr>
            <w:tcW w:w="1240" w:type="dxa"/>
            <w:vAlign w:val="bottom"/>
          </w:tcPr>
          <w:p>
            <w:pPr>
              <w:jc w:val="center"/>
              <w:ind w:right="120"/>
              <w:spacing w:after="0" w:line="109" w:lineRule="exact"/>
              <w:rPr>
                <w:sz w:val="20"/>
                <w:szCs w:val="20"/>
                <w:color w:val="auto"/>
              </w:rPr>
            </w:pPr>
            <w:r>
              <w:rPr>
                <w:rFonts w:ascii="Calibri" w:cs="Calibri" w:eastAsia="Calibri" w:hAnsi="Calibri"/>
                <w:sz w:val="11"/>
                <w:szCs w:val="11"/>
                <w:b w:val="1"/>
                <w:bCs w:val="1"/>
                <w:color w:val="auto"/>
              </w:rPr>
              <w:t>Signifcant other</w:t>
            </w: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2"/>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gridSpan w:val="2"/>
          </w:tcPr>
          <w:p>
            <w:pPr>
              <w:jc w:val="center"/>
              <w:spacing w:after="0" w:line="142" w:lineRule="exact"/>
              <w:rPr>
                <w:sz w:val="20"/>
                <w:szCs w:val="20"/>
                <w:color w:val="auto"/>
              </w:rPr>
            </w:pPr>
            <w:r>
              <w:rPr>
                <w:rFonts w:ascii="Calibri" w:cs="Calibri" w:eastAsia="Calibri" w:hAnsi="Calibri"/>
                <w:sz w:val="14"/>
                <w:szCs w:val="14"/>
                <w:b w:val="1"/>
                <w:bCs w:val="1"/>
                <w:color w:val="auto"/>
              </w:rPr>
              <w:t>markets for identcal</w:t>
            </w:r>
          </w:p>
        </w:tc>
        <w:tc>
          <w:tcPr>
            <w:tcW w:w="220" w:type="dxa"/>
            <w:vAlign w:val="bottom"/>
          </w:tcPr>
          <w:p>
            <w:pPr>
              <w:spacing w:after="0"/>
              <w:rPr>
                <w:sz w:val="12"/>
                <w:szCs w:val="12"/>
                <w:color w:val="auto"/>
              </w:rPr>
            </w:pPr>
          </w:p>
        </w:tc>
        <w:tc>
          <w:tcPr>
            <w:tcW w:w="1240" w:type="dxa"/>
            <w:vAlign w:val="bottom"/>
          </w:tcPr>
          <w:p>
            <w:pPr>
              <w:jc w:val="center"/>
              <w:ind w:right="120"/>
              <w:spacing w:after="0" w:line="142" w:lineRule="exact"/>
              <w:rPr>
                <w:sz w:val="20"/>
                <w:szCs w:val="20"/>
                <w:color w:val="auto"/>
              </w:rPr>
            </w:pPr>
            <w:r>
              <w:rPr>
                <w:rFonts w:ascii="Calibri" w:cs="Calibri" w:eastAsia="Calibri" w:hAnsi="Calibri"/>
                <w:sz w:val="14"/>
                <w:szCs w:val="14"/>
                <w:b w:val="1"/>
                <w:bCs w:val="1"/>
                <w:color w:val="auto"/>
                <w:w w:val="99"/>
              </w:rPr>
              <w:t>observable</w:t>
            </w:r>
          </w:p>
        </w:tc>
        <w:tc>
          <w:tcPr>
            <w:tcW w:w="320" w:type="dxa"/>
            <w:vAlign w:val="bottom"/>
          </w:tcPr>
          <w:p>
            <w:pPr>
              <w:spacing w:after="0"/>
              <w:rPr>
                <w:sz w:val="12"/>
                <w:szCs w:val="12"/>
                <w:color w:val="auto"/>
              </w:rPr>
            </w:pPr>
          </w:p>
        </w:tc>
        <w:tc>
          <w:tcPr>
            <w:tcW w:w="1120" w:type="dxa"/>
            <w:vAlign w:val="bottom"/>
          </w:tcPr>
          <w:p>
            <w:pPr>
              <w:jc w:val="center"/>
              <w:ind w:right="157"/>
              <w:spacing w:after="0" w:line="142" w:lineRule="exact"/>
              <w:rPr>
                <w:sz w:val="20"/>
                <w:szCs w:val="20"/>
                <w:color w:val="auto"/>
              </w:rPr>
            </w:pPr>
            <w:r>
              <w:rPr>
                <w:rFonts w:ascii="Calibri" w:cs="Calibri" w:eastAsia="Calibri" w:hAnsi="Calibri"/>
                <w:sz w:val="14"/>
                <w:szCs w:val="14"/>
                <w:b w:val="1"/>
                <w:bCs w:val="1"/>
                <w:color w:val="auto"/>
              </w:rPr>
              <w:t>Signifcant</w:t>
            </w:r>
          </w:p>
        </w:tc>
      </w:tr>
      <w:tr>
        <w:trPr>
          <w:trHeight w:val="142"/>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78"/>
              <w:spacing w:after="0" w:line="141" w:lineRule="exact"/>
              <w:rPr>
                <w:sz w:val="20"/>
                <w:szCs w:val="20"/>
                <w:color w:val="auto"/>
              </w:rPr>
            </w:pPr>
            <w:r>
              <w:rPr>
                <w:rFonts w:ascii="Calibri" w:cs="Calibri" w:eastAsia="Calibri" w:hAnsi="Calibri"/>
                <w:sz w:val="14"/>
                <w:szCs w:val="14"/>
                <w:b w:val="1"/>
                <w:bCs w:val="1"/>
                <w:color w:val="auto"/>
                <w:w w:val="95"/>
              </w:rPr>
              <w:t>assets</w:t>
            </w:r>
          </w:p>
        </w:tc>
        <w:tc>
          <w:tcPr>
            <w:tcW w:w="220" w:type="dxa"/>
            <w:vAlign w:val="bottom"/>
          </w:tcPr>
          <w:p>
            <w:pPr>
              <w:spacing w:after="0"/>
              <w:rPr>
                <w:sz w:val="12"/>
                <w:szCs w:val="12"/>
                <w:color w:val="auto"/>
              </w:rPr>
            </w:pPr>
          </w:p>
        </w:tc>
        <w:tc>
          <w:tcPr>
            <w:tcW w:w="1240" w:type="dxa"/>
            <w:vAlign w:val="bottom"/>
          </w:tcPr>
          <w:p>
            <w:pPr>
              <w:jc w:val="right"/>
              <w:ind w:right="480"/>
              <w:spacing w:after="0" w:line="141" w:lineRule="exact"/>
              <w:rPr>
                <w:sz w:val="20"/>
                <w:szCs w:val="20"/>
                <w:color w:val="auto"/>
              </w:rPr>
            </w:pPr>
            <w:r>
              <w:rPr>
                <w:rFonts w:ascii="Calibri" w:cs="Calibri" w:eastAsia="Calibri" w:hAnsi="Calibri"/>
                <w:sz w:val="14"/>
                <w:szCs w:val="14"/>
                <w:b w:val="1"/>
                <w:bCs w:val="1"/>
                <w:color w:val="auto"/>
              </w:rPr>
              <w:t>inputs</w:t>
            </w:r>
          </w:p>
        </w:tc>
        <w:tc>
          <w:tcPr>
            <w:tcW w:w="1440" w:type="dxa"/>
            <w:vAlign w:val="bottom"/>
            <w:gridSpan w:val="2"/>
          </w:tcPr>
          <w:p>
            <w:pPr>
              <w:jc w:val="center"/>
              <w:spacing w:after="0" w:line="141" w:lineRule="exact"/>
              <w:rPr>
                <w:sz w:val="20"/>
                <w:szCs w:val="20"/>
                <w:color w:val="auto"/>
              </w:rPr>
            </w:pPr>
            <w:r>
              <w:rPr>
                <w:rFonts w:ascii="Calibri" w:cs="Calibri" w:eastAsia="Calibri" w:hAnsi="Calibri"/>
                <w:sz w:val="14"/>
                <w:szCs w:val="14"/>
                <w:b w:val="1"/>
                <w:bCs w:val="1"/>
                <w:color w:val="auto"/>
                <w:w w:val="97"/>
              </w:rPr>
              <w:t>unobservable inputs</w:t>
            </w:r>
          </w:p>
        </w:tc>
      </w:tr>
      <w:tr>
        <w:trPr>
          <w:trHeight w:val="163"/>
        </w:trPr>
        <w:tc>
          <w:tcPr>
            <w:tcW w:w="40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1700" w:type="dxa"/>
            <w:vAlign w:val="bottom"/>
          </w:tcPr>
          <w:p>
            <w:pPr>
              <w:spacing w:after="0"/>
              <w:rPr>
                <w:sz w:val="14"/>
                <w:szCs w:val="14"/>
                <w:color w:val="auto"/>
              </w:rPr>
            </w:pPr>
          </w:p>
        </w:tc>
        <w:tc>
          <w:tcPr>
            <w:tcW w:w="1140" w:type="dxa"/>
            <w:vAlign w:val="bottom"/>
          </w:tcPr>
          <w:p>
            <w:pPr>
              <w:jc w:val="right"/>
              <w:ind w:right="556"/>
              <w:spacing w:after="0" w:line="164" w:lineRule="exact"/>
              <w:rPr>
                <w:sz w:val="20"/>
                <w:szCs w:val="20"/>
                <w:color w:val="auto"/>
              </w:rPr>
            </w:pPr>
            <w:r>
              <w:rPr>
                <w:rFonts w:ascii="Calibri" w:cs="Calibri" w:eastAsia="Calibri" w:hAnsi="Calibri"/>
                <w:sz w:val="14"/>
                <w:szCs w:val="14"/>
                <w:b w:val="1"/>
                <w:bCs w:val="1"/>
                <w:color w:val="auto"/>
              </w:rPr>
              <w:t>Total</w:t>
            </w:r>
          </w:p>
        </w:tc>
        <w:tc>
          <w:tcPr>
            <w:tcW w:w="280" w:type="dxa"/>
            <w:vAlign w:val="bottom"/>
          </w:tcPr>
          <w:p>
            <w:pPr>
              <w:spacing w:after="0"/>
              <w:rPr>
                <w:sz w:val="14"/>
                <w:szCs w:val="14"/>
                <w:color w:val="auto"/>
              </w:rPr>
            </w:pPr>
          </w:p>
        </w:tc>
        <w:tc>
          <w:tcPr>
            <w:tcW w:w="1140" w:type="dxa"/>
            <w:vAlign w:val="bottom"/>
          </w:tcPr>
          <w:p>
            <w:pPr>
              <w:jc w:val="center"/>
              <w:ind w:right="258"/>
              <w:spacing w:after="0" w:line="164" w:lineRule="exact"/>
              <w:rPr>
                <w:sz w:val="20"/>
                <w:szCs w:val="20"/>
                <w:color w:val="auto"/>
              </w:rPr>
            </w:pPr>
            <w:r>
              <w:rPr>
                <w:rFonts w:ascii="Calibri" w:cs="Calibri" w:eastAsia="Calibri" w:hAnsi="Calibri"/>
                <w:sz w:val="14"/>
                <w:szCs w:val="14"/>
                <w:b w:val="1"/>
                <w:bCs w:val="1"/>
                <w:color w:val="auto"/>
                <w:w w:val="97"/>
              </w:rPr>
              <w:t>(Level 1)</w:t>
            </w:r>
          </w:p>
        </w:tc>
        <w:tc>
          <w:tcPr>
            <w:tcW w:w="220" w:type="dxa"/>
            <w:vAlign w:val="bottom"/>
          </w:tcPr>
          <w:p>
            <w:pPr>
              <w:spacing w:after="0"/>
              <w:rPr>
                <w:sz w:val="14"/>
                <w:szCs w:val="14"/>
                <w:color w:val="auto"/>
              </w:rPr>
            </w:pPr>
          </w:p>
        </w:tc>
        <w:tc>
          <w:tcPr>
            <w:tcW w:w="1240" w:type="dxa"/>
            <w:vAlign w:val="bottom"/>
          </w:tcPr>
          <w:p>
            <w:pPr>
              <w:jc w:val="center"/>
              <w:ind w:right="120"/>
              <w:spacing w:after="0" w:line="164" w:lineRule="exact"/>
              <w:rPr>
                <w:sz w:val="20"/>
                <w:szCs w:val="20"/>
                <w:color w:val="auto"/>
              </w:rPr>
            </w:pPr>
            <w:r>
              <w:rPr>
                <w:rFonts w:ascii="Calibri" w:cs="Calibri" w:eastAsia="Calibri" w:hAnsi="Calibri"/>
                <w:sz w:val="14"/>
                <w:szCs w:val="14"/>
                <w:b w:val="1"/>
                <w:bCs w:val="1"/>
                <w:color w:val="auto"/>
                <w:w w:val="97"/>
              </w:rPr>
              <w:t>(Level 2)</w:t>
            </w:r>
          </w:p>
        </w:tc>
        <w:tc>
          <w:tcPr>
            <w:tcW w:w="320" w:type="dxa"/>
            <w:vAlign w:val="bottom"/>
          </w:tcPr>
          <w:p>
            <w:pPr>
              <w:spacing w:after="0"/>
              <w:rPr>
                <w:sz w:val="14"/>
                <w:szCs w:val="14"/>
                <w:color w:val="auto"/>
              </w:rPr>
            </w:pPr>
          </w:p>
        </w:tc>
        <w:tc>
          <w:tcPr>
            <w:tcW w:w="1120" w:type="dxa"/>
            <w:vAlign w:val="bottom"/>
          </w:tcPr>
          <w:p>
            <w:pPr>
              <w:jc w:val="center"/>
              <w:ind w:right="157"/>
              <w:spacing w:after="0" w:line="164" w:lineRule="exact"/>
              <w:rPr>
                <w:sz w:val="20"/>
                <w:szCs w:val="20"/>
                <w:color w:val="auto"/>
              </w:rPr>
            </w:pPr>
            <w:r>
              <w:rPr>
                <w:rFonts w:ascii="Calibri" w:cs="Calibri" w:eastAsia="Calibri" w:hAnsi="Calibri"/>
                <w:sz w:val="14"/>
                <w:szCs w:val="14"/>
                <w:b w:val="1"/>
                <w:bCs w:val="1"/>
                <w:color w:val="auto"/>
                <w:w w:val="97"/>
              </w:rPr>
              <w:t>(Level 3)</w:t>
            </w:r>
          </w:p>
        </w:tc>
      </w:tr>
      <w:tr>
        <w:trPr>
          <w:trHeight w:val="43"/>
        </w:trPr>
        <w:tc>
          <w:tcPr>
            <w:tcW w:w="40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5"/>
        </w:trPr>
        <w:tc>
          <w:tcPr>
            <w:tcW w:w="408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Assets</w:t>
            </w: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Cash and equivalents</w:t>
            </w:r>
          </w:p>
        </w:tc>
        <w:tc>
          <w:tcPr>
            <w:tcW w:w="1700" w:type="dxa"/>
            <w:vAlign w:val="bottom"/>
            <w:shd w:val="clear" w:color="auto" w:fill="CCEEFF"/>
          </w:tcPr>
          <w:p>
            <w:pPr>
              <w:jc w:val="right"/>
              <w:ind w:right="134"/>
              <w:spacing w:after="0"/>
              <w:rPr>
                <w:sz w:val="20"/>
                <w:szCs w:val="20"/>
                <w:color w:val="auto"/>
              </w:rPr>
            </w:pPr>
            <w:r>
              <w:rPr>
                <w:rFonts w:ascii="Calibri" w:cs="Calibri" w:eastAsia="Calibri" w:hAnsi="Calibri"/>
                <w:sz w:val="17"/>
                <w:szCs w:val="17"/>
                <w:color w:val="auto"/>
              </w:rPr>
              <w:t>$</w:t>
            </w:r>
          </w:p>
        </w:tc>
        <w:tc>
          <w:tcPr>
            <w:tcW w:w="1140" w:type="dxa"/>
            <w:vAlign w:val="bottom"/>
            <w:shd w:val="clear" w:color="auto" w:fill="CCEEFF"/>
          </w:tcPr>
          <w:p>
            <w:pPr>
              <w:jc w:val="right"/>
              <w:ind w:right="76"/>
              <w:spacing w:after="0"/>
              <w:rPr>
                <w:sz w:val="20"/>
                <w:szCs w:val="20"/>
                <w:color w:val="auto"/>
              </w:rPr>
            </w:pPr>
            <w:r>
              <w:rPr>
                <w:rFonts w:ascii="Calibri" w:cs="Calibri" w:eastAsia="Calibri" w:hAnsi="Calibri"/>
                <w:sz w:val="17"/>
                <w:szCs w:val="17"/>
                <w:color w:val="auto"/>
              </w:rPr>
              <w:t>12,814</w:t>
            </w:r>
          </w:p>
        </w:tc>
        <w:tc>
          <w:tcPr>
            <w:tcW w:w="2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w:t>
            </w:r>
          </w:p>
        </w:tc>
        <w:tc>
          <w:tcPr>
            <w:tcW w:w="114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6,223</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240" w:type="dxa"/>
            <w:vAlign w:val="bottom"/>
            <w:shd w:val="clear" w:color="auto" w:fill="CCEEFF"/>
          </w:tcPr>
          <w:p>
            <w:pPr>
              <w:jc w:val="right"/>
              <w:ind w:right="20"/>
              <w:spacing w:after="0"/>
              <w:rPr>
                <w:sz w:val="20"/>
                <w:szCs w:val="20"/>
                <w:color w:val="auto"/>
              </w:rPr>
            </w:pPr>
            <w:r>
              <w:rPr>
                <w:rFonts w:ascii="Calibri" w:cs="Calibri" w:eastAsia="Calibri" w:hAnsi="Calibri"/>
                <w:sz w:val="17"/>
                <w:szCs w:val="17"/>
                <w:color w:val="auto"/>
              </w:rPr>
              <w:t>6,591</w:t>
            </w:r>
          </w:p>
        </w:tc>
        <w:tc>
          <w:tcPr>
            <w:tcW w:w="320" w:type="dxa"/>
            <w:vAlign w:val="bottom"/>
            <w:shd w:val="clear" w:color="auto" w:fill="CCEEFF"/>
          </w:tcPr>
          <w:p>
            <w:pPr>
              <w:jc w:val="right"/>
              <w:ind w:right="78"/>
              <w:spacing w:after="0"/>
              <w:rPr>
                <w:sz w:val="20"/>
                <w:szCs w:val="20"/>
                <w:color w:val="auto"/>
              </w:rPr>
            </w:pPr>
            <w:r>
              <w:rPr>
                <w:rFonts w:ascii="Calibri" w:cs="Calibri" w:eastAsia="Calibri" w:hAnsi="Calibri"/>
                <w:sz w:val="17"/>
                <w:szCs w:val="17"/>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Money market funds and tme deposits</w:t>
            </w:r>
          </w:p>
        </w:tc>
        <w:tc>
          <w:tcPr>
            <w:tcW w:w="1700" w:type="dxa"/>
            <w:vAlign w:val="bottom"/>
          </w:tcPr>
          <w:p>
            <w:pPr>
              <w:spacing w:after="0"/>
              <w:rPr>
                <w:sz w:val="18"/>
                <w:szCs w:val="18"/>
                <w:color w:val="auto"/>
              </w:rPr>
            </w:pP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10</w:t>
            </w:r>
          </w:p>
        </w:tc>
        <w:tc>
          <w:tcPr>
            <w:tcW w:w="280" w:type="dxa"/>
            <w:vAlign w:val="bottom"/>
          </w:tcPr>
          <w:p>
            <w:pPr>
              <w:spacing w:after="0"/>
              <w:rPr>
                <w:sz w:val="18"/>
                <w:szCs w:val="18"/>
                <w:color w:val="auto"/>
              </w:rPr>
            </w:pP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40" w:type="dxa"/>
            <w:vAlign w:val="bottom"/>
          </w:tcPr>
          <w:p>
            <w:pPr>
              <w:jc w:val="right"/>
              <w:ind w:right="20"/>
              <w:spacing w:after="0" w:line="205" w:lineRule="exact"/>
              <w:rPr>
                <w:sz w:val="20"/>
                <w:szCs w:val="20"/>
                <w:color w:val="auto"/>
              </w:rPr>
            </w:pPr>
            <w:r>
              <w:rPr>
                <w:rFonts w:ascii="Calibri" w:cs="Calibri" w:eastAsia="Calibri" w:hAnsi="Calibri"/>
                <w:sz w:val="17"/>
                <w:szCs w:val="17"/>
                <w:color w:val="auto"/>
              </w:rPr>
              <w:t>10</w:t>
            </w:r>
          </w:p>
        </w:tc>
        <w:tc>
          <w:tcPr>
            <w:tcW w:w="32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26"/>
        </w:trPr>
        <w:tc>
          <w:tcPr>
            <w:tcW w:w="40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Debt securites</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6"/>
              <w:spacing w:after="0"/>
              <w:rPr>
                <w:sz w:val="20"/>
                <w:szCs w:val="20"/>
                <w:color w:val="auto"/>
              </w:rPr>
            </w:pPr>
            <w:r>
              <w:rPr>
                <w:rFonts w:ascii="Calibri" w:cs="Calibri" w:eastAsia="Calibri" w:hAnsi="Calibri"/>
                <w:sz w:val="17"/>
                <w:szCs w:val="17"/>
                <w:color w:val="auto"/>
              </w:rPr>
              <w:t>26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
              <w:spacing w:after="0"/>
              <w:rPr>
                <w:sz w:val="20"/>
                <w:szCs w:val="20"/>
                <w:color w:val="auto"/>
              </w:rPr>
            </w:pPr>
            <w:r>
              <w:rPr>
                <w:rFonts w:ascii="Calibri" w:cs="Calibri" w:eastAsia="Calibri" w:hAnsi="Calibri"/>
                <w:sz w:val="17"/>
                <w:szCs w:val="17"/>
                <w:color w:val="auto"/>
              </w:rPr>
              <w:t>26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Equity securites</w:t>
            </w:r>
          </w:p>
        </w:tc>
        <w:tc>
          <w:tcPr>
            <w:tcW w:w="1700" w:type="dxa"/>
            <w:vAlign w:val="bottom"/>
          </w:tcPr>
          <w:p>
            <w:pPr>
              <w:spacing w:after="0"/>
              <w:rPr>
                <w:sz w:val="18"/>
                <w:szCs w:val="18"/>
                <w:color w:val="auto"/>
              </w:rPr>
            </w:pP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111</w:t>
            </w:r>
          </w:p>
        </w:tc>
        <w:tc>
          <w:tcPr>
            <w:tcW w:w="280" w:type="dxa"/>
            <w:vAlign w:val="bottom"/>
          </w:tcPr>
          <w:p>
            <w:pPr>
              <w:spacing w:after="0"/>
              <w:rPr>
                <w:sz w:val="18"/>
                <w:szCs w:val="18"/>
                <w:color w:val="auto"/>
              </w:rPr>
            </w:pP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86</w:t>
            </w:r>
          </w:p>
        </w:tc>
        <w:tc>
          <w:tcPr>
            <w:tcW w:w="220" w:type="dxa"/>
            <w:vAlign w:val="bottom"/>
          </w:tcPr>
          <w:p>
            <w:pPr>
              <w:spacing w:after="0"/>
              <w:rPr>
                <w:sz w:val="18"/>
                <w:szCs w:val="18"/>
                <w:color w:val="auto"/>
              </w:rPr>
            </w:pPr>
          </w:p>
        </w:tc>
        <w:tc>
          <w:tcPr>
            <w:tcW w:w="1240" w:type="dxa"/>
            <w:vAlign w:val="bottom"/>
          </w:tcPr>
          <w:p>
            <w:pPr>
              <w:jc w:val="right"/>
              <w:ind w:right="20"/>
              <w:spacing w:after="0" w:line="205" w:lineRule="exact"/>
              <w:rPr>
                <w:sz w:val="20"/>
                <w:szCs w:val="20"/>
                <w:color w:val="auto"/>
              </w:rPr>
            </w:pPr>
            <w:r>
              <w:rPr>
                <w:rFonts w:ascii="Calibri" w:cs="Calibri" w:eastAsia="Calibri" w:hAnsi="Calibri"/>
                <w:sz w:val="17"/>
                <w:szCs w:val="17"/>
                <w:color w:val="auto"/>
              </w:rPr>
              <w:t>25</w:t>
            </w:r>
          </w:p>
        </w:tc>
        <w:tc>
          <w:tcPr>
            <w:tcW w:w="32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19"/>
        </w:trPr>
        <w:tc>
          <w:tcPr>
            <w:tcW w:w="40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Foreign currency contracts</w:t>
            </w:r>
          </w:p>
        </w:tc>
        <w:tc>
          <w:tcPr>
            <w:tcW w:w="1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Calibri" w:cs="Calibri" w:eastAsia="Calibri" w:hAnsi="Calibri"/>
                <w:sz w:val="17"/>
                <w:szCs w:val="17"/>
                <w:color w:val="auto"/>
              </w:rPr>
              <w:t>66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Calibri" w:cs="Calibri" w:eastAsia="Calibri" w:hAnsi="Calibri"/>
                <w:sz w:val="17"/>
                <w:szCs w:val="17"/>
                <w:color w:val="auto"/>
              </w:rPr>
              <w:t>66</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assets</w:t>
            </w:r>
          </w:p>
        </w:tc>
        <w:tc>
          <w:tcPr>
            <w:tcW w:w="170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tcPr>
          <w:p>
            <w:pPr>
              <w:jc w:val="right"/>
              <w:ind w:right="76"/>
              <w:spacing w:after="0" w:line="205" w:lineRule="exact"/>
              <w:rPr>
                <w:sz w:val="20"/>
                <w:szCs w:val="20"/>
                <w:color w:val="auto"/>
              </w:rPr>
            </w:pPr>
            <w:r>
              <w:rPr>
                <w:rFonts w:ascii="Calibri" w:cs="Calibri" w:eastAsia="Calibri" w:hAnsi="Calibri"/>
                <w:sz w:val="17"/>
                <w:szCs w:val="17"/>
                <w:color w:val="auto"/>
              </w:rPr>
              <w:t>13,027</w:t>
            </w:r>
          </w:p>
        </w:tc>
        <w:tc>
          <w:tcPr>
            <w:tcW w:w="2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6,309</w:t>
            </w:r>
          </w:p>
        </w:tc>
        <w:tc>
          <w:tcPr>
            <w:tcW w:w="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40" w:type="dxa"/>
            <w:vAlign w:val="bottom"/>
            <w:tcBorders>
              <w:bottom w:val="single" w:sz="8" w:color="auto"/>
            </w:tcBorders>
          </w:tcPr>
          <w:p>
            <w:pPr>
              <w:jc w:val="right"/>
              <w:ind w:right="20"/>
              <w:spacing w:after="0" w:line="205" w:lineRule="exact"/>
              <w:rPr>
                <w:sz w:val="20"/>
                <w:szCs w:val="20"/>
                <w:color w:val="auto"/>
              </w:rPr>
            </w:pPr>
            <w:r>
              <w:rPr>
                <w:rFonts w:ascii="Calibri" w:cs="Calibri" w:eastAsia="Calibri" w:hAnsi="Calibri"/>
                <w:sz w:val="17"/>
                <w:szCs w:val="17"/>
                <w:color w:val="auto"/>
              </w:rPr>
              <w:t>6,718</w:t>
            </w:r>
          </w:p>
        </w:tc>
        <w:tc>
          <w:tcPr>
            <w:tcW w:w="320" w:type="dxa"/>
            <w:vAlign w:val="bottom"/>
            <w:tcBorders>
              <w:bottom w:val="single" w:sz="8" w:color="auto"/>
            </w:tcBorders>
          </w:tcPr>
          <w:p>
            <w:pPr>
              <w:jc w:val="right"/>
              <w:ind w:right="78"/>
              <w:spacing w:after="0" w:line="205" w:lineRule="exact"/>
              <w:rPr>
                <w:sz w:val="20"/>
                <w:szCs w:val="20"/>
                <w:color w:val="auto"/>
              </w:rPr>
            </w:pPr>
            <w:r>
              <w:rPr>
                <w:rFonts w:ascii="Calibri" w:cs="Calibri" w:eastAsia="Calibri" w:hAnsi="Calibri"/>
                <w:sz w:val="17"/>
                <w:szCs w:val="17"/>
                <w:color w:val="auto"/>
              </w:rPr>
              <w:t>$</w:t>
            </w: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8"/>
        </w:trPr>
        <w:tc>
          <w:tcPr>
            <w:tcW w:w="408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b w:val="1"/>
                <w:bCs w:val="1"/>
                <w:color w:val="auto"/>
              </w:rPr>
              <w:t>Liabilites</w:t>
            </w: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4080" w:type="dxa"/>
            <w:vAlign w:val="bottom"/>
          </w:tcPr>
          <w:p>
            <w:pPr>
              <w:ind w:left="20"/>
              <w:spacing w:after="0" w:line="205" w:lineRule="exact"/>
              <w:rPr>
                <w:sz w:val="20"/>
                <w:szCs w:val="20"/>
                <w:color w:val="auto"/>
              </w:rPr>
            </w:pPr>
            <w:r>
              <w:rPr>
                <w:rFonts w:ascii="Calibri" w:cs="Calibri" w:eastAsia="Calibri" w:hAnsi="Calibri"/>
                <w:sz w:val="17"/>
                <w:szCs w:val="17"/>
                <w:color w:val="auto"/>
              </w:rPr>
              <w:t>Interest rate swap contracts</w:t>
            </w:r>
          </w:p>
        </w:tc>
        <w:tc>
          <w:tcPr>
            <w:tcW w:w="1700" w:type="dxa"/>
            <w:vAlign w:val="bottom"/>
          </w:tcPr>
          <w:p>
            <w:pPr>
              <w:jc w:val="right"/>
              <w:ind w:right="13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ind w:right="76"/>
              <w:spacing w:after="0" w:line="205" w:lineRule="exact"/>
              <w:rPr>
                <w:sz w:val="20"/>
                <w:szCs w:val="20"/>
                <w:color w:val="auto"/>
              </w:rPr>
            </w:pPr>
            <w:r>
              <w:rPr>
                <w:rFonts w:ascii="Calibri" w:cs="Calibri" w:eastAsia="Calibri" w:hAnsi="Calibri"/>
                <w:sz w:val="17"/>
                <w:szCs w:val="17"/>
                <w:color w:val="auto"/>
              </w:rPr>
              <w:t>293</w:t>
            </w:r>
          </w:p>
        </w:tc>
        <w:tc>
          <w:tcPr>
            <w:tcW w:w="28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1240" w:type="dxa"/>
            <w:vAlign w:val="bottom"/>
          </w:tcPr>
          <w:p>
            <w:pPr>
              <w:jc w:val="right"/>
              <w:ind w:right="20"/>
              <w:spacing w:after="0" w:line="205" w:lineRule="exact"/>
              <w:rPr>
                <w:sz w:val="20"/>
                <w:szCs w:val="20"/>
                <w:color w:val="auto"/>
              </w:rPr>
            </w:pPr>
            <w:r>
              <w:rPr>
                <w:rFonts w:ascii="Calibri" w:cs="Calibri" w:eastAsia="Calibri" w:hAnsi="Calibri"/>
                <w:sz w:val="17"/>
                <w:szCs w:val="17"/>
                <w:color w:val="auto"/>
              </w:rPr>
              <w:t>293</w:t>
            </w:r>
          </w:p>
        </w:tc>
        <w:tc>
          <w:tcPr>
            <w:tcW w:w="320" w:type="dxa"/>
            <w:vAlign w:val="bottom"/>
          </w:tcPr>
          <w:p>
            <w:pPr>
              <w:jc w:val="right"/>
              <w:ind w:right="78"/>
              <w:spacing w:after="0" w:line="205" w:lineRule="exact"/>
              <w:rPr>
                <w:sz w:val="20"/>
                <w:szCs w:val="20"/>
                <w:color w:val="auto"/>
              </w:rPr>
            </w:pPr>
            <w:r>
              <w:rPr>
                <w:rFonts w:ascii="Calibri" w:cs="Calibri" w:eastAsia="Calibri" w:hAnsi="Calibri"/>
                <w:sz w:val="17"/>
                <w:szCs w:val="17"/>
                <w:color w:val="auto"/>
              </w:rPr>
              <w:t>$</w:t>
            </w: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26"/>
        </w:trPr>
        <w:tc>
          <w:tcPr>
            <w:tcW w:w="408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Foreign currency contracts</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6"/>
              <w:spacing w:after="0"/>
              <w:rPr>
                <w:sz w:val="20"/>
                <w:szCs w:val="20"/>
                <w:color w:val="auto"/>
              </w:rPr>
            </w:pPr>
            <w:r>
              <w:rPr>
                <w:rFonts w:ascii="Calibri" w:cs="Calibri" w:eastAsia="Calibri" w:hAnsi="Calibri"/>
                <w:sz w:val="17"/>
                <w:szCs w:val="17"/>
                <w:color w:val="auto"/>
              </w:rPr>
              <w:t>203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
              <w:spacing w:after="0"/>
              <w:rPr>
                <w:sz w:val="20"/>
                <w:szCs w:val="20"/>
                <w:color w:val="auto"/>
              </w:rPr>
            </w:pPr>
            <w:r>
              <w:rPr>
                <w:rFonts w:ascii="Calibri" w:cs="Calibri" w:eastAsia="Calibri" w:hAnsi="Calibri"/>
                <w:sz w:val="17"/>
                <w:szCs w:val="17"/>
                <w:color w:val="auto"/>
              </w:rPr>
              <w:t>203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40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Contngent consideraton</w:t>
            </w:r>
          </w:p>
        </w:tc>
        <w:tc>
          <w:tcPr>
            <w:tcW w:w="1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6"/>
              <w:spacing w:after="0" w:line="205" w:lineRule="exact"/>
              <w:rPr>
                <w:sz w:val="20"/>
                <w:szCs w:val="20"/>
                <w:color w:val="auto"/>
              </w:rPr>
            </w:pPr>
            <w:r>
              <w:rPr>
                <w:rFonts w:ascii="Calibri" w:cs="Calibri" w:eastAsia="Calibri" w:hAnsi="Calibri"/>
                <w:sz w:val="17"/>
                <w:szCs w:val="17"/>
                <w:color w:val="auto"/>
              </w:rPr>
              <w:t>19,890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line="205" w:lineRule="exact"/>
              <w:rPr>
                <w:sz w:val="20"/>
                <w:szCs w:val="20"/>
                <w:color w:val="auto"/>
              </w:rPr>
            </w:pPr>
            <w:r>
              <w:rPr>
                <w:rFonts w:ascii="Calibri" w:cs="Calibri" w:eastAsia="Calibri" w:hAnsi="Calibri"/>
                <w:sz w:val="17"/>
                <w:szCs w:val="17"/>
                <w:color w:val="auto"/>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19,890</w:t>
            </w:r>
          </w:p>
        </w:tc>
      </w:tr>
      <w:tr>
        <w:trPr>
          <w:trHeight w:val="237"/>
        </w:trPr>
        <w:tc>
          <w:tcPr>
            <w:tcW w:w="408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liabilites</w:t>
            </w:r>
          </w:p>
        </w:tc>
        <w:tc>
          <w:tcPr>
            <w:tcW w:w="1700" w:type="dxa"/>
            <w:vAlign w:val="bottom"/>
            <w:tcBorders>
              <w:bottom w:val="single" w:sz="8" w:color="auto"/>
            </w:tcBorders>
            <w:shd w:val="clear" w:color="auto" w:fill="CCEEFF"/>
          </w:tcPr>
          <w:p>
            <w:pPr>
              <w:jc w:val="right"/>
              <w:ind w:right="13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shd w:val="clear" w:color="auto" w:fill="CCEEFF"/>
          </w:tcPr>
          <w:p>
            <w:pPr>
              <w:jc w:val="right"/>
              <w:ind w:right="76"/>
              <w:spacing w:after="0" w:line="205" w:lineRule="exact"/>
              <w:rPr>
                <w:sz w:val="20"/>
                <w:szCs w:val="20"/>
                <w:color w:val="auto"/>
              </w:rPr>
            </w:pPr>
            <w:r>
              <w:rPr>
                <w:rFonts w:ascii="Calibri" w:cs="Calibri" w:eastAsia="Calibri" w:hAnsi="Calibri"/>
                <w:sz w:val="17"/>
                <w:szCs w:val="17"/>
                <w:color w:val="auto"/>
              </w:rPr>
              <w:t>20,386</w:t>
            </w:r>
          </w:p>
        </w:tc>
        <w:tc>
          <w:tcPr>
            <w:tcW w:w="28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40" w:type="dxa"/>
            <w:vAlign w:val="bottom"/>
            <w:tcBorders>
              <w:bottom w:val="single" w:sz="8" w:color="auto"/>
            </w:tcBorders>
            <w:shd w:val="clear" w:color="auto" w:fill="CCEEFF"/>
          </w:tcPr>
          <w:p>
            <w:pPr>
              <w:jc w:val="right"/>
              <w:ind w:right="20"/>
              <w:spacing w:after="0" w:line="205" w:lineRule="exact"/>
              <w:rPr>
                <w:sz w:val="20"/>
                <w:szCs w:val="20"/>
                <w:color w:val="auto"/>
              </w:rPr>
            </w:pPr>
            <w:r>
              <w:rPr>
                <w:rFonts w:ascii="Calibri" w:cs="Calibri" w:eastAsia="Calibri" w:hAnsi="Calibri"/>
                <w:sz w:val="17"/>
                <w:szCs w:val="17"/>
                <w:color w:val="auto"/>
              </w:rPr>
              <w:t>496</w:t>
            </w:r>
          </w:p>
        </w:tc>
        <w:tc>
          <w:tcPr>
            <w:tcW w:w="320" w:type="dxa"/>
            <w:vAlign w:val="bottom"/>
            <w:tcBorders>
              <w:bottom w:val="single" w:sz="8" w:color="auto"/>
            </w:tcBorders>
            <w:shd w:val="clear" w:color="auto" w:fill="CCEEFF"/>
          </w:tcPr>
          <w:p>
            <w:pPr>
              <w:jc w:val="right"/>
              <w:ind w:right="78"/>
              <w:spacing w:after="0" w:line="205" w:lineRule="exact"/>
              <w:rPr>
                <w:sz w:val="20"/>
                <w:szCs w:val="20"/>
                <w:color w:val="auto"/>
              </w:rPr>
            </w:pPr>
            <w:r>
              <w:rPr>
                <w:rFonts w:ascii="Calibri" w:cs="Calibri" w:eastAsia="Calibri" w:hAnsi="Calibri"/>
                <w:sz w:val="17"/>
                <w:szCs w:val="17"/>
                <w:color w:val="auto"/>
              </w:rPr>
              <w:t>$</w:t>
            </w:r>
          </w:p>
        </w:tc>
        <w:tc>
          <w:tcPr>
            <w:tcW w:w="11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19,890</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Money market funds and tme deposits are valued using relevant observable market inputs including quoted prices for similar assets and interest rate curves. Equity securites primarily consist of investments for which the fair values were determined by using the published market prices per unit multplied by the number of units held, without consideraton of transacton costs. The derivatves entered into by the company were valued using observable market inputs including published interest rate curves and both forward and spot prices for foreign currencies.</w:t>
      </w:r>
    </w:p>
    <w:p>
      <w:pPr>
        <w:spacing w:after="0" w:line="144"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 xml:space="preserve">The fnancing liability is related to funding agreements entered into by Cerevel Therapeutcs prior to the acquisiton and assumed by AbbVie. The funding agreements represent fnancial instruments that are accounted for as fnancing arrangements and the company elected to account for the fnancing liability in accordance with the fair value opton, as permited under ASC 825 </w:t>
      </w:r>
      <w:r>
        <w:rPr>
          <w:rFonts w:ascii="Calibri" w:cs="Calibri" w:eastAsia="Calibri" w:hAnsi="Calibri"/>
          <w:sz w:val="17"/>
          <w:szCs w:val="17"/>
          <w:i w:val="1"/>
          <w:iCs w:val="1"/>
          <w:color w:val="auto"/>
        </w:rPr>
        <w:t>Financial Instruments</w:t>
      </w:r>
      <w:r>
        <w:rPr>
          <w:rFonts w:ascii="Calibri" w:cs="Calibri" w:eastAsia="Calibri" w:hAnsi="Calibri"/>
          <w:sz w:val="17"/>
          <w:szCs w:val="17"/>
          <w:color w:val="auto"/>
        </w:rPr>
        <w:t>. The fair value measurement of the fnancing liability was determined based on signifcant unobservable inputs. Potental payments are estmated by applying a probability-weighted expected payment model for regulatory milestone payments and a Monte Carlo simulaton model for sales milestones and royalty payments, which are then discounted to present value. Changes to the fair value of the fnancing liability can result from changes to one or a number of inputs, including discount rates, estmated probabilites and tming of achieving milestones and estmated amounts of future sales. The change in fair value recognized in net earnings is recorded in other expense (income), net in the condensed consolidated statements of earnings and the change in fair value atributable to instrument-specifc credit risk is recognized in other comprehensive loss. Changes in fair value recognized in other expense (income), net and other comprehensive loss for the three months ended September 30, 2024 were not signifcant.</w:t>
      </w:r>
    </w:p>
    <w:p>
      <w:pPr>
        <w:spacing w:after="0" w:line="133" w:lineRule="exact"/>
        <w:rPr>
          <w:sz w:val="20"/>
          <w:szCs w:val="20"/>
          <w:color w:val="auto"/>
        </w:rPr>
      </w:pPr>
    </w:p>
    <w:p>
      <w:pPr>
        <w:ind w:right="160"/>
        <w:spacing w:after="0" w:line="250" w:lineRule="auto"/>
        <w:rPr>
          <w:sz w:val="20"/>
          <w:szCs w:val="20"/>
          <w:color w:val="auto"/>
        </w:rPr>
      </w:pPr>
      <w:r>
        <w:rPr>
          <w:rFonts w:ascii="Calibri" w:cs="Calibri" w:eastAsia="Calibri" w:hAnsi="Calibri"/>
          <w:sz w:val="16"/>
          <w:szCs w:val="16"/>
          <w:color w:val="auto"/>
        </w:rPr>
        <w:t>The fair value measurements of the contngent consideraton liabilites were determined based on signifcant unobservable inputs, including the discount rate, estmated probabilites and tming of achieving specifed development, regulatory and commercial milestones and the estmated amount of future sales of the acquired products. The potental contngent consideraton payments are estmated by applying a probability-weighted expected payment model for contngent milestone payments and a Monte Carlo simulaton model for contngent royalty payments, which are then discounted to present value. Changes to the fair value of the contngent consideraton liabilites can result from changes to one or a number of inputs, including discount rates, the probabilites of achieving the milestones, the tme required to achieve the milestones and estmated future sales. Signifcant judgment is employed in determining the appropriateness of certain of these inputs. Changes to the inputs described above could have a material impact on the company's fnancial positon and results of operatons in any given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369570</wp:posOffset>
            </wp:positionV>
            <wp:extent cx="491490" cy="901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19</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1" w:name="page22"/>
    <w:bookmarkEnd w:id="21"/>
    <w:p>
      <w:pPr>
        <w:spacing w:after="0"/>
        <w:rPr>
          <w:sz w:val="20"/>
          <w:szCs w:val="20"/>
          <w:color w:val="auto"/>
        </w:rPr>
      </w:pPr>
      <w:r>
        <w:rPr>
          <w:rFonts w:ascii="Calibri" w:cs="Calibri" w:eastAsia="Calibri" w:hAnsi="Calibri"/>
          <w:sz w:val="17"/>
          <w:szCs w:val="17"/>
          <w:color w:val="auto"/>
        </w:rPr>
        <w:t>The fair value of the company's contngent consideraton liabilites was calculated using the following signifcant unobservable inputs: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68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September 30, 2024</w:t>
            </w:r>
          </w:p>
        </w:tc>
        <w:tc>
          <w:tcPr>
            <w:tcW w:w="2580" w:type="dxa"/>
            <w:vAlign w:val="bottom"/>
            <w:gridSpan w:val="2"/>
          </w:tcPr>
          <w:p>
            <w:pPr>
              <w:jc w:val="right"/>
              <w:ind w:right="658"/>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43"/>
        </w:trPr>
        <w:tc>
          <w:tcPr>
            <w:tcW w:w="59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1"/>
              <w:spacing w:after="0" w:line="164" w:lineRule="exact"/>
              <w:rPr>
                <w:sz w:val="20"/>
                <w:szCs w:val="20"/>
                <w:color w:val="auto"/>
              </w:rPr>
            </w:pPr>
            <w:r>
              <w:rPr>
                <w:rFonts w:ascii="Calibri" w:cs="Calibri" w:eastAsia="Calibri" w:hAnsi="Calibri"/>
                <w:sz w:val="14"/>
                <w:szCs w:val="14"/>
                <w:b w:val="1"/>
                <w:bCs w:val="1"/>
                <w:color w:val="auto"/>
              </w:rPr>
              <w:t>Range</w:t>
            </w:r>
          </w:p>
        </w:tc>
        <w:tc>
          <w:tcPr>
            <w:tcW w:w="1260" w:type="dxa"/>
            <w:vAlign w:val="bottom"/>
            <w:tcBorders>
              <w:bottom w:val="single" w:sz="8" w:color="auto"/>
            </w:tcBorders>
          </w:tcPr>
          <w:p>
            <w:pPr>
              <w:jc w:val="right"/>
              <w:spacing w:after="0" w:line="186" w:lineRule="exact"/>
              <w:rPr>
                <w:sz w:val="20"/>
                <w:szCs w:val="20"/>
                <w:color w:val="auto"/>
              </w:rPr>
            </w:pPr>
            <w:r>
              <w:rPr>
                <w:rFonts w:ascii="Calibri" w:cs="Calibri" w:eastAsia="Calibri" w:hAnsi="Calibri"/>
                <w:sz w:val="14"/>
                <w:szCs w:val="14"/>
                <w:b w:val="1"/>
                <w:bCs w:val="1"/>
                <w:color w:val="auto"/>
                <w:w w:val="97"/>
              </w:rPr>
              <w:t>Weighted average</w:t>
            </w:r>
            <w:r>
              <w:rPr>
                <w:rFonts w:ascii="Calibri" w:cs="Calibri" w:eastAsia="Calibri" w:hAnsi="Calibri"/>
                <w:sz w:val="17"/>
                <w:szCs w:val="17"/>
                <w:b w:val="1"/>
                <w:bCs w:val="1"/>
                <w:color w:val="auto"/>
                <w:w w:val="97"/>
                <w:vertAlign w:val="superscript"/>
              </w:rPr>
              <w:t>(a)</w:t>
            </w:r>
          </w:p>
        </w:tc>
        <w:tc>
          <w:tcPr>
            <w:tcW w:w="1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ind w:right="421"/>
              <w:spacing w:after="0" w:line="164" w:lineRule="exact"/>
              <w:rPr>
                <w:sz w:val="20"/>
                <w:szCs w:val="20"/>
                <w:color w:val="auto"/>
              </w:rPr>
            </w:pPr>
            <w:r>
              <w:rPr>
                <w:rFonts w:ascii="Calibri" w:cs="Calibri" w:eastAsia="Calibri" w:hAnsi="Calibri"/>
                <w:sz w:val="14"/>
                <w:szCs w:val="14"/>
                <w:b w:val="1"/>
                <w:bCs w:val="1"/>
                <w:color w:val="auto"/>
              </w:rPr>
              <w:t>Range</w:t>
            </w:r>
          </w:p>
        </w:tc>
        <w:tc>
          <w:tcPr>
            <w:tcW w:w="1260" w:type="dxa"/>
            <w:vAlign w:val="bottom"/>
            <w:tcBorders>
              <w:bottom w:val="single" w:sz="8" w:color="auto"/>
            </w:tcBorders>
          </w:tcPr>
          <w:p>
            <w:pPr>
              <w:jc w:val="right"/>
              <w:spacing w:after="0" w:line="186" w:lineRule="exact"/>
              <w:rPr>
                <w:sz w:val="20"/>
                <w:szCs w:val="20"/>
                <w:color w:val="auto"/>
              </w:rPr>
            </w:pPr>
            <w:r>
              <w:rPr>
                <w:rFonts w:ascii="Calibri" w:cs="Calibri" w:eastAsia="Calibri" w:hAnsi="Calibri"/>
                <w:sz w:val="14"/>
                <w:szCs w:val="14"/>
                <w:b w:val="1"/>
                <w:bCs w:val="1"/>
                <w:color w:val="auto"/>
                <w:w w:val="97"/>
              </w:rPr>
              <w:t>Weighted average</w:t>
            </w:r>
            <w:r>
              <w:rPr>
                <w:rFonts w:ascii="Calibri" w:cs="Calibri" w:eastAsia="Calibri" w:hAnsi="Calibri"/>
                <w:sz w:val="17"/>
                <w:szCs w:val="17"/>
                <w:b w:val="1"/>
                <w:bCs w:val="1"/>
                <w:color w:val="auto"/>
                <w:w w:val="97"/>
                <w:vertAlign w:val="superscript"/>
              </w:rPr>
              <w:t>(a)</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Discount rate</w:t>
            </w:r>
          </w:p>
        </w:tc>
        <w:tc>
          <w:tcPr>
            <w:tcW w:w="13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3.9% - 5.1%</w:t>
            </w:r>
          </w:p>
        </w:tc>
        <w:tc>
          <w:tcPr>
            <w:tcW w:w="12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4.3% - 5.9%</w:t>
            </w:r>
          </w:p>
        </w:tc>
        <w:tc>
          <w:tcPr>
            <w:tcW w:w="12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4.5%</w:t>
            </w:r>
          </w:p>
        </w:tc>
        <w:tc>
          <w:tcPr>
            <w:tcW w:w="0" w:type="dxa"/>
            <w:vAlign w:val="bottom"/>
          </w:tcPr>
          <w:p>
            <w:pPr>
              <w:spacing w:after="0"/>
              <w:rPr>
                <w:sz w:val="1"/>
                <w:szCs w:val="1"/>
                <w:color w:val="auto"/>
              </w:rPr>
            </w:pPr>
          </w:p>
        </w:tc>
      </w:tr>
      <w:tr>
        <w:trPr>
          <w:trHeight w:val="219"/>
        </w:trPr>
        <w:tc>
          <w:tcPr>
            <w:tcW w:w="5980" w:type="dxa"/>
            <w:vAlign w:val="bottom"/>
          </w:tcPr>
          <w:p>
            <w:pPr>
              <w:ind w:left="20"/>
              <w:spacing w:after="0" w:line="219" w:lineRule="exact"/>
              <w:rPr>
                <w:sz w:val="20"/>
                <w:szCs w:val="20"/>
                <w:color w:val="auto"/>
              </w:rPr>
            </w:pPr>
            <w:r>
              <w:rPr>
                <w:rFonts w:ascii="Calibri" w:cs="Calibri" w:eastAsia="Calibri" w:hAnsi="Calibri"/>
                <w:sz w:val="17"/>
                <w:szCs w:val="17"/>
                <w:color w:val="auto"/>
              </w:rPr>
              <w:t>Probability of payment for royaltes by indicaton</w:t>
            </w:r>
            <w:r>
              <w:rPr>
                <w:rFonts w:ascii="Calibri" w:cs="Calibri" w:eastAsia="Calibri" w:hAnsi="Calibri"/>
                <w:sz w:val="22"/>
                <w:szCs w:val="22"/>
                <w:color w:val="auto"/>
                <w:vertAlign w:val="superscript"/>
              </w:rPr>
              <w:t>(b)</w:t>
            </w: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100% - 100%</w:t>
            </w:r>
          </w:p>
        </w:tc>
        <w:tc>
          <w:tcPr>
            <w:tcW w:w="1260" w:type="dxa"/>
            <w:vAlign w:val="bottom"/>
          </w:tcPr>
          <w:p>
            <w:pPr>
              <w:jc w:val="right"/>
              <w:spacing w:after="0" w:line="205" w:lineRule="exact"/>
              <w:rPr>
                <w:sz w:val="20"/>
                <w:szCs w:val="20"/>
                <w:color w:val="auto"/>
              </w:rPr>
            </w:pPr>
            <w:r>
              <w:rPr>
                <w:rFonts w:ascii="Calibri" w:cs="Calibri" w:eastAsia="Calibri" w:hAnsi="Calibri"/>
                <w:sz w:val="17"/>
                <w:szCs w:val="17"/>
                <w:color w:val="auto"/>
              </w:rPr>
              <w:t>100%</w:t>
            </w:r>
          </w:p>
        </w:tc>
        <w:tc>
          <w:tcPr>
            <w:tcW w:w="100" w:type="dxa"/>
            <w:vAlign w:val="bottom"/>
          </w:tcPr>
          <w:p>
            <w:pPr>
              <w:spacing w:after="0"/>
              <w:rPr>
                <w:sz w:val="19"/>
                <w:szCs w:val="19"/>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89% - 100%</w:t>
            </w:r>
          </w:p>
        </w:tc>
        <w:tc>
          <w:tcPr>
            <w:tcW w:w="1260" w:type="dxa"/>
            <w:vAlign w:val="bottom"/>
          </w:tcPr>
          <w:p>
            <w:pPr>
              <w:jc w:val="right"/>
              <w:spacing w:after="0" w:line="205" w:lineRule="exact"/>
              <w:rPr>
                <w:sz w:val="20"/>
                <w:szCs w:val="20"/>
                <w:color w:val="auto"/>
              </w:rPr>
            </w:pPr>
            <w:r>
              <w:rPr>
                <w:rFonts w:ascii="Calibri" w:cs="Calibri" w:eastAsia="Calibri" w:hAnsi="Calibri"/>
                <w:sz w:val="17"/>
                <w:szCs w:val="17"/>
                <w:color w:val="auto"/>
              </w:rPr>
              <w:t>99%</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Projected year of payments</w:t>
            </w:r>
          </w:p>
        </w:tc>
        <w:tc>
          <w:tcPr>
            <w:tcW w:w="13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2024 - 2034</w:t>
            </w:r>
          </w:p>
        </w:tc>
        <w:tc>
          <w:tcPr>
            <w:tcW w:w="12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2028</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2024 - 2034</w:t>
            </w:r>
          </w:p>
        </w:tc>
        <w:tc>
          <w:tcPr>
            <w:tcW w:w="12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2027</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20" w:hanging="217"/>
        <w:spacing w:after="0"/>
        <w:tabs>
          <w:tab w:leader="none" w:pos="220"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Unobservable inputs were weighted by the relatve fair value of the contngent consideraton liabilites.</w:t>
      </w:r>
    </w:p>
    <w:p>
      <w:pPr>
        <w:spacing w:after="0" w:line="140" w:lineRule="exact"/>
        <w:rPr>
          <w:rFonts w:ascii="Calibri" w:cs="Calibri" w:eastAsia="Calibri" w:hAnsi="Calibri"/>
          <w:sz w:val="17"/>
          <w:szCs w:val="17"/>
          <w:color w:val="auto"/>
        </w:rPr>
      </w:pPr>
    </w:p>
    <w:p>
      <w:pPr>
        <w:ind w:left="240" w:hanging="237"/>
        <w:spacing w:after="0"/>
        <w:tabs>
          <w:tab w:leader="none" w:pos="240"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Excluding approved indicatons, the estmated probability of payment was 89% at December 31, 2023.</w:t>
      </w:r>
    </w:p>
    <w:p>
      <w:pPr>
        <w:spacing w:after="0" w:line="130" w:lineRule="exact"/>
        <w:rPr>
          <w:sz w:val="20"/>
          <w:szCs w:val="20"/>
          <w:color w:val="auto"/>
        </w:rPr>
      </w:pPr>
    </w:p>
    <w:p>
      <w:pPr>
        <w:ind w:right="360"/>
        <w:spacing w:after="0" w:line="237" w:lineRule="auto"/>
        <w:rPr>
          <w:sz w:val="20"/>
          <w:szCs w:val="20"/>
          <w:color w:val="auto"/>
        </w:rPr>
      </w:pPr>
      <w:r>
        <w:rPr>
          <w:rFonts w:ascii="Calibri" w:cs="Calibri" w:eastAsia="Calibri" w:hAnsi="Calibri"/>
          <w:sz w:val="17"/>
          <w:szCs w:val="17"/>
          <w:color w:val="auto"/>
        </w:rPr>
        <w:t>There have been no transfers of assets or liabilites into or out of Level 3 of the fair value hierarchy. The following table presents the changes in fair value of total contngent consideraton liabilites which are measured using Level 3 inputs: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500"/>
              <w:spacing w:after="0"/>
              <w:rPr>
                <w:sz w:val="20"/>
                <w:szCs w:val="20"/>
                <w:color w:val="auto"/>
              </w:rPr>
            </w:pPr>
            <w:r>
              <w:rPr>
                <w:rFonts w:ascii="Calibri" w:cs="Calibri" w:eastAsia="Calibri" w:hAnsi="Calibri"/>
                <w:sz w:val="14"/>
                <w:szCs w:val="14"/>
                <w:b w:val="1"/>
                <w:bCs w:val="1"/>
                <w:color w:val="auto"/>
                <w:w w:val="95"/>
              </w:rPr>
              <w:t>Nine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640"/>
              <w:spacing w:after="0" w:line="164" w:lineRule="exact"/>
              <w:rPr>
                <w:sz w:val="20"/>
                <w:szCs w:val="20"/>
                <w:color w:val="auto"/>
              </w:rPr>
            </w:pPr>
            <w:r>
              <w:rPr>
                <w:rFonts w:ascii="Calibri" w:cs="Calibri" w:eastAsia="Calibri" w:hAnsi="Calibri"/>
                <w:sz w:val="14"/>
                <w:szCs w:val="14"/>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5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501"/>
              <w:spacing w:after="0" w:line="156"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3"/>
                <w:szCs w:val="13"/>
                <w:color w:val="auto"/>
              </w:rPr>
            </w:pPr>
          </w:p>
        </w:tc>
        <w:tc>
          <w:tcPr>
            <w:tcW w:w="800" w:type="dxa"/>
            <w:vAlign w:val="bottom"/>
          </w:tcPr>
          <w:p>
            <w:pPr>
              <w:jc w:val="right"/>
              <w:ind w:right="438"/>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Beginning balance</w:t>
            </w:r>
          </w:p>
        </w:tc>
        <w:tc>
          <w:tcPr>
            <w:tcW w:w="300" w:type="dxa"/>
            <w:vAlign w:val="bottom"/>
            <w:shd w:val="clear" w:color="auto" w:fill="CCEEFF"/>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shd w:val="clear" w:color="auto" w:fill="CCEEFF"/>
          </w:tcPr>
          <w:p>
            <w:pPr>
              <w:jc w:val="right"/>
              <w:ind w:right="41"/>
              <w:spacing w:after="0" w:line="205" w:lineRule="exact"/>
              <w:rPr>
                <w:sz w:val="20"/>
                <w:szCs w:val="20"/>
                <w:color w:val="auto"/>
              </w:rPr>
            </w:pPr>
            <w:r>
              <w:rPr>
                <w:rFonts w:ascii="Calibri" w:cs="Calibri" w:eastAsia="Calibri" w:hAnsi="Calibri"/>
                <w:sz w:val="17"/>
                <w:szCs w:val="17"/>
                <w:color w:val="auto"/>
              </w:rPr>
              <w:t>19,890</w:t>
            </w:r>
          </w:p>
        </w:tc>
        <w:tc>
          <w:tcPr>
            <w:tcW w:w="560" w:type="dxa"/>
            <w:vAlign w:val="bottom"/>
            <w:shd w:val="clear" w:color="auto" w:fill="CCEEFF"/>
          </w:tcPr>
          <w:p>
            <w:pPr>
              <w:jc w:val="right"/>
              <w:ind w:right="314"/>
              <w:spacing w:after="0" w:line="205" w:lineRule="exact"/>
              <w:rPr>
                <w:sz w:val="20"/>
                <w:szCs w:val="20"/>
                <w:color w:val="auto"/>
              </w:rPr>
            </w:pPr>
            <w:r>
              <w:rPr>
                <w:rFonts w:ascii="Calibri" w:cs="Calibri" w:eastAsia="Calibri" w:hAnsi="Calibri"/>
                <w:sz w:val="17"/>
                <w:szCs w:val="17"/>
                <w:color w:val="auto"/>
              </w:rPr>
              <w:t>$</w:t>
            </w:r>
          </w:p>
        </w:tc>
        <w:tc>
          <w:tcPr>
            <w:tcW w:w="8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16,384</w:t>
            </w:r>
          </w:p>
        </w:tc>
        <w:tc>
          <w:tcPr>
            <w:tcW w:w="0" w:type="dxa"/>
            <w:vAlign w:val="bottom"/>
          </w:tcPr>
          <w:p>
            <w:pPr>
              <w:spacing w:after="0"/>
              <w:rPr>
                <w:sz w:val="1"/>
                <w:szCs w:val="1"/>
                <w:color w:val="auto"/>
              </w:rPr>
            </w:pPr>
          </w:p>
        </w:tc>
      </w:tr>
      <w:tr>
        <w:trPr>
          <w:trHeight w:val="212"/>
        </w:trPr>
        <w:tc>
          <w:tcPr>
            <w:tcW w:w="8520" w:type="dxa"/>
            <w:vAlign w:val="bottom"/>
          </w:tcPr>
          <w:p>
            <w:pPr>
              <w:ind w:left="20"/>
              <w:spacing w:after="0" w:line="205" w:lineRule="exact"/>
              <w:rPr>
                <w:sz w:val="20"/>
                <w:szCs w:val="20"/>
                <w:color w:val="auto"/>
              </w:rPr>
            </w:pPr>
            <w:r>
              <w:rPr>
                <w:rFonts w:ascii="Calibri" w:cs="Calibri" w:eastAsia="Calibri" w:hAnsi="Calibri"/>
                <w:sz w:val="17"/>
                <w:szCs w:val="17"/>
                <w:color w:val="auto"/>
              </w:rPr>
              <w:t>Change in fair value recognized in net earnings</w:t>
            </w:r>
          </w:p>
        </w:tc>
        <w:tc>
          <w:tcPr>
            <w:tcW w:w="300" w:type="dxa"/>
            <w:vAlign w:val="bottom"/>
          </w:tcPr>
          <w:p>
            <w:pPr>
              <w:spacing w:after="0"/>
              <w:rPr>
                <w:sz w:val="18"/>
                <w:szCs w:val="18"/>
                <w:color w:val="auto"/>
              </w:rPr>
            </w:pPr>
          </w:p>
        </w:tc>
        <w:tc>
          <w:tcPr>
            <w:tcW w:w="1060" w:type="dxa"/>
            <w:vAlign w:val="bottom"/>
          </w:tcPr>
          <w:p>
            <w:pPr>
              <w:jc w:val="right"/>
              <w:ind w:right="41"/>
              <w:spacing w:after="0" w:line="205" w:lineRule="exact"/>
              <w:rPr>
                <w:sz w:val="20"/>
                <w:szCs w:val="20"/>
                <w:color w:val="auto"/>
              </w:rPr>
            </w:pPr>
            <w:r>
              <w:rPr>
                <w:rFonts w:ascii="Calibri" w:cs="Calibri" w:eastAsia="Calibri" w:hAnsi="Calibri"/>
                <w:sz w:val="17"/>
                <w:szCs w:val="17"/>
                <w:color w:val="auto"/>
              </w:rPr>
              <w:t>3,492</w:t>
            </w:r>
          </w:p>
        </w:tc>
        <w:tc>
          <w:tcPr>
            <w:tcW w:w="560" w:type="dxa"/>
            <w:vAlign w:val="bottom"/>
          </w:tcPr>
          <w:p>
            <w:pPr>
              <w:spacing w:after="0"/>
              <w:rPr>
                <w:sz w:val="18"/>
                <w:szCs w:val="18"/>
                <w:color w:val="auto"/>
              </w:rPr>
            </w:pPr>
          </w:p>
        </w:tc>
        <w:tc>
          <w:tcPr>
            <w:tcW w:w="800" w:type="dxa"/>
            <w:vAlign w:val="bottom"/>
          </w:tcPr>
          <w:p>
            <w:pPr>
              <w:jc w:val="right"/>
              <w:spacing w:after="0" w:line="205" w:lineRule="exact"/>
              <w:rPr>
                <w:sz w:val="20"/>
                <w:szCs w:val="20"/>
                <w:color w:val="auto"/>
              </w:rPr>
            </w:pPr>
            <w:r>
              <w:rPr>
                <w:rFonts w:ascii="Calibri" w:cs="Calibri" w:eastAsia="Calibri" w:hAnsi="Calibri"/>
                <w:sz w:val="17"/>
                <w:szCs w:val="17"/>
                <w:color w:val="auto"/>
              </w:rPr>
              <w:t>3,432</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Payments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Calibri" w:cs="Calibri" w:eastAsia="Calibri" w:hAnsi="Calibri"/>
                <w:sz w:val="17"/>
                <w:szCs w:val="17"/>
                <w:color w:val="auto"/>
              </w:rPr>
              <w:t>(1,456)</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(1,142)</w:t>
            </w:r>
          </w:p>
        </w:tc>
        <w:tc>
          <w:tcPr>
            <w:tcW w:w="0" w:type="dxa"/>
            <w:vAlign w:val="bottom"/>
          </w:tcPr>
          <w:p>
            <w:pPr>
              <w:spacing w:after="0"/>
              <w:rPr>
                <w:sz w:val="1"/>
                <w:szCs w:val="1"/>
                <w:color w:val="auto"/>
              </w:rPr>
            </w:pPr>
          </w:p>
        </w:tc>
      </w:tr>
      <w:tr>
        <w:trPr>
          <w:trHeight w:val="212"/>
        </w:trPr>
        <w:tc>
          <w:tcPr>
            <w:tcW w:w="8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Ending balance</w:t>
            </w:r>
          </w:p>
        </w:tc>
        <w:tc>
          <w:tcPr>
            <w:tcW w:w="30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tcPr>
          <w:p>
            <w:pPr>
              <w:jc w:val="right"/>
              <w:ind w:right="41"/>
              <w:spacing w:after="0" w:line="205" w:lineRule="exact"/>
              <w:rPr>
                <w:sz w:val="20"/>
                <w:szCs w:val="20"/>
                <w:color w:val="auto"/>
              </w:rPr>
            </w:pPr>
            <w:r>
              <w:rPr>
                <w:rFonts w:ascii="Calibri" w:cs="Calibri" w:eastAsia="Calibri" w:hAnsi="Calibri"/>
                <w:sz w:val="17"/>
                <w:szCs w:val="17"/>
                <w:color w:val="auto"/>
              </w:rPr>
              <w:t>21,926</w:t>
            </w:r>
          </w:p>
        </w:tc>
        <w:tc>
          <w:tcPr>
            <w:tcW w:w="560" w:type="dxa"/>
            <w:vAlign w:val="bottom"/>
            <w:tcBorders>
              <w:bottom w:val="single" w:sz="8" w:color="auto"/>
            </w:tcBorders>
          </w:tcPr>
          <w:p>
            <w:pPr>
              <w:jc w:val="right"/>
              <w:ind w:right="314"/>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18,674</w:t>
            </w:r>
          </w:p>
        </w:tc>
        <w:tc>
          <w:tcPr>
            <w:tcW w:w="0" w:type="dxa"/>
            <w:vAlign w:val="bottom"/>
          </w:tcPr>
          <w:p>
            <w:pPr>
              <w:spacing w:after="0"/>
              <w:rPr>
                <w:sz w:val="1"/>
                <w:szCs w:val="1"/>
                <w:color w:val="auto"/>
              </w:rPr>
            </w:pPr>
          </w:p>
        </w:tc>
      </w:tr>
      <w:tr>
        <w:trPr>
          <w:trHeight w:val="26"/>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20"/>
        <w:spacing w:after="0" w:line="259" w:lineRule="auto"/>
        <w:rPr>
          <w:sz w:val="20"/>
          <w:szCs w:val="20"/>
          <w:color w:val="auto"/>
        </w:rPr>
      </w:pPr>
      <w:r>
        <w:rPr>
          <w:rFonts w:ascii="Calibri" w:cs="Calibri" w:eastAsia="Calibri" w:hAnsi="Calibri"/>
          <w:sz w:val="16"/>
          <w:szCs w:val="16"/>
          <w:color w:val="auto"/>
        </w:rPr>
        <w:t>The change in fair value recognized in net earnings is recorded in other expense (income), net in the condensed consolidated statements of earnings. Contngent consideraton payments of amounts up to the inital acquisiton date fair value are classifed as cash outlows from fnancing actvites and payments of amounts in excess of the inital acquisiton date fair value are classifed as cash outlows from operatng actvites in the condensed consolidated statements of cash fows.</w:t>
      </w:r>
    </w:p>
    <w:p>
      <w:pPr>
        <w:spacing w:after="0" w:line="115" w:lineRule="exact"/>
        <w:rPr>
          <w:sz w:val="20"/>
          <w:szCs w:val="20"/>
          <w:color w:val="auto"/>
        </w:rPr>
      </w:pPr>
    </w:p>
    <w:p>
      <w:pPr>
        <w:ind w:right="220"/>
        <w:spacing w:after="0" w:line="237" w:lineRule="auto"/>
        <w:rPr>
          <w:sz w:val="20"/>
          <w:szCs w:val="20"/>
          <w:color w:val="auto"/>
        </w:rPr>
      </w:pPr>
      <w:r>
        <w:rPr>
          <w:rFonts w:ascii="Calibri" w:cs="Calibri" w:eastAsia="Calibri" w:hAnsi="Calibri"/>
          <w:sz w:val="17"/>
          <w:szCs w:val="17"/>
          <w:color w:val="auto"/>
        </w:rPr>
        <w:t>Certain fnancial instruments are carried at historical cost or some basis other than fair value. The book values, approximate fair values and bases used to measure the approximate fair values of certain fnancial instruments as of September 30, 2024 are shown in the table below:</w:t>
      </w:r>
    </w:p>
    <w:p>
      <w:pPr>
        <w:sectPr>
          <w:pgSz w:w="11900" w:h="16838" w:orient="portrait"/>
          <w:cols w:equalWidth="0" w:num="1">
            <w:col w:w="11240"/>
          </w:cols>
          <w:pgMar w:left="320" w:top="11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Calibri" w:cs="Calibri" w:eastAsia="Calibri" w:hAnsi="Calibri"/>
                <w:sz w:val="14"/>
                <w:szCs w:val="14"/>
                <w:b w:val="1"/>
                <w:bCs w:val="1"/>
                <w:color w:val="auto"/>
              </w:rPr>
              <w:t>(in millions)</w:t>
            </w:r>
          </w:p>
        </w:tc>
        <w:tc>
          <w:tcPr>
            <w:tcW w:w="3020" w:type="dxa"/>
            <w:vAlign w:val="bottom"/>
            <w:vMerge w:val="restart"/>
          </w:tcPr>
          <w:p>
            <w:pPr>
              <w:ind w:left="2180"/>
              <w:spacing w:after="0"/>
              <w:rPr>
                <w:sz w:val="20"/>
                <w:szCs w:val="20"/>
                <w:color w:val="auto"/>
              </w:rPr>
            </w:pPr>
            <w:r>
              <w:rPr>
                <w:rFonts w:ascii="Calibri" w:cs="Calibri" w:eastAsia="Calibri" w:hAnsi="Calibri"/>
                <w:sz w:val="14"/>
                <w:szCs w:val="14"/>
                <w:b w:val="1"/>
                <w:bCs w:val="1"/>
                <w:color w:val="auto"/>
              </w:rPr>
              <w:t>Book value</w:t>
            </w:r>
          </w:p>
        </w:tc>
        <w:tc>
          <w:tcPr>
            <w:tcW w:w="1180" w:type="dxa"/>
            <w:vAlign w:val="bottom"/>
          </w:tcPr>
          <w:p>
            <w:pPr>
              <w:jc w:val="center"/>
              <w:ind w:left="151"/>
              <w:spacing w:after="0"/>
              <w:rPr>
                <w:sz w:val="20"/>
                <w:szCs w:val="20"/>
                <w:color w:val="auto"/>
              </w:rPr>
            </w:pPr>
            <w:r>
              <w:rPr>
                <w:rFonts w:ascii="Calibri" w:cs="Calibri" w:eastAsia="Calibri" w:hAnsi="Calibri"/>
                <w:sz w:val="14"/>
                <w:szCs w:val="14"/>
                <w:b w:val="1"/>
                <w:bCs w:val="1"/>
                <w:color w:val="auto"/>
                <w:w w:val="96"/>
              </w:rPr>
              <w:t>Approximate fair</w:t>
            </w:r>
          </w:p>
        </w:tc>
        <w:tc>
          <w:tcPr>
            <w:tcW w:w="0" w:type="dxa"/>
            <w:vAlign w:val="bottom"/>
          </w:tcPr>
          <w:p>
            <w:pPr>
              <w:spacing w:after="0"/>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3020" w:type="dxa"/>
            <w:vAlign w:val="bottom"/>
            <w:vMerge w:val="continue"/>
          </w:tcPr>
          <w:p>
            <w:pPr>
              <w:spacing w:after="0"/>
              <w:rPr>
                <w:sz w:val="14"/>
                <w:szCs w:val="14"/>
                <w:color w:val="auto"/>
              </w:rPr>
            </w:pPr>
          </w:p>
        </w:tc>
        <w:tc>
          <w:tcPr>
            <w:tcW w:w="1180" w:type="dxa"/>
            <w:vAlign w:val="bottom"/>
          </w:tcPr>
          <w:p>
            <w:pPr>
              <w:jc w:val="center"/>
              <w:ind w:left="171"/>
              <w:spacing w:after="0" w:line="164" w:lineRule="exact"/>
              <w:rPr>
                <w:sz w:val="20"/>
                <w:szCs w:val="20"/>
                <w:color w:val="auto"/>
              </w:rPr>
            </w:pPr>
            <w:r>
              <w:rPr>
                <w:rFonts w:ascii="Calibri" w:cs="Calibri" w:eastAsia="Calibri" w:hAnsi="Calibri"/>
                <w:sz w:val="14"/>
                <w:szCs w:val="14"/>
                <w:b w:val="1"/>
                <w:bCs w:val="1"/>
                <w:color w:val="auto"/>
                <w:w w:val="94"/>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060"/>
        <w:spacing w:after="0"/>
        <w:rPr>
          <w:sz w:val="20"/>
          <w:szCs w:val="20"/>
          <w:color w:val="auto"/>
        </w:rPr>
      </w:pPr>
      <w:r>
        <w:rPr>
          <w:rFonts w:ascii="Calibri" w:cs="Calibri" w:eastAsia="Calibri" w:hAnsi="Calibri"/>
          <w:sz w:val="14"/>
          <w:szCs w:val="14"/>
          <w:b w:val="1"/>
          <w:bCs w:val="1"/>
          <w:color w:val="auto"/>
        </w:rPr>
        <w:t>Basis of fair value measurement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20" w:type="dxa"/>
            <w:vAlign w:val="bottom"/>
            <w:tcBorders>
              <w:top w:val="single" w:sz="8" w:color="auto"/>
            </w:tcBorders>
          </w:tcPr>
          <w:p>
            <w:pPr>
              <w:jc w:val="center"/>
              <w:ind w:right="11"/>
              <w:spacing w:after="0" w:line="141" w:lineRule="exact"/>
              <w:rPr>
                <w:sz w:val="20"/>
                <w:szCs w:val="20"/>
                <w:color w:val="auto"/>
              </w:rPr>
            </w:pPr>
            <w:r>
              <w:rPr>
                <w:rFonts w:ascii="Calibri" w:cs="Calibri" w:eastAsia="Calibri" w:hAnsi="Calibri"/>
                <w:sz w:val="14"/>
                <w:szCs w:val="14"/>
                <w:b w:val="1"/>
                <w:bCs w:val="1"/>
                <w:color w:val="auto"/>
                <w:w w:val="97"/>
              </w:rPr>
              <w:t>Quoted prices</w:t>
            </w:r>
          </w:p>
        </w:tc>
        <w:tc>
          <w:tcPr>
            <w:tcW w:w="1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r>
      <w:tr>
        <w:trPr>
          <w:trHeight w:val="129"/>
        </w:trPr>
        <w:tc>
          <w:tcPr>
            <w:tcW w:w="1320" w:type="dxa"/>
            <w:vAlign w:val="bottom"/>
          </w:tcPr>
          <w:p>
            <w:pPr>
              <w:jc w:val="center"/>
              <w:ind w:right="11"/>
              <w:spacing w:after="0" w:line="129" w:lineRule="exact"/>
              <w:rPr>
                <w:sz w:val="20"/>
                <w:szCs w:val="20"/>
                <w:color w:val="auto"/>
              </w:rPr>
            </w:pPr>
            <w:r>
              <w:rPr>
                <w:rFonts w:ascii="Calibri" w:cs="Calibri" w:eastAsia="Calibri" w:hAnsi="Calibri"/>
                <w:sz w:val="14"/>
                <w:szCs w:val="14"/>
                <w:b w:val="1"/>
                <w:bCs w:val="1"/>
                <w:color w:val="auto"/>
                <w:w w:val="99"/>
              </w:rPr>
              <w:t>in actve markets for</w:t>
            </w:r>
          </w:p>
        </w:tc>
        <w:tc>
          <w:tcPr>
            <w:tcW w:w="1260" w:type="dxa"/>
            <w:vAlign w:val="bottom"/>
          </w:tcPr>
          <w:p>
            <w:pPr>
              <w:jc w:val="center"/>
              <w:spacing w:after="0" w:line="129" w:lineRule="exact"/>
              <w:rPr>
                <w:sz w:val="20"/>
                <w:szCs w:val="20"/>
                <w:color w:val="auto"/>
              </w:rPr>
            </w:pPr>
            <w:r>
              <w:rPr>
                <w:rFonts w:ascii="Calibri" w:cs="Calibri" w:eastAsia="Calibri" w:hAnsi="Calibri"/>
                <w:sz w:val="14"/>
                <w:szCs w:val="14"/>
                <w:b w:val="1"/>
                <w:bCs w:val="1"/>
                <w:color w:val="auto"/>
              </w:rPr>
              <w:t>Signifcant other</w:t>
            </w:r>
          </w:p>
        </w:tc>
        <w:tc>
          <w:tcPr>
            <w:tcW w:w="1340" w:type="dxa"/>
            <w:vAlign w:val="bottom"/>
          </w:tcPr>
          <w:p>
            <w:pPr>
              <w:jc w:val="center"/>
              <w:ind w:left="51"/>
              <w:spacing w:after="0" w:line="129" w:lineRule="exact"/>
              <w:rPr>
                <w:sz w:val="20"/>
                <w:szCs w:val="20"/>
                <w:color w:val="auto"/>
              </w:rPr>
            </w:pPr>
            <w:r>
              <w:rPr>
                <w:rFonts w:ascii="Calibri" w:cs="Calibri" w:eastAsia="Calibri" w:hAnsi="Calibri"/>
                <w:sz w:val="14"/>
                <w:szCs w:val="14"/>
                <w:b w:val="1"/>
                <w:bCs w:val="1"/>
                <w:color w:val="auto"/>
              </w:rPr>
              <w:t>Signifcant</w:t>
            </w:r>
          </w:p>
        </w:tc>
      </w:tr>
      <w:tr>
        <w:trPr>
          <w:trHeight w:val="142"/>
        </w:trPr>
        <w:tc>
          <w:tcPr>
            <w:tcW w:w="1320" w:type="dxa"/>
            <w:vAlign w:val="bottom"/>
          </w:tcPr>
          <w:p>
            <w:pPr>
              <w:jc w:val="center"/>
              <w:ind w:right="31"/>
              <w:spacing w:after="0" w:line="142" w:lineRule="exact"/>
              <w:rPr>
                <w:sz w:val="20"/>
                <w:szCs w:val="20"/>
                <w:color w:val="auto"/>
              </w:rPr>
            </w:pPr>
            <w:r>
              <w:rPr>
                <w:rFonts w:ascii="Calibri" w:cs="Calibri" w:eastAsia="Calibri" w:hAnsi="Calibri"/>
                <w:sz w:val="14"/>
                <w:szCs w:val="14"/>
                <w:b w:val="1"/>
                <w:bCs w:val="1"/>
                <w:color w:val="auto"/>
              </w:rPr>
              <w:t>identcal assets</w:t>
            </w:r>
          </w:p>
        </w:tc>
        <w:tc>
          <w:tcPr>
            <w:tcW w:w="1260" w:type="dxa"/>
            <w:vAlign w:val="bottom"/>
          </w:tcPr>
          <w:p>
            <w:pPr>
              <w:jc w:val="center"/>
              <w:spacing w:after="0" w:line="142" w:lineRule="exact"/>
              <w:rPr>
                <w:sz w:val="20"/>
                <w:szCs w:val="20"/>
                <w:color w:val="auto"/>
              </w:rPr>
            </w:pPr>
            <w:r>
              <w:rPr>
                <w:rFonts w:ascii="Calibri" w:cs="Calibri" w:eastAsia="Calibri" w:hAnsi="Calibri"/>
                <w:sz w:val="14"/>
                <w:szCs w:val="14"/>
                <w:b w:val="1"/>
                <w:bCs w:val="1"/>
                <w:color w:val="auto"/>
                <w:w w:val="98"/>
              </w:rPr>
              <w:t>observable inputs</w:t>
            </w:r>
          </w:p>
        </w:tc>
        <w:tc>
          <w:tcPr>
            <w:tcW w:w="1340" w:type="dxa"/>
            <w:vAlign w:val="bottom"/>
          </w:tcPr>
          <w:p>
            <w:pPr>
              <w:jc w:val="center"/>
              <w:ind w:left="11"/>
              <w:spacing w:after="0" w:line="142" w:lineRule="exact"/>
              <w:rPr>
                <w:sz w:val="20"/>
                <w:szCs w:val="20"/>
                <w:color w:val="auto"/>
              </w:rPr>
            </w:pPr>
            <w:r>
              <w:rPr>
                <w:rFonts w:ascii="Calibri" w:cs="Calibri" w:eastAsia="Calibri" w:hAnsi="Calibri"/>
                <w:sz w:val="14"/>
                <w:szCs w:val="14"/>
                <w:b w:val="1"/>
                <w:bCs w:val="1"/>
                <w:color w:val="auto"/>
                <w:w w:val="99"/>
              </w:rPr>
              <w:t>unobservable inputs</w:t>
            </w:r>
          </w:p>
        </w:tc>
      </w:tr>
      <w:tr>
        <w:trPr>
          <w:trHeight w:val="163"/>
        </w:trPr>
        <w:tc>
          <w:tcPr>
            <w:tcW w:w="1320" w:type="dxa"/>
            <w:vAlign w:val="bottom"/>
          </w:tcPr>
          <w:p>
            <w:pPr>
              <w:jc w:val="center"/>
              <w:ind w:right="11"/>
              <w:spacing w:after="0" w:line="164" w:lineRule="exact"/>
              <w:rPr>
                <w:sz w:val="20"/>
                <w:szCs w:val="20"/>
                <w:color w:val="auto"/>
              </w:rPr>
            </w:pPr>
            <w:r>
              <w:rPr>
                <w:rFonts w:ascii="Calibri" w:cs="Calibri" w:eastAsia="Calibri" w:hAnsi="Calibri"/>
                <w:sz w:val="14"/>
                <w:szCs w:val="14"/>
                <w:b w:val="1"/>
                <w:bCs w:val="1"/>
                <w:color w:val="auto"/>
                <w:w w:val="97"/>
              </w:rPr>
              <w:t>(Level 1)</w:t>
            </w:r>
          </w:p>
        </w:tc>
        <w:tc>
          <w:tcPr>
            <w:tcW w:w="126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w w:val="97"/>
              </w:rPr>
              <w:t>(Level 2)</w:t>
            </w:r>
          </w:p>
        </w:tc>
        <w:tc>
          <w:tcPr>
            <w:tcW w:w="1340" w:type="dxa"/>
            <w:vAlign w:val="bottom"/>
          </w:tcPr>
          <w:p>
            <w:pPr>
              <w:jc w:val="center"/>
              <w:ind w:left="31"/>
              <w:spacing w:after="0" w:line="164" w:lineRule="exact"/>
              <w:rPr>
                <w:sz w:val="20"/>
                <w:szCs w:val="20"/>
                <w:color w:val="auto"/>
              </w:rPr>
            </w:pPr>
            <w:r>
              <w:rPr>
                <w:rFonts w:ascii="Calibri" w:cs="Calibri" w:eastAsia="Calibri" w:hAnsi="Calibri"/>
                <w:sz w:val="14"/>
                <w:szCs w:val="14"/>
                <w:b w:val="1"/>
                <w:bCs w:val="1"/>
                <w:color w:val="auto"/>
                <w:w w:val="97"/>
              </w:rPr>
              <w:t>(Level 3)</w:t>
            </w:r>
          </w:p>
        </w:tc>
      </w:tr>
    </w:tbl>
    <w:p>
      <w:pPr>
        <w:spacing w:after="0" w:line="45" w:lineRule="exact"/>
        <w:rPr>
          <w:sz w:val="20"/>
          <w:szCs w:val="20"/>
          <w:color w:val="auto"/>
        </w:rPr>
      </w:pPr>
    </w:p>
    <w:p>
      <w:pPr>
        <w:sectPr>
          <w:pgSz w:w="11900" w:h="16838" w:orient="portrait"/>
          <w:cols w:equalWidth="0" w:num="2">
            <w:col w:w="7080" w:space="240"/>
            <w:col w:w="3920"/>
          </w:cols>
          <w:pgMar w:left="320" w:top="1186"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620" w:type="dxa"/>
            <w:vAlign w:val="bottom"/>
          </w:tcPr>
          <w:p>
            <w:pPr>
              <w:ind w:left="20"/>
              <w:spacing w:after="0"/>
              <w:rPr>
                <w:sz w:val="20"/>
                <w:szCs w:val="20"/>
                <w:color w:val="auto"/>
              </w:rPr>
            </w:pPr>
            <w:r>
              <w:rPr>
                <w:rFonts w:ascii="Calibri" w:cs="Calibri" w:eastAsia="Calibri" w:hAnsi="Calibri"/>
                <w:sz w:val="17"/>
                <w:szCs w:val="17"/>
                <w:b w:val="1"/>
                <w:bCs w:val="1"/>
                <w:color w:val="auto"/>
              </w:rPr>
              <w:t>Liabilites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
        </w:trPr>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9"/>
        </w:trPr>
        <w:tc>
          <w:tcPr>
            <w:tcW w:w="4620" w:type="dxa"/>
            <w:vAlign w:val="bottom"/>
            <w:shd w:val="clear" w:color="auto" w:fill="CCEEFF"/>
          </w:tcPr>
          <w:p>
            <w:pPr>
              <w:ind w:left="20"/>
              <w:spacing w:after="0" w:line="160" w:lineRule="exact"/>
              <w:rPr>
                <w:sz w:val="20"/>
                <w:szCs w:val="20"/>
                <w:color w:val="auto"/>
              </w:rPr>
            </w:pPr>
            <w:r>
              <w:rPr>
                <w:rFonts w:ascii="Calibri" w:cs="Calibri" w:eastAsia="Calibri" w:hAnsi="Calibri"/>
                <w:sz w:val="17"/>
                <w:szCs w:val="17"/>
                <w:color w:val="auto"/>
              </w:rPr>
              <w:t>Current porton of long-term debt and fnance lease obligatons,</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20"/>
        </w:trPr>
        <w:tc>
          <w:tcPr>
            <w:tcW w:w="4620" w:type="dxa"/>
            <w:vAlign w:val="bottom"/>
            <w:tcBorders>
              <w:bottom w:val="single" w:sz="8" w:color="CCEEFF"/>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excluding fair value hedges</w:t>
            </w:r>
          </w:p>
        </w:tc>
        <w:tc>
          <w:tcPr>
            <w:tcW w:w="540" w:type="dxa"/>
            <w:vAlign w:val="bottom"/>
            <w:tcBorders>
              <w:bottom w:val="single" w:sz="8" w:color="CCEEFF"/>
            </w:tcBorders>
            <w:shd w:val="clear" w:color="auto" w:fill="CCEEFF"/>
          </w:tcPr>
          <w:p>
            <w:pPr>
              <w:jc w:val="right"/>
              <w:ind w:right="214"/>
              <w:spacing w:after="0"/>
              <w:rPr>
                <w:sz w:val="20"/>
                <w:szCs w:val="20"/>
                <w:color w:val="auto"/>
              </w:rPr>
            </w:pPr>
            <w:r>
              <w:rPr>
                <w:rFonts w:ascii="Calibri" w:cs="Calibri" w:eastAsia="Calibri" w:hAnsi="Calibri"/>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12,558</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Calibri" w:cs="Calibri" w:eastAsia="Calibri" w:hAnsi="Calibri"/>
                <w:sz w:val="17"/>
                <w:szCs w:val="17"/>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Calibri" w:cs="Calibri" w:eastAsia="Calibri" w:hAnsi="Calibri"/>
                <w:sz w:val="17"/>
                <w:szCs w:val="17"/>
                <w:color w:val="auto"/>
              </w:rPr>
              <w:t>12,486</w:t>
            </w:r>
          </w:p>
        </w:tc>
        <w:tc>
          <w:tcPr>
            <w:tcW w:w="480" w:type="dxa"/>
            <w:vAlign w:val="bottom"/>
            <w:tcBorders>
              <w:bottom w:val="single" w:sz="8" w:color="CCEEFF"/>
            </w:tcBorders>
            <w:shd w:val="clear" w:color="auto" w:fill="CCEEFF"/>
          </w:tcPr>
          <w:p>
            <w:pPr>
              <w:jc w:val="right"/>
              <w:ind w:right="214"/>
              <w:spacing w:after="0"/>
              <w:rPr>
                <w:sz w:val="20"/>
                <w:szCs w:val="20"/>
                <w:color w:val="auto"/>
              </w:rPr>
            </w:pPr>
            <w:r>
              <w:rPr>
                <w:rFonts w:ascii="Calibri" w:cs="Calibri" w:eastAsia="Calibri" w:hAnsi="Calibri"/>
                <w:sz w:val="17"/>
                <w:szCs w:val="17"/>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Calibri" w:cs="Calibri" w:eastAsia="Calibri" w:hAnsi="Calibri"/>
                <w:sz w:val="17"/>
                <w:szCs w:val="17"/>
                <w:color w:val="auto"/>
              </w:rPr>
              <w:t>12,341</w:t>
            </w:r>
          </w:p>
        </w:tc>
        <w:tc>
          <w:tcPr>
            <w:tcW w:w="580" w:type="dxa"/>
            <w:vAlign w:val="bottom"/>
            <w:tcBorders>
              <w:bottom w:val="single" w:sz="8" w:color="CCEEFF"/>
            </w:tcBorders>
            <w:shd w:val="clear" w:color="auto" w:fill="CCEEFF"/>
          </w:tcPr>
          <w:p>
            <w:pPr>
              <w:jc w:val="right"/>
              <w:ind w:right="314"/>
              <w:spacing w:after="0"/>
              <w:rPr>
                <w:sz w:val="20"/>
                <w:szCs w:val="20"/>
                <w:color w:val="auto"/>
              </w:rPr>
            </w:pPr>
            <w:r>
              <w:rPr>
                <w:rFonts w:ascii="Calibri" w:cs="Calibri" w:eastAsia="Calibri" w:hAnsi="Calibri"/>
                <w:sz w:val="17"/>
                <w:szCs w:val="17"/>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Calibri" w:cs="Calibri" w:eastAsia="Calibri" w:hAnsi="Calibri"/>
                <w:sz w:val="17"/>
                <w:szCs w:val="17"/>
                <w:color w:val="auto"/>
              </w:rPr>
              <w:t>145</w:t>
            </w:r>
          </w:p>
        </w:tc>
        <w:tc>
          <w:tcPr>
            <w:tcW w:w="640" w:type="dxa"/>
            <w:vAlign w:val="bottom"/>
            <w:tcBorders>
              <w:bottom w:val="single" w:sz="8" w:color="CCEEFF"/>
            </w:tcBorders>
            <w:shd w:val="clear" w:color="auto" w:fill="CCEEFF"/>
          </w:tcPr>
          <w:p>
            <w:pPr>
              <w:jc w:val="right"/>
              <w:ind w:right="374"/>
              <w:spacing w:after="0"/>
              <w:rPr>
                <w:sz w:val="20"/>
                <w:szCs w:val="20"/>
                <w:color w:val="auto"/>
              </w:rPr>
            </w:pPr>
            <w:r>
              <w:rPr>
                <w:rFonts w:ascii="Calibri" w:cs="Calibri" w:eastAsia="Calibri" w:hAnsi="Calibri"/>
                <w:sz w:val="17"/>
                <w:szCs w:val="17"/>
                <w:color w:val="auto"/>
              </w:rPr>
              <w:t>$</w:t>
            </w:r>
          </w:p>
        </w:tc>
        <w:tc>
          <w:tcPr>
            <w:tcW w:w="660" w:type="dxa"/>
            <w:vAlign w:val="bottom"/>
            <w:tcBorders>
              <w:bottom w:val="single" w:sz="8" w:color="CCEEFF"/>
            </w:tcBorders>
            <w:shd w:val="clear" w:color="auto" w:fill="CCEEFF"/>
          </w:tcPr>
          <w:p>
            <w:pPr>
              <w:ind w:left="440"/>
              <w:spacing w:after="0"/>
              <w:rPr>
                <w:sz w:val="20"/>
                <w:szCs w:val="20"/>
                <w:color w:val="auto"/>
              </w:rPr>
            </w:pPr>
            <w:r>
              <w:rPr>
                <w:rFonts w:ascii="Calibri" w:cs="Calibri" w:eastAsia="Calibri" w:hAnsi="Calibri"/>
                <w:sz w:val="17"/>
                <w:szCs w:val="17"/>
                <w:color w:val="auto"/>
              </w:rPr>
              <w:t>—</w:t>
            </w:r>
          </w:p>
        </w:tc>
      </w:tr>
      <w:tr>
        <w:trPr>
          <w:trHeight w:val="159"/>
        </w:trPr>
        <w:tc>
          <w:tcPr>
            <w:tcW w:w="4620" w:type="dxa"/>
            <w:vAlign w:val="bottom"/>
          </w:tcPr>
          <w:p>
            <w:pPr>
              <w:ind w:left="20"/>
              <w:spacing w:after="0" w:line="160" w:lineRule="exact"/>
              <w:rPr>
                <w:sz w:val="20"/>
                <w:szCs w:val="20"/>
                <w:color w:val="auto"/>
              </w:rPr>
            </w:pPr>
            <w:r>
              <w:rPr>
                <w:rFonts w:ascii="Calibri" w:cs="Calibri" w:eastAsia="Calibri" w:hAnsi="Calibri"/>
                <w:sz w:val="17"/>
                <w:szCs w:val="17"/>
                <w:color w:val="auto"/>
              </w:rPr>
              <w:t>Long-term debt and fnance lease obligatons, excluding fair value</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8"/>
        </w:trPr>
        <w:tc>
          <w:tcPr>
            <w:tcW w:w="4620" w:type="dxa"/>
            <w:vAlign w:val="bottom"/>
          </w:tcPr>
          <w:p>
            <w:pPr>
              <w:ind w:left="20"/>
              <w:spacing w:after="0" w:line="205" w:lineRule="exact"/>
              <w:rPr>
                <w:sz w:val="20"/>
                <w:szCs w:val="20"/>
                <w:color w:val="auto"/>
              </w:rPr>
            </w:pPr>
            <w:r>
              <w:rPr>
                <w:rFonts w:ascii="Calibri" w:cs="Calibri" w:eastAsia="Calibri" w:hAnsi="Calibri"/>
                <w:sz w:val="17"/>
                <w:szCs w:val="17"/>
                <w:color w:val="auto"/>
              </w:rPr>
              <w:t>hedges</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7"/>
                <w:szCs w:val="17"/>
                <w:color w:val="auto"/>
              </w:rPr>
              <w:t>58,500</w:t>
            </w:r>
          </w:p>
        </w:tc>
        <w:tc>
          <w:tcPr>
            <w:tcW w:w="44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Calibri" w:cs="Calibri" w:eastAsia="Calibri" w:hAnsi="Calibri"/>
                <w:sz w:val="17"/>
                <w:szCs w:val="17"/>
                <w:color w:val="auto"/>
              </w:rPr>
              <w:t>57,177</w:t>
            </w:r>
          </w:p>
        </w:tc>
        <w:tc>
          <w:tcPr>
            <w:tcW w:w="4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Calibri" w:cs="Calibri" w:eastAsia="Calibri" w:hAnsi="Calibri"/>
                <w:sz w:val="17"/>
                <w:szCs w:val="17"/>
                <w:color w:val="auto"/>
              </w:rPr>
              <w:t>56,747</w:t>
            </w:r>
          </w:p>
        </w:tc>
        <w:tc>
          <w:tcPr>
            <w:tcW w:w="5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Calibri" w:cs="Calibri" w:eastAsia="Calibri" w:hAnsi="Calibri"/>
                <w:sz w:val="17"/>
                <w:szCs w:val="17"/>
                <w:color w:val="auto"/>
              </w:rPr>
              <w:t>430</w:t>
            </w:r>
          </w:p>
        </w:tc>
        <w:tc>
          <w:tcPr>
            <w:tcW w:w="6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Calibri" w:cs="Calibri" w:eastAsia="Calibri" w:hAnsi="Calibri"/>
                <w:sz w:val="17"/>
                <w:szCs w:val="17"/>
                <w:color w:val="auto"/>
              </w:rPr>
              <w:t>—</w:t>
            </w:r>
          </w:p>
        </w:tc>
      </w:tr>
      <w:tr>
        <w:trPr>
          <w:trHeight w:val="22"/>
        </w:trPr>
        <w:tc>
          <w:tcPr>
            <w:tcW w:w="4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liabilites</w:t>
            </w:r>
          </w:p>
        </w:tc>
        <w:tc>
          <w:tcPr>
            <w:tcW w:w="540" w:type="dxa"/>
            <w:vAlign w:val="bottom"/>
            <w:tcBorders>
              <w:bottom w:val="single" w:sz="8" w:color="auto"/>
            </w:tcBorders>
            <w:shd w:val="clear" w:color="auto" w:fill="CCEEFF"/>
          </w:tcPr>
          <w:p>
            <w:pPr>
              <w:jc w:val="right"/>
              <w:ind w:right="214"/>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71,058</w:t>
            </w:r>
          </w:p>
        </w:tc>
        <w:tc>
          <w:tcPr>
            <w:tcW w:w="440" w:type="dxa"/>
            <w:vAlign w:val="bottom"/>
            <w:tcBorders>
              <w:bottom w:val="single" w:sz="8" w:color="auto"/>
            </w:tcBorders>
            <w:shd w:val="clear" w:color="auto" w:fill="CCEEFF"/>
          </w:tcPr>
          <w:p>
            <w:pPr>
              <w:jc w:val="right"/>
              <w:ind w:right="234"/>
              <w:spacing w:after="0" w:line="205" w:lineRule="exact"/>
              <w:rPr>
                <w:sz w:val="20"/>
                <w:szCs w:val="20"/>
                <w:color w:val="auto"/>
              </w:rPr>
            </w:pPr>
            <w:r>
              <w:rPr>
                <w:rFonts w:ascii="Calibri" w:cs="Calibri" w:eastAsia="Calibri" w:hAnsi="Calibri"/>
                <w:sz w:val="17"/>
                <w:szCs w:val="17"/>
                <w:color w:val="auto"/>
              </w:rPr>
              <w:t>$</w:t>
            </w:r>
          </w:p>
        </w:tc>
        <w:tc>
          <w:tcPr>
            <w:tcW w:w="86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rPr>
              <w:t>69,663</w:t>
            </w:r>
          </w:p>
        </w:tc>
        <w:tc>
          <w:tcPr>
            <w:tcW w:w="480" w:type="dxa"/>
            <w:vAlign w:val="bottom"/>
            <w:tcBorders>
              <w:bottom w:val="single" w:sz="8" w:color="auto"/>
            </w:tcBorders>
            <w:shd w:val="clear" w:color="auto" w:fill="CCEEFF"/>
          </w:tcPr>
          <w:p>
            <w:pPr>
              <w:jc w:val="right"/>
              <w:ind w:right="214"/>
              <w:spacing w:after="0" w:line="205" w:lineRule="exact"/>
              <w:rPr>
                <w:sz w:val="20"/>
                <w:szCs w:val="20"/>
                <w:color w:val="auto"/>
              </w:rPr>
            </w:pPr>
            <w:r>
              <w:rPr>
                <w:rFonts w:ascii="Calibri" w:cs="Calibri" w:eastAsia="Calibri" w:hAnsi="Calibri"/>
                <w:sz w:val="17"/>
                <w:szCs w:val="17"/>
                <w:color w:val="auto"/>
              </w:rPr>
              <w:t>$</w:t>
            </w:r>
          </w:p>
        </w:tc>
        <w:tc>
          <w:tcPr>
            <w:tcW w:w="86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rPr>
              <w:t>69,088</w:t>
            </w:r>
          </w:p>
        </w:tc>
        <w:tc>
          <w:tcPr>
            <w:tcW w:w="580" w:type="dxa"/>
            <w:vAlign w:val="bottom"/>
            <w:tcBorders>
              <w:bottom w:val="single" w:sz="8" w:color="auto"/>
            </w:tcBorders>
            <w:shd w:val="clear" w:color="auto" w:fill="CCEEFF"/>
          </w:tcPr>
          <w:p>
            <w:pPr>
              <w:jc w:val="right"/>
              <w:ind w:right="314"/>
              <w:spacing w:after="0" w:line="205" w:lineRule="exact"/>
              <w:rPr>
                <w:sz w:val="20"/>
                <w:szCs w:val="20"/>
                <w:color w:val="auto"/>
              </w:rPr>
            </w:pPr>
            <w:r>
              <w:rPr>
                <w:rFonts w:ascii="Calibri" w:cs="Calibri" w:eastAsia="Calibri" w:hAnsi="Calibri"/>
                <w:sz w:val="17"/>
                <w:szCs w:val="17"/>
                <w:color w:val="auto"/>
              </w:rPr>
              <w:t>$</w:t>
            </w:r>
          </w:p>
        </w:tc>
        <w:tc>
          <w:tcPr>
            <w:tcW w:w="76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rPr>
              <w:t>575</w:t>
            </w:r>
          </w:p>
        </w:tc>
        <w:tc>
          <w:tcPr>
            <w:tcW w:w="640" w:type="dxa"/>
            <w:vAlign w:val="bottom"/>
            <w:tcBorders>
              <w:bottom w:val="single" w:sz="8" w:color="auto"/>
            </w:tcBorders>
            <w:shd w:val="clear" w:color="auto" w:fill="CCEEFF"/>
          </w:tcPr>
          <w:p>
            <w:pPr>
              <w:jc w:val="right"/>
              <w:ind w:right="374"/>
              <w:spacing w:after="0" w:line="205" w:lineRule="exact"/>
              <w:rPr>
                <w:sz w:val="20"/>
                <w:szCs w:val="20"/>
                <w:color w:val="auto"/>
              </w:rPr>
            </w:pPr>
            <w:r>
              <w:rPr>
                <w:rFonts w:ascii="Calibri" w:cs="Calibri" w:eastAsia="Calibri" w:hAnsi="Calibri"/>
                <w:sz w:val="17"/>
                <w:szCs w:val="17"/>
                <w:color w:val="auto"/>
              </w:rPr>
              <w:t>$</w:t>
            </w:r>
          </w:p>
        </w:tc>
        <w:tc>
          <w:tcPr>
            <w:tcW w:w="660" w:type="dxa"/>
            <w:vAlign w:val="bottom"/>
            <w:tcBorders>
              <w:bottom w:val="single" w:sz="8" w:color="auto"/>
            </w:tcBorders>
            <w:shd w:val="clear" w:color="auto" w:fill="CCEEFF"/>
          </w:tcPr>
          <w:p>
            <w:pPr>
              <w:ind w:left="440"/>
              <w:spacing w:after="0" w:line="205" w:lineRule="exact"/>
              <w:rPr>
                <w:sz w:val="20"/>
                <w:szCs w:val="20"/>
                <w:color w:val="auto"/>
              </w:rPr>
            </w:pPr>
            <w:r>
              <w:rPr>
                <w:rFonts w:ascii="Calibri" w:cs="Calibri" w:eastAsia="Calibri" w:hAnsi="Calibri"/>
                <w:sz w:val="17"/>
                <w:szCs w:val="17"/>
                <w:color w:val="auto"/>
              </w:rPr>
              <w:t>—</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417195</wp:posOffset>
            </wp:positionV>
            <wp:extent cx="491490" cy="901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20</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22" w:name="page23"/>
    <w:bookmarkEnd w:id="22"/>
    <w:p>
      <w:pPr>
        <w:ind w:right="60"/>
        <w:spacing w:after="0" w:line="237" w:lineRule="auto"/>
        <w:rPr>
          <w:sz w:val="20"/>
          <w:szCs w:val="20"/>
          <w:color w:val="auto"/>
        </w:rPr>
      </w:pPr>
      <w:r>
        <w:rPr>
          <w:rFonts w:ascii="Calibri" w:cs="Calibri" w:eastAsia="Calibri" w:hAnsi="Calibri"/>
          <w:sz w:val="17"/>
          <w:szCs w:val="17"/>
          <w:color w:val="auto"/>
        </w:rPr>
        <w:t>The book values, approximate fair values and bases used to measure the approximate fair values of certain fnancial instruments as of December 31, 2023 are shown in the table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4"/>
          </w:tcPr>
          <w:p>
            <w:pPr>
              <w:jc w:val="center"/>
              <w:ind w:left="786"/>
              <w:spacing w:after="0"/>
              <w:rPr>
                <w:sz w:val="20"/>
                <w:szCs w:val="20"/>
                <w:color w:val="auto"/>
              </w:rPr>
            </w:pPr>
            <w:r>
              <w:rPr>
                <w:rFonts w:ascii="Calibri" w:cs="Calibri" w:eastAsia="Calibri" w:hAnsi="Calibri"/>
                <w:sz w:val="14"/>
                <w:szCs w:val="14"/>
                <w:b w:val="1"/>
                <w:bCs w:val="1"/>
                <w:color w:val="auto"/>
                <w:w w:val="97"/>
              </w:rPr>
              <w:t>Basis of fair value measurement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jc w:val="center"/>
              <w:ind w:right="106"/>
              <w:spacing w:after="0" w:line="109" w:lineRule="exact"/>
              <w:rPr>
                <w:sz w:val="20"/>
                <w:szCs w:val="20"/>
                <w:color w:val="auto"/>
              </w:rPr>
            </w:pPr>
            <w:r>
              <w:rPr>
                <w:rFonts w:ascii="Calibri" w:cs="Calibri" w:eastAsia="Calibri" w:hAnsi="Calibri"/>
                <w:sz w:val="11"/>
                <w:szCs w:val="11"/>
                <w:b w:val="1"/>
                <w:bCs w:val="1"/>
                <w:color w:val="auto"/>
              </w:rPr>
              <w:t>Quoted prices</w:t>
            </w: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Calibri" w:cs="Calibri" w:eastAsia="Calibri" w:hAnsi="Calibri"/>
                <w:sz w:val="14"/>
                <w:szCs w:val="14"/>
                <w:b w:val="1"/>
                <w:bCs w:val="1"/>
                <w:color w:val="auto"/>
                <w:w w:val="99"/>
              </w:rPr>
              <w:t>in actve markets for</w:t>
            </w:r>
          </w:p>
        </w:tc>
        <w:tc>
          <w:tcPr>
            <w:tcW w:w="180" w:type="dxa"/>
            <w:vAlign w:val="bottom"/>
          </w:tcPr>
          <w:p>
            <w:pPr>
              <w:spacing w:after="0"/>
              <w:rPr>
                <w:sz w:val="12"/>
                <w:szCs w:val="12"/>
                <w:color w:val="auto"/>
              </w:rPr>
            </w:pPr>
          </w:p>
        </w:tc>
        <w:tc>
          <w:tcPr>
            <w:tcW w:w="1160" w:type="dxa"/>
            <w:vAlign w:val="bottom"/>
          </w:tcPr>
          <w:p>
            <w:pPr>
              <w:jc w:val="center"/>
              <w:ind w:right="101"/>
              <w:spacing w:after="0" w:line="142" w:lineRule="exact"/>
              <w:rPr>
                <w:sz w:val="20"/>
                <w:szCs w:val="20"/>
                <w:color w:val="auto"/>
              </w:rPr>
            </w:pPr>
            <w:r>
              <w:rPr>
                <w:rFonts w:ascii="Calibri" w:cs="Calibri" w:eastAsia="Calibri" w:hAnsi="Calibri"/>
                <w:sz w:val="14"/>
                <w:szCs w:val="14"/>
                <w:b w:val="1"/>
                <w:bCs w:val="1"/>
                <w:color w:val="auto"/>
              </w:rPr>
              <w:t>Signifcant other</w:t>
            </w:r>
          </w:p>
        </w:tc>
        <w:tc>
          <w:tcPr>
            <w:tcW w:w="320" w:type="dxa"/>
            <w:vAlign w:val="bottom"/>
          </w:tcPr>
          <w:p>
            <w:pPr>
              <w:spacing w:after="0"/>
              <w:rPr>
                <w:sz w:val="12"/>
                <w:szCs w:val="12"/>
                <w:color w:val="auto"/>
              </w:rPr>
            </w:pPr>
          </w:p>
        </w:tc>
        <w:tc>
          <w:tcPr>
            <w:tcW w:w="980" w:type="dxa"/>
            <w:vAlign w:val="bottom"/>
          </w:tcPr>
          <w:p>
            <w:pPr>
              <w:jc w:val="center"/>
              <w:ind w:right="161"/>
              <w:spacing w:after="0" w:line="142" w:lineRule="exact"/>
              <w:rPr>
                <w:sz w:val="20"/>
                <w:szCs w:val="20"/>
                <w:color w:val="auto"/>
              </w:rPr>
            </w:pPr>
            <w:r>
              <w:rPr>
                <w:rFonts w:ascii="Calibri" w:cs="Calibri" w:eastAsia="Calibri" w:hAnsi="Calibri"/>
                <w:sz w:val="14"/>
                <w:szCs w:val="14"/>
                <w:b w:val="1"/>
                <w:bCs w:val="1"/>
                <w:color w:val="auto"/>
              </w:rPr>
              <w:t>Signifcant</w:t>
            </w:r>
          </w:p>
        </w:tc>
        <w:tc>
          <w:tcPr>
            <w:tcW w:w="0" w:type="dxa"/>
            <w:vAlign w:val="bottom"/>
          </w:tcPr>
          <w:p>
            <w:pPr>
              <w:spacing w:after="0"/>
              <w:rPr>
                <w:sz w:val="1"/>
                <w:szCs w:val="1"/>
                <w:color w:val="auto"/>
              </w:rPr>
            </w:pPr>
          </w:p>
        </w:tc>
      </w:tr>
      <w:tr>
        <w:trPr>
          <w:trHeight w:val="142"/>
        </w:trPr>
        <w:tc>
          <w:tcPr>
            <w:tcW w:w="46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2"/>
                <w:szCs w:val="12"/>
                <w:color w:val="auto"/>
              </w:rPr>
            </w:pPr>
          </w:p>
        </w:tc>
        <w:tc>
          <w:tcPr>
            <w:tcW w:w="1000" w:type="dxa"/>
            <w:vAlign w:val="bottom"/>
            <w:vMerge w:val="restart"/>
          </w:tcPr>
          <w:p>
            <w:pPr>
              <w:jc w:val="right"/>
              <w:ind w:right="198"/>
              <w:spacing w:after="0"/>
              <w:rPr>
                <w:sz w:val="20"/>
                <w:szCs w:val="20"/>
                <w:color w:val="auto"/>
              </w:rPr>
            </w:pPr>
            <w:r>
              <w:rPr>
                <w:rFonts w:ascii="Calibri" w:cs="Calibri" w:eastAsia="Calibri" w:hAnsi="Calibri"/>
                <w:sz w:val="14"/>
                <w:szCs w:val="14"/>
                <w:b w:val="1"/>
                <w:bCs w:val="1"/>
                <w:color w:val="auto"/>
              </w:rPr>
              <w:t>Book value</w:t>
            </w:r>
          </w:p>
        </w:tc>
        <w:tc>
          <w:tcPr>
            <w:tcW w:w="140" w:type="dxa"/>
            <w:vAlign w:val="bottom"/>
          </w:tcPr>
          <w:p>
            <w:pPr>
              <w:spacing w:after="0"/>
              <w:rPr>
                <w:sz w:val="12"/>
                <w:szCs w:val="12"/>
                <w:color w:val="auto"/>
              </w:rPr>
            </w:pPr>
          </w:p>
        </w:tc>
        <w:tc>
          <w:tcPr>
            <w:tcW w:w="1220" w:type="dxa"/>
            <w:vAlign w:val="bottom"/>
          </w:tcPr>
          <w:p>
            <w:pPr>
              <w:jc w:val="right"/>
              <w:ind w:right="161"/>
              <w:spacing w:after="0" w:line="142" w:lineRule="exact"/>
              <w:rPr>
                <w:sz w:val="20"/>
                <w:szCs w:val="20"/>
                <w:color w:val="auto"/>
              </w:rPr>
            </w:pPr>
            <w:r>
              <w:rPr>
                <w:rFonts w:ascii="Calibri" w:cs="Calibri" w:eastAsia="Calibri" w:hAnsi="Calibri"/>
                <w:sz w:val="14"/>
                <w:szCs w:val="14"/>
                <w:b w:val="1"/>
                <w:bCs w:val="1"/>
                <w:color w:val="auto"/>
                <w:w w:val="96"/>
              </w:rPr>
              <w:t>Approximate fair</w:t>
            </w:r>
          </w:p>
        </w:tc>
        <w:tc>
          <w:tcPr>
            <w:tcW w:w="140" w:type="dxa"/>
            <w:vAlign w:val="bottom"/>
          </w:tcPr>
          <w:p>
            <w:pPr>
              <w:spacing w:after="0"/>
              <w:rPr>
                <w:sz w:val="12"/>
                <w:szCs w:val="12"/>
                <w:color w:val="auto"/>
              </w:rPr>
            </w:pPr>
          </w:p>
        </w:tc>
        <w:tc>
          <w:tcPr>
            <w:tcW w:w="1140" w:type="dxa"/>
            <w:vAlign w:val="bottom"/>
          </w:tcPr>
          <w:p>
            <w:pPr>
              <w:jc w:val="center"/>
              <w:ind w:right="126"/>
              <w:spacing w:after="0" w:line="142" w:lineRule="exact"/>
              <w:rPr>
                <w:sz w:val="20"/>
                <w:szCs w:val="20"/>
                <w:color w:val="auto"/>
              </w:rPr>
            </w:pPr>
            <w:r>
              <w:rPr>
                <w:rFonts w:ascii="Calibri" w:cs="Calibri" w:eastAsia="Calibri" w:hAnsi="Calibri"/>
                <w:sz w:val="14"/>
                <w:szCs w:val="14"/>
                <w:b w:val="1"/>
                <w:bCs w:val="1"/>
                <w:color w:val="auto"/>
              </w:rPr>
              <w:t>identcal assets</w:t>
            </w:r>
          </w:p>
        </w:tc>
        <w:tc>
          <w:tcPr>
            <w:tcW w:w="1340" w:type="dxa"/>
            <w:vAlign w:val="bottom"/>
            <w:gridSpan w:val="2"/>
          </w:tcPr>
          <w:p>
            <w:pPr>
              <w:jc w:val="center"/>
              <w:spacing w:after="0" w:line="142" w:lineRule="exact"/>
              <w:rPr>
                <w:sz w:val="20"/>
                <w:szCs w:val="20"/>
                <w:color w:val="auto"/>
              </w:rPr>
            </w:pPr>
            <w:r>
              <w:rPr>
                <w:rFonts w:ascii="Calibri" w:cs="Calibri" w:eastAsia="Calibri" w:hAnsi="Calibri"/>
                <w:sz w:val="14"/>
                <w:szCs w:val="14"/>
                <w:b w:val="1"/>
                <w:bCs w:val="1"/>
                <w:color w:val="auto"/>
                <w:w w:val="98"/>
              </w:rPr>
              <w:t>observable inputs</w:t>
            </w:r>
          </w:p>
        </w:tc>
        <w:tc>
          <w:tcPr>
            <w:tcW w:w="1300" w:type="dxa"/>
            <w:vAlign w:val="bottom"/>
            <w:gridSpan w:val="2"/>
          </w:tcPr>
          <w:p>
            <w:pPr>
              <w:ind w:left="80"/>
              <w:spacing w:after="0" w:line="142" w:lineRule="exact"/>
              <w:rPr>
                <w:sz w:val="20"/>
                <w:szCs w:val="20"/>
                <w:color w:val="auto"/>
              </w:rPr>
            </w:pPr>
            <w:r>
              <w:rPr>
                <w:rFonts w:ascii="Calibri" w:cs="Calibri" w:eastAsia="Calibri" w:hAnsi="Calibri"/>
                <w:sz w:val="14"/>
                <w:szCs w:val="14"/>
                <w:b w:val="1"/>
                <w:bCs w:val="1"/>
                <w:color w:val="auto"/>
              </w:rPr>
              <w:t>unobservable inputs</w:t>
            </w:r>
          </w:p>
        </w:tc>
        <w:tc>
          <w:tcPr>
            <w:tcW w:w="0" w:type="dxa"/>
            <w:vAlign w:val="bottom"/>
          </w:tcPr>
          <w:p>
            <w:pPr>
              <w:spacing w:after="0"/>
              <w:rPr>
                <w:sz w:val="1"/>
                <w:szCs w:val="1"/>
                <w:color w:val="auto"/>
              </w:rPr>
            </w:pPr>
          </w:p>
        </w:tc>
      </w:tr>
      <w:tr>
        <w:trPr>
          <w:trHeight w:val="163"/>
        </w:trPr>
        <w:tc>
          <w:tcPr>
            <w:tcW w:w="4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81"/>
              <w:spacing w:after="0" w:line="164" w:lineRule="exact"/>
              <w:rPr>
                <w:sz w:val="20"/>
                <w:szCs w:val="20"/>
                <w:color w:val="auto"/>
              </w:rPr>
            </w:pPr>
            <w:r>
              <w:rPr>
                <w:rFonts w:ascii="Calibri" w:cs="Calibri" w:eastAsia="Calibri" w:hAnsi="Calibri"/>
                <w:sz w:val="14"/>
                <w:szCs w:val="14"/>
                <w:b w:val="1"/>
                <w:bCs w:val="1"/>
                <w:color w:val="auto"/>
              </w:rPr>
              <w:t>value</w:t>
            </w:r>
          </w:p>
        </w:tc>
        <w:tc>
          <w:tcPr>
            <w:tcW w:w="140" w:type="dxa"/>
            <w:vAlign w:val="bottom"/>
          </w:tcPr>
          <w:p>
            <w:pPr>
              <w:spacing w:after="0"/>
              <w:rPr>
                <w:sz w:val="14"/>
                <w:szCs w:val="14"/>
                <w:color w:val="auto"/>
              </w:rPr>
            </w:pPr>
          </w:p>
        </w:tc>
        <w:tc>
          <w:tcPr>
            <w:tcW w:w="1140" w:type="dxa"/>
            <w:vAlign w:val="bottom"/>
          </w:tcPr>
          <w:p>
            <w:pPr>
              <w:jc w:val="center"/>
              <w:ind w:right="106"/>
              <w:spacing w:after="0" w:line="164" w:lineRule="exact"/>
              <w:rPr>
                <w:sz w:val="20"/>
                <w:szCs w:val="20"/>
                <w:color w:val="auto"/>
              </w:rPr>
            </w:pPr>
            <w:r>
              <w:rPr>
                <w:rFonts w:ascii="Calibri" w:cs="Calibri" w:eastAsia="Calibri" w:hAnsi="Calibri"/>
                <w:sz w:val="14"/>
                <w:szCs w:val="14"/>
                <w:b w:val="1"/>
                <w:bCs w:val="1"/>
                <w:color w:val="auto"/>
                <w:w w:val="97"/>
              </w:rPr>
              <w:t>(Level 1)</w:t>
            </w:r>
          </w:p>
        </w:tc>
        <w:tc>
          <w:tcPr>
            <w:tcW w:w="180" w:type="dxa"/>
            <w:vAlign w:val="bottom"/>
          </w:tcPr>
          <w:p>
            <w:pPr>
              <w:spacing w:after="0"/>
              <w:rPr>
                <w:sz w:val="14"/>
                <w:szCs w:val="14"/>
                <w:color w:val="auto"/>
              </w:rPr>
            </w:pPr>
          </w:p>
        </w:tc>
        <w:tc>
          <w:tcPr>
            <w:tcW w:w="1160" w:type="dxa"/>
            <w:vAlign w:val="bottom"/>
          </w:tcPr>
          <w:p>
            <w:pPr>
              <w:jc w:val="center"/>
              <w:ind w:right="81"/>
              <w:spacing w:after="0" w:line="164" w:lineRule="exact"/>
              <w:rPr>
                <w:sz w:val="20"/>
                <w:szCs w:val="20"/>
                <w:color w:val="auto"/>
              </w:rPr>
            </w:pPr>
            <w:r>
              <w:rPr>
                <w:rFonts w:ascii="Calibri" w:cs="Calibri" w:eastAsia="Calibri" w:hAnsi="Calibri"/>
                <w:sz w:val="14"/>
                <w:szCs w:val="14"/>
                <w:b w:val="1"/>
                <w:bCs w:val="1"/>
                <w:color w:val="auto"/>
                <w:w w:val="97"/>
              </w:rPr>
              <w:t>(Level 2)</w:t>
            </w:r>
          </w:p>
        </w:tc>
        <w:tc>
          <w:tcPr>
            <w:tcW w:w="320" w:type="dxa"/>
            <w:vAlign w:val="bottom"/>
          </w:tcPr>
          <w:p>
            <w:pPr>
              <w:spacing w:after="0"/>
              <w:rPr>
                <w:sz w:val="14"/>
                <w:szCs w:val="14"/>
                <w:color w:val="auto"/>
              </w:rPr>
            </w:pPr>
          </w:p>
        </w:tc>
        <w:tc>
          <w:tcPr>
            <w:tcW w:w="980" w:type="dxa"/>
            <w:vAlign w:val="bottom"/>
          </w:tcPr>
          <w:p>
            <w:pPr>
              <w:jc w:val="center"/>
              <w:ind w:right="181"/>
              <w:spacing w:after="0" w:line="164" w:lineRule="exact"/>
              <w:rPr>
                <w:sz w:val="20"/>
                <w:szCs w:val="20"/>
                <w:color w:val="auto"/>
              </w:rPr>
            </w:pPr>
            <w:r>
              <w:rPr>
                <w:rFonts w:ascii="Calibri" w:cs="Calibri" w:eastAsia="Calibri" w:hAnsi="Calibri"/>
                <w:sz w:val="14"/>
                <w:szCs w:val="14"/>
                <w:b w:val="1"/>
                <w:bCs w:val="1"/>
                <w:color w:val="auto"/>
                <w:w w:val="97"/>
              </w:rPr>
              <w:t>(Level 3)</w:t>
            </w:r>
          </w:p>
        </w:tc>
        <w:tc>
          <w:tcPr>
            <w:tcW w:w="0" w:type="dxa"/>
            <w:vAlign w:val="bottom"/>
          </w:tcPr>
          <w:p>
            <w:pPr>
              <w:spacing w:after="0"/>
              <w:rPr>
                <w:sz w:val="1"/>
                <w:szCs w:val="1"/>
                <w:color w:val="auto"/>
              </w:rPr>
            </w:pPr>
          </w:p>
        </w:tc>
      </w:tr>
      <w:tr>
        <w:trPr>
          <w:trHeight w:val="43"/>
        </w:trPr>
        <w:tc>
          <w:tcPr>
            <w:tcW w:w="4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Liabilites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620" w:type="dxa"/>
            <w:vAlign w:val="bottom"/>
            <w:shd w:val="clear" w:color="auto" w:fill="CCEEFF"/>
          </w:tcPr>
          <w:p>
            <w:pPr>
              <w:ind w:left="20"/>
              <w:spacing w:after="0" w:line="167" w:lineRule="exact"/>
              <w:rPr>
                <w:sz w:val="20"/>
                <w:szCs w:val="20"/>
                <w:color w:val="auto"/>
              </w:rPr>
            </w:pPr>
            <w:r>
              <w:rPr>
                <w:rFonts w:ascii="Calibri" w:cs="Calibri" w:eastAsia="Calibri" w:hAnsi="Calibri"/>
                <w:sz w:val="17"/>
                <w:szCs w:val="17"/>
                <w:color w:val="auto"/>
              </w:rPr>
              <w:t>Current porton of long-term debt and fnance lease obligatons,</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CCEEFF"/>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excluding fair value hedges</w:t>
            </w:r>
          </w:p>
        </w:tc>
        <w:tc>
          <w:tcPr>
            <w:tcW w:w="340" w:type="dxa"/>
            <w:vAlign w:val="bottom"/>
            <w:tcBorders>
              <w:bottom w:val="single" w:sz="8" w:color="CCEEFF"/>
            </w:tcBorders>
            <w:shd w:val="clear" w:color="auto" w:fill="CCEEFF"/>
          </w:tcPr>
          <w:p>
            <w:pPr>
              <w:jc w:val="right"/>
              <w:ind w:right="14"/>
              <w:spacing w:after="0"/>
              <w:rPr>
                <w:sz w:val="20"/>
                <w:szCs w:val="20"/>
                <w:color w:val="auto"/>
              </w:rPr>
            </w:pPr>
            <w:r>
              <w:rPr>
                <w:rFonts w:ascii="Calibri" w:cs="Calibri" w:eastAsia="Calibri" w:hAnsi="Calibri"/>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7,191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220" w:type="dxa"/>
            <w:vAlign w:val="bottom"/>
            <w:tcBorders>
              <w:bottom w:val="single" w:sz="8" w:color="CCEEFF"/>
            </w:tcBorders>
            <w:shd w:val="clear" w:color="auto" w:fill="CCEEFF"/>
          </w:tcPr>
          <w:p>
            <w:pPr>
              <w:jc w:val="right"/>
              <w:ind w:right="81"/>
              <w:spacing w:after="0"/>
              <w:rPr>
                <w:sz w:val="20"/>
                <w:szCs w:val="20"/>
                <w:color w:val="auto"/>
              </w:rPr>
            </w:pPr>
            <w:r>
              <w:rPr>
                <w:rFonts w:ascii="Calibri" w:cs="Calibri" w:eastAsia="Calibri" w:hAnsi="Calibri"/>
                <w:sz w:val="17"/>
                <w:szCs w:val="17"/>
                <w:color w:val="auto"/>
              </w:rPr>
              <w:t>7,069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Calibri" w:cs="Calibri" w:eastAsia="Calibri" w:hAnsi="Calibri"/>
                <w:sz w:val="17"/>
                <w:szCs w:val="17"/>
                <w:color w:val="auto"/>
              </w:rPr>
              <w:t>6,862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Calibri" w:cs="Calibri" w:eastAsia="Calibri" w:hAnsi="Calibri"/>
                <w:sz w:val="17"/>
                <w:szCs w:val="17"/>
                <w:color w:val="auto"/>
              </w:rPr>
              <w:t>207</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Calibri" w:cs="Calibri" w:eastAsia="Calibri" w:hAnsi="Calibri"/>
                <w:sz w:val="17"/>
                <w:szCs w:val="17"/>
                <w:color w:val="auto"/>
              </w:rPr>
              <w:t>$</w:t>
            </w:r>
          </w:p>
        </w:tc>
        <w:tc>
          <w:tcPr>
            <w:tcW w:w="980" w:type="dxa"/>
            <w:vAlign w:val="bottom"/>
            <w:tcBorders>
              <w:bottom w:val="single" w:sz="8" w:color="CCEEFF"/>
            </w:tcBorders>
            <w:shd w:val="clear" w:color="auto" w:fill="CCEEFF"/>
          </w:tcPr>
          <w:p>
            <w:pPr>
              <w:ind w:left="76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159"/>
        </w:trPr>
        <w:tc>
          <w:tcPr>
            <w:tcW w:w="4620" w:type="dxa"/>
            <w:vAlign w:val="bottom"/>
          </w:tcPr>
          <w:p>
            <w:pPr>
              <w:ind w:left="20"/>
              <w:spacing w:after="0" w:line="160" w:lineRule="exact"/>
              <w:rPr>
                <w:sz w:val="20"/>
                <w:szCs w:val="20"/>
                <w:color w:val="auto"/>
              </w:rPr>
            </w:pPr>
            <w:r>
              <w:rPr>
                <w:rFonts w:ascii="Calibri" w:cs="Calibri" w:eastAsia="Calibri" w:hAnsi="Calibri"/>
                <w:sz w:val="17"/>
                <w:szCs w:val="17"/>
                <w:color w:val="auto"/>
              </w:rPr>
              <w:t>Long-term debt and fnance lease obligatons, excluding fair value</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20"/>
              <w:spacing w:after="0" w:line="205" w:lineRule="exact"/>
              <w:rPr>
                <w:sz w:val="20"/>
                <w:szCs w:val="20"/>
                <w:color w:val="auto"/>
              </w:rPr>
            </w:pPr>
            <w:r>
              <w:rPr>
                <w:rFonts w:ascii="Calibri" w:cs="Calibri" w:eastAsia="Calibri" w:hAnsi="Calibri"/>
                <w:sz w:val="17"/>
                <w:szCs w:val="17"/>
                <w:color w:val="auto"/>
              </w:rPr>
              <w:t>hedges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7"/>
                <w:szCs w:val="17"/>
                <w:color w:val="auto"/>
              </w:rPr>
              <w:t>52,460</w:t>
            </w:r>
          </w:p>
        </w:tc>
        <w:tc>
          <w:tcPr>
            <w:tcW w:w="140" w:type="dxa"/>
            <w:vAlign w:val="bottom"/>
          </w:tcPr>
          <w:p>
            <w:pPr>
              <w:spacing w:after="0"/>
              <w:rPr>
                <w:sz w:val="18"/>
                <w:szCs w:val="18"/>
                <w:color w:val="auto"/>
              </w:rPr>
            </w:pPr>
          </w:p>
        </w:tc>
        <w:tc>
          <w:tcPr>
            <w:tcW w:w="1220" w:type="dxa"/>
            <w:vAlign w:val="bottom"/>
          </w:tcPr>
          <w:p>
            <w:pPr>
              <w:jc w:val="right"/>
              <w:ind w:right="81"/>
              <w:spacing w:after="0"/>
              <w:rPr>
                <w:sz w:val="20"/>
                <w:szCs w:val="20"/>
                <w:color w:val="auto"/>
              </w:rPr>
            </w:pPr>
            <w:r>
              <w:rPr>
                <w:rFonts w:ascii="Calibri" w:cs="Calibri" w:eastAsia="Calibri" w:hAnsi="Calibri"/>
                <w:sz w:val="17"/>
                <w:szCs w:val="17"/>
                <w:color w:val="auto"/>
              </w:rPr>
              <w:t>49,541</w:t>
            </w:r>
          </w:p>
        </w:tc>
        <w:tc>
          <w:tcPr>
            <w:tcW w:w="140" w:type="dxa"/>
            <w:vAlign w:val="bottom"/>
          </w:tcPr>
          <w:p>
            <w:pPr>
              <w:spacing w:after="0"/>
              <w:rPr>
                <w:sz w:val="18"/>
                <w:szCs w:val="18"/>
                <w:color w:val="auto"/>
              </w:rPr>
            </w:pPr>
          </w:p>
        </w:tc>
        <w:tc>
          <w:tcPr>
            <w:tcW w:w="1140" w:type="dxa"/>
            <w:vAlign w:val="bottom"/>
          </w:tcPr>
          <w:p>
            <w:pPr>
              <w:jc w:val="right"/>
              <w:ind w:right="26"/>
              <w:spacing w:after="0"/>
              <w:rPr>
                <w:sz w:val="20"/>
                <w:szCs w:val="20"/>
                <w:color w:val="auto"/>
              </w:rPr>
            </w:pPr>
            <w:r>
              <w:rPr>
                <w:rFonts w:ascii="Calibri" w:cs="Calibri" w:eastAsia="Calibri" w:hAnsi="Calibri"/>
                <w:sz w:val="17"/>
                <w:szCs w:val="17"/>
                <w:color w:val="auto"/>
              </w:rPr>
              <w:t>48,983</w:t>
            </w:r>
          </w:p>
        </w:tc>
        <w:tc>
          <w:tcPr>
            <w:tcW w:w="180" w:type="dxa"/>
            <w:vAlign w:val="bottom"/>
          </w:tcPr>
          <w:p>
            <w:pPr>
              <w:spacing w:after="0"/>
              <w:rPr>
                <w:sz w:val="18"/>
                <w:szCs w:val="18"/>
                <w:color w:val="auto"/>
              </w:rPr>
            </w:pPr>
          </w:p>
        </w:tc>
        <w:tc>
          <w:tcPr>
            <w:tcW w:w="1160" w:type="dxa"/>
            <w:vAlign w:val="bottom"/>
          </w:tcPr>
          <w:p>
            <w:pPr>
              <w:jc w:val="right"/>
              <w:ind w:right="21"/>
              <w:spacing w:after="0"/>
              <w:rPr>
                <w:sz w:val="20"/>
                <w:szCs w:val="20"/>
                <w:color w:val="auto"/>
              </w:rPr>
            </w:pPr>
            <w:r>
              <w:rPr>
                <w:rFonts w:ascii="Calibri" w:cs="Calibri" w:eastAsia="Calibri" w:hAnsi="Calibri"/>
                <w:sz w:val="17"/>
                <w:szCs w:val="17"/>
                <w:color w:val="auto"/>
              </w:rPr>
              <w:t>558</w:t>
            </w:r>
          </w:p>
        </w:tc>
        <w:tc>
          <w:tcPr>
            <w:tcW w:w="32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
        </w:trPr>
        <w:tc>
          <w:tcPr>
            <w:tcW w:w="4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liabilites</w:t>
            </w:r>
          </w:p>
        </w:tc>
        <w:tc>
          <w:tcPr>
            <w:tcW w:w="34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59,651</w:t>
            </w: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bottom w:val="single" w:sz="8" w:color="auto"/>
            </w:tcBorders>
            <w:shd w:val="clear" w:color="auto" w:fill="CCEEFF"/>
          </w:tcPr>
          <w:p>
            <w:pPr>
              <w:jc w:val="right"/>
              <w:ind w:right="81"/>
              <w:spacing w:after="0" w:line="205" w:lineRule="exact"/>
              <w:rPr>
                <w:sz w:val="20"/>
                <w:szCs w:val="20"/>
                <w:color w:val="auto"/>
              </w:rPr>
            </w:pPr>
            <w:r>
              <w:rPr>
                <w:rFonts w:ascii="Calibri" w:cs="Calibri" w:eastAsia="Calibri" w:hAnsi="Calibri"/>
                <w:sz w:val="17"/>
                <w:szCs w:val="17"/>
                <w:color w:val="auto"/>
              </w:rPr>
              <w:t>56,610</w:t>
            </w: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shd w:val="clear" w:color="auto" w:fill="CCEEFF"/>
          </w:tcPr>
          <w:p>
            <w:pPr>
              <w:jc w:val="right"/>
              <w:ind w:right="26"/>
              <w:spacing w:after="0" w:line="205" w:lineRule="exact"/>
              <w:rPr>
                <w:sz w:val="20"/>
                <w:szCs w:val="20"/>
                <w:color w:val="auto"/>
              </w:rPr>
            </w:pPr>
            <w:r>
              <w:rPr>
                <w:rFonts w:ascii="Calibri" w:cs="Calibri" w:eastAsia="Calibri" w:hAnsi="Calibri"/>
                <w:sz w:val="17"/>
                <w:szCs w:val="17"/>
                <w:color w:val="auto"/>
              </w:rPr>
              <w:t>55,845</w:t>
            </w: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60" w:type="dxa"/>
            <w:vAlign w:val="bottom"/>
            <w:tcBorders>
              <w:bottom w:val="single" w:sz="8" w:color="auto"/>
            </w:tcBorders>
            <w:shd w:val="clear" w:color="auto" w:fill="CCEEFF"/>
          </w:tcPr>
          <w:p>
            <w:pPr>
              <w:jc w:val="right"/>
              <w:ind w:right="21"/>
              <w:spacing w:after="0" w:line="205" w:lineRule="exact"/>
              <w:rPr>
                <w:sz w:val="20"/>
                <w:szCs w:val="20"/>
                <w:color w:val="auto"/>
              </w:rPr>
            </w:pPr>
            <w:r>
              <w:rPr>
                <w:rFonts w:ascii="Calibri" w:cs="Calibri" w:eastAsia="Calibri" w:hAnsi="Calibri"/>
                <w:sz w:val="17"/>
                <w:szCs w:val="17"/>
                <w:color w:val="auto"/>
              </w:rPr>
              <w:t>765</w:t>
            </w:r>
          </w:p>
        </w:tc>
        <w:tc>
          <w:tcPr>
            <w:tcW w:w="320" w:type="dxa"/>
            <w:vAlign w:val="bottom"/>
            <w:tcBorders>
              <w:bottom w:val="single" w:sz="8" w:color="auto"/>
            </w:tcBorders>
            <w:shd w:val="clear" w:color="auto" w:fill="CCEEFF"/>
          </w:tcPr>
          <w:p>
            <w:pPr>
              <w:ind w:left="80"/>
              <w:spacing w:after="0" w:line="205" w:lineRule="exact"/>
              <w:rPr>
                <w:sz w:val="20"/>
                <w:szCs w:val="20"/>
                <w:color w:val="auto"/>
              </w:rPr>
            </w:pPr>
            <w:r>
              <w:rPr>
                <w:rFonts w:ascii="Calibri" w:cs="Calibri" w:eastAsia="Calibri" w:hAnsi="Calibri"/>
                <w:sz w:val="17"/>
                <w:szCs w:val="17"/>
                <w:color w:val="auto"/>
              </w:rPr>
              <w:t>$</w:t>
            </w:r>
          </w:p>
        </w:tc>
        <w:tc>
          <w:tcPr>
            <w:tcW w:w="980" w:type="dxa"/>
            <w:vAlign w:val="bottom"/>
            <w:tcBorders>
              <w:bottom w:val="single" w:sz="8" w:color="auto"/>
            </w:tcBorders>
            <w:shd w:val="clear" w:color="auto" w:fill="CCEEFF"/>
          </w:tcPr>
          <w:p>
            <w:pPr>
              <w:ind w:left="760"/>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AbbVie also holds investments in equity securites that do not have readily determinable fair values. The company records these investments at cost and remeasures them to fair value based on certain observable price changes or impairment events as they occur. The carrying amount of these investments was $153 million as of September 30, 2024 and $159 million as of December 31, 2023. No signifcant cumulatve upward or downward adjustments have been recorded for these investments as of September 30, 2024.</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Concentratons of Risk</w:t>
      </w:r>
    </w:p>
    <w:p>
      <w:pPr>
        <w:spacing w:after="0" w:line="130" w:lineRule="exact"/>
        <w:rPr>
          <w:sz w:val="20"/>
          <w:szCs w:val="20"/>
          <w:color w:val="auto"/>
        </w:rPr>
      </w:pPr>
    </w:p>
    <w:p>
      <w:pPr>
        <w:ind w:right="460"/>
        <w:spacing w:after="0" w:line="237" w:lineRule="auto"/>
        <w:rPr>
          <w:sz w:val="20"/>
          <w:szCs w:val="20"/>
          <w:color w:val="auto"/>
        </w:rPr>
      </w:pPr>
      <w:r>
        <w:rPr>
          <w:rFonts w:ascii="Calibri" w:cs="Calibri" w:eastAsia="Calibri" w:hAnsi="Calibri"/>
          <w:sz w:val="17"/>
          <w:szCs w:val="17"/>
          <w:color w:val="auto"/>
        </w:rPr>
        <w:t>Of total net accounts receivable, three U.S. wholesalers accounted for 78% as of September 30, 2024 and 81% as of December 31, 2023, and substantally all of AbbVie’s pharmaceutcal product net revenues in the United States were to these three wholesalers.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Debt and Credit Facilites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Financing Related to ImmunoGen and Cerevel Therapeutcs Acquisitons</w:t>
      </w:r>
    </w:p>
    <w:p>
      <w:pPr>
        <w:spacing w:after="0" w:line="130"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In connecton with the acquisitons of ImmunoGen and Cerevel Therapeutcs, in February, 2024, the company issued $15.0 billion aggregate principal amount of unsecured senior notes. The notes are unsecured, unsubordinated obligatons of AbbVie and will rank equally in right of payment with all of AbbVie’s existng and future unsecured, unsubordinated indebtedness, liabilites and other obligatons. AbbVie may redeem the fxed-rate senior notes prior to maturity at a redempton price equal to the greater of the principal amount or the sum of present values of the remaining scheduled payments of principal and interest on the fxed-rate senior notes to be redeemed plus a make-whole premium. AbbVie may also redeem the fxed-rate senior notes at par between one and six months prior to maturity. In connecton with the ofering, debt issuance costs incurred totaled $99 million and debt discounts totaled $37 million, which are being amortzed over the respectve terms of the notes to interest expense, net in the condensed consolidated statements of earnings.</w:t>
      </w:r>
    </w:p>
    <w:p>
      <w:pPr>
        <w:spacing w:after="0" w:line="145" w:lineRule="exact"/>
        <w:rPr>
          <w:sz w:val="20"/>
          <w:szCs w:val="20"/>
          <w:color w:val="auto"/>
        </w:rPr>
      </w:pPr>
    </w:p>
    <w:p>
      <w:pPr>
        <w:ind w:right="340"/>
        <w:spacing w:after="0" w:line="238" w:lineRule="auto"/>
        <w:rPr>
          <w:sz w:val="20"/>
          <w:szCs w:val="20"/>
          <w:color w:val="auto"/>
        </w:rPr>
      </w:pPr>
      <w:r>
        <w:rPr>
          <w:rFonts w:ascii="Calibri" w:cs="Calibri" w:eastAsia="Calibri" w:hAnsi="Calibri"/>
          <w:sz w:val="17"/>
          <w:szCs w:val="17"/>
          <w:color w:val="auto"/>
        </w:rPr>
        <w:t>AbbVie used the net proceeds received from the issuance of the notes to fnance the acquisiton of ImmunoGen, repay its term-loan, repay commercial paper borrowings, pay fees and expenses in respect of the foregoing, fnance general corporate purposes and, together with cash on hand, fund AbbVie’s acquisiton of Cerevel Therapeutcs. See Note 4 for additonal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21</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spacing w:after="0"/>
        <w:rPr>
          <w:sz w:val="20"/>
          <w:szCs w:val="20"/>
          <w:color w:val="auto"/>
        </w:rPr>
      </w:pPr>
      <w:r>
        <w:rPr>
          <w:rFonts w:ascii="Calibri" w:cs="Calibri" w:eastAsia="Calibri" w:hAnsi="Calibri"/>
          <w:sz w:val="17"/>
          <w:szCs w:val="17"/>
          <w:color w:val="auto"/>
        </w:rPr>
        <w:t>The following table summarizes issued debt in connecton with the acquisitons of ImmunoGen and Cerevel Therapeutcs:</w:t>
      </w:r>
    </w:p>
    <w:p>
      <w:pPr>
        <w:spacing w:after="0" w:line="16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20" w:type="dxa"/>
            <w:vAlign w:val="bottom"/>
          </w:tcPr>
          <w:p>
            <w:pPr>
              <w:ind w:left="20"/>
              <w:spacing w:after="0"/>
              <w:rPr>
                <w:sz w:val="20"/>
                <w:szCs w:val="20"/>
                <w:color w:val="auto"/>
              </w:rPr>
            </w:pPr>
            <w:r>
              <w:rPr>
                <w:rFonts w:ascii="Calibri" w:cs="Calibri" w:eastAsia="Calibri" w:hAnsi="Calibri"/>
                <w:sz w:val="17"/>
                <w:szCs w:val="17"/>
                <w:b w:val="1"/>
                <w:bCs w:val="1"/>
                <w:color w:val="auto"/>
              </w:rPr>
              <w:t>Senior Notes</w:t>
            </w:r>
          </w:p>
        </w:tc>
        <w:tc>
          <w:tcPr>
            <w:tcW w:w="4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
        </w:trPr>
        <w:tc>
          <w:tcPr>
            <w:tcW w:w="60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9"/>
        </w:trPr>
        <w:tc>
          <w:tcPr>
            <w:tcW w:w="6020" w:type="dxa"/>
            <w:vAlign w:val="bottom"/>
            <w:shd w:val="clear" w:color="auto" w:fill="CCEEFF"/>
          </w:tcPr>
          <w:p>
            <w:pPr>
              <w:ind w:left="320"/>
              <w:spacing w:after="0" w:line="205" w:lineRule="exact"/>
              <w:rPr>
                <w:sz w:val="20"/>
                <w:szCs w:val="20"/>
                <w:color w:val="auto"/>
              </w:rPr>
            </w:pPr>
            <w:r>
              <w:rPr>
                <w:rFonts w:ascii="Calibri" w:cs="Calibri" w:eastAsia="Calibri" w:hAnsi="Calibri"/>
                <w:sz w:val="17"/>
                <w:szCs w:val="17"/>
                <w:color w:val="auto"/>
              </w:rPr>
              <w:t>4.80% Senior Notes due 2027</w:t>
            </w:r>
          </w:p>
        </w:tc>
        <w:tc>
          <w:tcPr>
            <w:tcW w:w="4220" w:type="dxa"/>
            <w:vAlign w:val="bottom"/>
            <w:shd w:val="clear" w:color="auto" w:fill="CCEEFF"/>
          </w:tcPr>
          <w:p>
            <w:pPr>
              <w:jc w:val="right"/>
              <w:ind w:right="374"/>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2,250</w:t>
            </w:r>
          </w:p>
        </w:tc>
      </w:tr>
      <w:tr>
        <w:trPr>
          <w:trHeight w:val="212"/>
        </w:trPr>
        <w:tc>
          <w:tcPr>
            <w:tcW w:w="6020" w:type="dxa"/>
            <w:vAlign w:val="bottom"/>
          </w:tcPr>
          <w:p>
            <w:pPr>
              <w:ind w:left="320"/>
              <w:spacing w:after="0" w:line="205" w:lineRule="exact"/>
              <w:rPr>
                <w:sz w:val="20"/>
                <w:szCs w:val="20"/>
                <w:color w:val="auto"/>
              </w:rPr>
            </w:pPr>
            <w:r>
              <w:rPr>
                <w:rFonts w:ascii="Calibri" w:cs="Calibri" w:eastAsia="Calibri" w:hAnsi="Calibri"/>
                <w:sz w:val="17"/>
                <w:szCs w:val="17"/>
                <w:color w:val="auto"/>
              </w:rPr>
              <w:t>4.80% Senior Notes due 2029</w:t>
            </w:r>
          </w:p>
        </w:tc>
        <w:tc>
          <w:tcPr>
            <w:tcW w:w="422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2,500</w:t>
            </w:r>
          </w:p>
        </w:tc>
      </w:tr>
      <w:tr>
        <w:trPr>
          <w:trHeight w:val="226"/>
        </w:trPr>
        <w:tc>
          <w:tcPr>
            <w:tcW w:w="6020" w:type="dxa"/>
            <w:vAlign w:val="bottom"/>
            <w:shd w:val="clear" w:color="auto" w:fill="CCEEFF"/>
          </w:tcPr>
          <w:p>
            <w:pPr>
              <w:ind w:left="320"/>
              <w:spacing w:after="0"/>
              <w:rPr>
                <w:sz w:val="20"/>
                <w:szCs w:val="20"/>
                <w:color w:val="auto"/>
              </w:rPr>
            </w:pPr>
            <w:r>
              <w:rPr>
                <w:rFonts w:ascii="Calibri" w:cs="Calibri" w:eastAsia="Calibri" w:hAnsi="Calibri"/>
                <w:sz w:val="17"/>
                <w:szCs w:val="17"/>
                <w:color w:val="auto"/>
              </w:rPr>
              <w:t>4.95% Senior Notes due 2031</w:t>
            </w:r>
          </w:p>
        </w:tc>
        <w:tc>
          <w:tcPr>
            <w:tcW w:w="4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2,000</w:t>
            </w:r>
          </w:p>
        </w:tc>
      </w:tr>
      <w:tr>
        <w:trPr>
          <w:trHeight w:val="212"/>
        </w:trPr>
        <w:tc>
          <w:tcPr>
            <w:tcW w:w="6020" w:type="dxa"/>
            <w:vAlign w:val="bottom"/>
          </w:tcPr>
          <w:p>
            <w:pPr>
              <w:ind w:left="320"/>
              <w:spacing w:after="0" w:line="205" w:lineRule="exact"/>
              <w:rPr>
                <w:sz w:val="20"/>
                <w:szCs w:val="20"/>
                <w:color w:val="auto"/>
              </w:rPr>
            </w:pPr>
            <w:r>
              <w:rPr>
                <w:rFonts w:ascii="Calibri" w:cs="Calibri" w:eastAsia="Calibri" w:hAnsi="Calibri"/>
                <w:sz w:val="17"/>
                <w:szCs w:val="17"/>
                <w:color w:val="auto"/>
              </w:rPr>
              <w:t>5.05% Senior Notes due 2034</w:t>
            </w:r>
          </w:p>
        </w:tc>
        <w:tc>
          <w:tcPr>
            <w:tcW w:w="422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3,000</w:t>
            </w:r>
          </w:p>
        </w:tc>
      </w:tr>
      <w:tr>
        <w:trPr>
          <w:trHeight w:val="226"/>
        </w:trPr>
        <w:tc>
          <w:tcPr>
            <w:tcW w:w="6020" w:type="dxa"/>
            <w:vAlign w:val="bottom"/>
            <w:shd w:val="clear" w:color="auto" w:fill="CCEEFF"/>
          </w:tcPr>
          <w:p>
            <w:pPr>
              <w:ind w:left="320"/>
              <w:spacing w:after="0"/>
              <w:rPr>
                <w:sz w:val="20"/>
                <w:szCs w:val="20"/>
                <w:color w:val="auto"/>
              </w:rPr>
            </w:pPr>
            <w:r>
              <w:rPr>
                <w:rFonts w:ascii="Calibri" w:cs="Calibri" w:eastAsia="Calibri" w:hAnsi="Calibri"/>
                <w:sz w:val="17"/>
                <w:szCs w:val="17"/>
                <w:color w:val="auto"/>
              </w:rPr>
              <w:t>5.35% Senior Notes due 2044</w:t>
            </w:r>
          </w:p>
        </w:tc>
        <w:tc>
          <w:tcPr>
            <w:tcW w:w="4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750</w:t>
            </w:r>
          </w:p>
        </w:tc>
      </w:tr>
      <w:tr>
        <w:trPr>
          <w:trHeight w:val="212"/>
        </w:trPr>
        <w:tc>
          <w:tcPr>
            <w:tcW w:w="6020" w:type="dxa"/>
            <w:vAlign w:val="bottom"/>
          </w:tcPr>
          <w:p>
            <w:pPr>
              <w:ind w:left="320"/>
              <w:spacing w:after="0" w:line="205" w:lineRule="exact"/>
              <w:rPr>
                <w:sz w:val="20"/>
                <w:szCs w:val="20"/>
                <w:color w:val="auto"/>
              </w:rPr>
            </w:pPr>
            <w:r>
              <w:rPr>
                <w:rFonts w:ascii="Calibri" w:cs="Calibri" w:eastAsia="Calibri" w:hAnsi="Calibri"/>
                <w:sz w:val="17"/>
                <w:szCs w:val="17"/>
                <w:color w:val="auto"/>
              </w:rPr>
              <w:t>5.40% Senior Notes due 2054</w:t>
            </w:r>
          </w:p>
        </w:tc>
        <w:tc>
          <w:tcPr>
            <w:tcW w:w="422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3,000</w:t>
            </w:r>
          </w:p>
        </w:tc>
      </w:tr>
      <w:tr>
        <w:trPr>
          <w:trHeight w:val="219"/>
        </w:trPr>
        <w:tc>
          <w:tcPr>
            <w:tcW w:w="6020" w:type="dxa"/>
            <w:vAlign w:val="bottom"/>
            <w:tcBorders>
              <w:bottom w:val="single" w:sz="8" w:color="auto"/>
            </w:tcBorders>
            <w:shd w:val="clear" w:color="auto" w:fill="CCEEFF"/>
          </w:tcPr>
          <w:p>
            <w:pPr>
              <w:ind w:left="320"/>
              <w:spacing w:after="0"/>
              <w:rPr>
                <w:sz w:val="20"/>
                <w:szCs w:val="20"/>
                <w:color w:val="auto"/>
              </w:rPr>
            </w:pPr>
            <w:r>
              <w:rPr>
                <w:rFonts w:ascii="Calibri" w:cs="Calibri" w:eastAsia="Calibri" w:hAnsi="Calibri"/>
                <w:sz w:val="17"/>
                <w:szCs w:val="17"/>
                <w:color w:val="auto"/>
              </w:rPr>
              <w:t>5.50% Senior Notes due 2064</w:t>
            </w:r>
          </w:p>
        </w:tc>
        <w:tc>
          <w:tcPr>
            <w:tcW w:w="4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1,500</w:t>
            </w:r>
          </w:p>
        </w:tc>
      </w:tr>
      <w:tr>
        <w:trPr>
          <w:trHeight w:val="212"/>
        </w:trPr>
        <w:tc>
          <w:tcPr>
            <w:tcW w:w="60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debt issued</w:t>
            </w:r>
          </w:p>
        </w:tc>
        <w:tc>
          <w:tcPr>
            <w:tcW w:w="4220" w:type="dxa"/>
            <w:vAlign w:val="bottom"/>
            <w:tcBorders>
              <w:bottom w:val="single" w:sz="8" w:color="auto"/>
            </w:tcBorders>
          </w:tcPr>
          <w:p>
            <w:pPr>
              <w:jc w:val="right"/>
              <w:ind w:right="374"/>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15,000</w:t>
            </w:r>
          </w:p>
        </w:tc>
      </w:tr>
      <w:tr>
        <w:trPr>
          <w:trHeight w:val="26"/>
        </w:trPr>
        <w:tc>
          <w:tcPr>
            <w:tcW w:w="60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80"/>
        <w:spacing w:after="0" w:line="214" w:lineRule="auto"/>
        <w:rPr>
          <w:sz w:val="20"/>
          <w:szCs w:val="20"/>
          <w:color w:val="auto"/>
        </w:rPr>
      </w:pPr>
      <w:r>
        <w:rPr>
          <w:rFonts w:ascii="Calibri" w:cs="Calibri" w:eastAsia="Calibri" w:hAnsi="Calibri"/>
          <w:sz w:val="17"/>
          <w:szCs w:val="17"/>
          <w:color w:val="auto"/>
        </w:rPr>
        <w:t>In December 2023, AbbVie entered into a $9.0 billion 364-day bridge credit agreement and $5.0 billion 364-day term loan credit agreement. In February 2024, AbbVie borrowed and repaid $5.0 billion under the term loan credit agreement. Interest charged on this borrowing was based on Secured Overnight Financing Rate Reference Rate (SOFR) +0.975% with an efectve interest rate of 6.29%. Subsequent to the $15.0 billion issuance of senior notes, AbbVie terminated both the bridge and term loan credit agreements in the frst quarter of 2024. In February 2024, concurrent with the ImmunoGen acquisiton, the company assumed and repaid an ImmunoGen senior secured term loan at a fair value of $99 million.</w:t>
      </w:r>
    </w:p>
    <w:p>
      <w:pPr>
        <w:spacing w:after="0" w:line="106" w:lineRule="exact"/>
        <w:rPr>
          <w:sz w:val="20"/>
          <w:szCs w:val="20"/>
          <w:color w:val="auto"/>
        </w:rPr>
      </w:pPr>
    </w:p>
    <w:p>
      <w:pPr>
        <w:ind w:right="120"/>
        <w:spacing w:after="0" w:line="229" w:lineRule="auto"/>
        <w:rPr>
          <w:sz w:val="20"/>
          <w:szCs w:val="20"/>
          <w:color w:val="auto"/>
        </w:rPr>
      </w:pPr>
      <w:r>
        <w:rPr>
          <w:rFonts w:ascii="Calibri" w:cs="Calibri" w:eastAsia="Calibri" w:hAnsi="Calibri"/>
          <w:sz w:val="16"/>
          <w:szCs w:val="16"/>
          <w:color w:val="auto"/>
        </w:rPr>
        <w:t>In connecton with the acquisiton of Cerevel Therapeutcs, the company assumed $345 million aggregate principal of 2.5% convertble senior notes due 2027. Upon acquisiton, the convertble senior notes became callable and note holders could redeem the convertble senior notes for cash at a premium. As of the acquisiton date, the convertble senior notes were recognized as current porton of long-term debt on the condensed consolidated balance sheets at an aggregate fair value of $400 million. Following the acquisiton date, the company repaid the convertble senior notes and there were no amounts outstanding as of September 30, 2024.</w:t>
      </w:r>
    </w:p>
    <w:p>
      <w:pPr>
        <w:spacing w:after="0" w:line="118" w:lineRule="exact"/>
        <w:rPr>
          <w:sz w:val="20"/>
          <w:szCs w:val="20"/>
          <w:color w:val="auto"/>
        </w:rPr>
      </w:pPr>
    </w:p>
    <w:p>
      <w:pPr>
        <w:ind w:right="100"/>
        <w:spacing w:after="0" w:line="223" w:lineRule="auto"/>
        <w:rPr>
          <w:sz w:val="20"/>
          <w:szCs w:val="20"/>
          <w:color w:val="auto"/>
        </w:rPr>
      </w:pPr>
      <w:r>
        <w:rPr>
          <w:rFonts w:ascii="Calibri" w:cs="Calibri" w:eastAsia="Calibri" w:hAnsi="Calibri"/>
          <w:sz w:val="17"/>
          <w:szCs w:val="17"/>
          <w:color w:val="auto"/>
        </w:rPr>
        <w:t>The company also assumed funding agreements entered into by Cerevel Therapeutcs prior to the acquisiton. Under the agreements, Cerevel Therapeutcs received funding to support development of tavapadon and agreed to repay regulatory milestones, sales milestones and royaltes contngent upon approval of tavapadon by the U.S. Food and Drug Administraton (FDA). In additon, upon acquisiton the company has the opton to satsfy payment obligatons early by making a payment equal to the amount of funding provided to Cerevel Therapeutcs plus a variable premium. In all circumstances, total repayments under the funding agreements will not exceed $531 million in aggregate. The funding agreements were accounted for as fnancing arrangements and the fair value of the related fnancing liability was $246 million as of the acquisiton date. In conjuncton with the funding agreements, AbbVie also assumed security agreements entered into by Cerevel Therapeutcs prior to the acquisiton pursuant to which Cerevel Therapeutcs granted the funding investors a security interest in the assets material to the development and commercializaton of tavapadon in the United States.</w:t>
      </w:r>
    </w:p>
    <w:p>
      <w:pPr>
        <w:spacing w:after="0" w:line="13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Other Long-Term Debt</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In May 2024, the company repaid a €1.5 billion aggregate principal amount of 1.38% senior euro notes at maturity.</w:t>
      </w:r>
    </w:p>
    <w:p>
      <w:pPr>
        <w:spacing w:after="0" w:line="130" w:lineRule="exact"/>
        <w:rPr>
          <w:sz w:val="20"/>
          <w:szCs w:val="20"/>
          <w:color w:val="auto"/>
        </w:rPr>
      </w:pPr>
    </w:p>
    <w:p>
      <w:pPr>
        <w:ind w:right="80"/>
        <w:spacing w:after="0" w:line="237" w:lineRule="auto"/>
        <w:rPr>
          <w:sz w:val="20"/>
          <w:szCs w:val="20"/>
          <w:color w:val="auto"/>
        </w:rPr>
      </w:pPr>
      <w:r>
        <w:rPr>
          <w:rFonts w:ascii="Calibri" w:cs="Calibri" w:eastAsia="Calibri" w:hAnsi="Calibri"/>
          <w:sz w:val="17"/>
          <w:szCs w:val="17"/>
          <w:color w:val="auto"/>
        </w:rPr>
        <w:t>In June 2024, the company repaid a €700 million aggregate principal amount of 1.25% senior euro notes and $1.0 billion aggregate principal amount of 3.85% senior notes at maturity.</w:t>
      </w:r>
    </w:p>
    <w:p>
      <w:pPr>
        <w:spacing w:after="0" w:line="132" w:lineRule="exact"/>
        <w:rPr>
          <w:sz w:val="20"/>
          <w:szCs w:val="20"/>
          <w:color w:val="auto"/>
        </w:rPr>
      </w:pPr>
    </w:p>
    <w:p>
      <w:pPr>
        <w:ind w:right="300"/>
        <w:spacing w:after="0" w:line="230" w:lineRule="auto"/>
        <w:rPr>
          <w:sz w:val="20"/>
          <w:szCs w:val="20"/>
          <w:color w:val="auto"/>
        </w:rPr>
      </w:pPr>
      <w:r>
        <w:rPr>
          <w:rFonts w:ascii="Calibri" w:cs="Calibri" w:eastAsia="Calibri" w:hAnsi="Calibri"/>
          <w:sz w:val="17"/>
          <w:szCs w:val="17"/>
          <w:color w:val="auto"/>
        </w:rPr>
        <w:t>Subsequent to September 30, 2024, the company refnanced its $2.0 billion foatng rate three-year term loan. As part of the refnancing, the company repaid the existng $2.0 billion term loan due May 2025 and borrowed $2.0 billion under a new term loan due April 2027.</w:t>
      </w:r>
    </w:p>
    <w:p>
      <w:pPr>
        <w:spacing w:after="0" w:line="131" w:lineRule="exact"/>
        <w:rPr>
          <w:sz w:val="20"/>
          <w:szCs w:val="20"/>
          <w:color w:val="auto"/>
        </w:rPr>
      </w:pPr>
    </w:p>
    <w:p>
      <w:pPr>
        <w:ind w:right="60"/>
        <w:spacing w:after="0" w:line="237" w:lineRule="auto"/>
        <w:rPr>
          <w:sz w:val="20"/>
          <w:szCs w:val="20"/>
          <w:color w:val="auto"/>
        </w:rPr>
      </w:pPr>
      <w:r>
        <w:rPr>
          <w:rFonts w:ascii="Calibri" w:cs="Calibri" w:eastAsia="Calibri" w:hAnsi="Calibri"/>
          <w:sz w:val="17"/>
          <w:szCs w:val="17"/>
          <w:color w:val="auto"/>
        </w:rPr>
        <w:t>In January 2023, the company repaid a $1.0 billion foatng rate three-year term loan that was scheduled to mature in May 2023. In March 2023, the company repaid a $350 million aggregate principal amount of 2.80% senior notes at maturity.</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color w:val="auto"/>
        </w:rPr>
        <w:t>In May 2023, the company repaid $1.0 billion aggregate principal amount of 2.85% senior notes at maturity.</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Short-Term Borrowings</w:t>
      </w:r>
    </w:p>
    <w:p>
      <w:pPr>
        <w:spacing w:after="0" w:line="130" w:lineRule="exact"/>
        <w:rPr>
          <w:sz w:val="20"/>
          <w:szCs w:val="20"/>
          <w:color w:val="auto"/>
        </w:rPr>
      </w:pPr>
    </w:p>
    <w:p>
      <w:pPr>
        <w:ind w:right="200"/>
        <w:spacing w:after="0" w:line="238" w:lineRule="auto"/>
        <w:rPr>
          <w:sz w:val="20"/>
          <w:szCs w:val="20"/>
          <w:color w:val="auto"/>
        </w:rPr>
      </w:pPr>
      <w:r>
        <w:rPr>
          <w:rFonts w:ascii="Calibri" w:cs="Calibri" w:eastAsia="Calibri" w:hAnsi="Calibri"/>
          <w:sz w:val="17"/>
          <w:szCs w:val="17"/>
          <w:color w:val="auto"/>
        </w:rPr>
        <w:t>During the nine months ended September 30, 2024, the company issued and redeemed $1.7 billion of commercial paper. There were no commercial paper borrowings outstanding as of September 30, 2024 and December 31, 2023. The weighted average interest rate on commercial paper borrowings was 5.54%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22</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4" w:name="page25"/>
    <w:bookmarkEnd w:id="24"/>
    <w:p>
      <w:pPr>
        <w:ind w:right="200"/>
        <w:spacing w:after="0" w:line="238" w:lineRule="auto"/>
        <w:rPr>
          <w:sz w:val="20"/>
          <w:szCs w:val="20"/>
          <w:color w:val="auto"/>
        </w:rPr>
      </w:pPr>
      <w:r>
        <w:rPr>
          <w:rFonts w:ascii="Calibri" w:cs="Calibri" w:eastAsia="Calibri" w:hAnsi="Calibri"/>
          <w:sz w:val="17"/>
          <w:szCs w:val="17"/>
          <w:color w:val="auto"/>
        </w:rPr>
        <w:t>In March 2023, AbbVie entered into an amended and restated fve-year revolving credit facility. The amendment increased the unsecured revolving credit facility commitments from $4.0 billion to $5.0 billion and extended the maturity date of the facility from August 2023 to March 2028. This amended facility enables the company to borrow funds on an unsecured basis at variable interest rates and contains various covenants. At September 30, 2024, the company was in compliance with all covenants, and commitment fees under the credit facility were insignifcant. No amounts were outstanding under the company's credit facilites as of September 30, 2024 and December 31, 2023.</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Note 9 Post-Employment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net periodic beneft cost relatng to the company’s defned beneft and other post-employment plans: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Defned</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ind w:right="460"/>
              <w:spacing w:after="0"/>
              <w:rPr>
                <w:sz w:val="20"/>
                <w:szCs w:val="20"/>
                <w:color w:val="auto"/>
              </w:rPr>
            </w:pPr>
            <w:r>
              <w:rPr>
                <w:rFonts w:ascii="Calibri" w:cs="Calibri" w:eastAsia="Calibri" w:hAnsi="Calibri"/>
                <w:sz w:val="14"/>
                <w:szCs w:val="14"/>
                <w:b w:val="1"/>
                <w:bCs w:val="1"/>
                <w:color w:val="auto"/>
              </w:rPr>
              <w:t>Other post-</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ind w:right="400"/>
              <w:spacing w:after="0" w:line="164" w:lineRule="exact"/>
              <w:rPr>
                <w:sz w:val="20"/>
                <w:szCs w:val="20"/>
                <w:color w:val="auto"/>
              </w:rPr>
            </w:pPr>
            <w:r>
              <w:rPr>
                <w:rFonts w:ascii="Calibri" w:cs="Calibri" w:eastAsia="Calibri" w:hAnsi="Calibri"/>
                <w:sz w:val="14"/>
                <w:szCs w:val="14"/>
                <w:b w:val="1"/>
                <w:bCs w:val="1"/>
                <w:color w:val="auto"/>
              </w:rPr>
              <w:t>beneft plans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ind w:right="240"/>
              <w:spacing w:after="0" w:line="164" w:lineRule="exact"/>
              <w:rPr>
                <w:sz w:val="20"/>
                <w:szCs w:val="20"/>
                <w:color w:val="auto"/>
              </w:rPr>
            </w:pPr>
            <w:r>
              <w:rPr>
                <w:rFonts w:ascii="Calibri" w:cs="Calibri" w:eastAsia="Calibri" w:hAnsi="Calibri"/>
                <w:sz w:val="14"/>
                <w:szCs w:val="14"/>
                <w:b w:val="1"/>
                <w:bCs w:val="1"/>
                <w:color w:val="auto"/>
              </w:rPr>
              <w:t>employment plans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jc w:val="center"/>
              <w:ind w:right="260"/>
              <w:spacing w:after="0" w:line="122" w:lineRule="exact"/>
              <w:rPr>
                <w:sz w:val="20"/>
                <w:szCs w:val="20"/>
                <w:color w:val="auto"/>
              </w:rPr>
            </w:pPr>
            <w:r>
              <w:rPr>
                <w:rFonts w:ascii="Calibri" w:cs="Calibri" w:eastAsia="Calibri" w:hAnsi="Calibri"/>
                <w:sz w:val="13"/>
                <w:szCs w:val="13"/>
                <w:b w:val="1"/>
                <w:bCs w:val="1"/>
                <w:color w:val="auto"/>
              </w:rPr>
              <w:t>Three months ended</w:t>
            </w:r>
          </w:p>
        </w:tc>
        <w:tc>
          <w:tcPr>
            <w:tcW w:w="220" w:type="dxa"/>
            <w:vAlign w:val="bottom"/>
          </w:tcPr>
          <w:p>
            <w:pPr>
              <w:spacing w:after="0"/>
              <w:rPr>
                <w:sz w:val="10"/>
                <w:szCs w:val="10"/>
                <w:color w:val="auto"/>
              </w:rPr>
            </w:pPr>
          </w:p>
        </w:tc>
        <w:tc>
          <w:tcPr>
            <w:tcW w:w="1480" w:type="dxa"/>
            <w:vAlign w:val="bottom"/>
            <w:gridSpan w:val="3"/>
          </w:tcPr>
          <w:p>
            <w:pPr>
              <w:jc w:val="center"/>
              <w:ind w:right="157"/>
              <w:spacing w:after="0" w:line="122" w:lineRule="exact"/>
              <w:rPr>
                <w:sz w:val="20"/>
                <w:szCs w:val="20"/>
                <w:color w:val="auto"/>
              </w:rPr>
            </w:pPr>
            <w:r>
              <w:rPr>
                <w:rFonts w:ascii="Calibri" w:cs="Calibri" w:eastAsia="Calibri" w:hAnsi="Calibri"/>
                <w:sz w:val="13"/>
                <w:szCs w:val="13"/>
                <w:b w:val="1"/>
                <w:bCs w:val="1"/>
                <w:color w:val="auto"/>
              </w:rPr>
              <w:t>Nine months ended</w:t>
            </w: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4"/>
          </w:tcPr>
          <w:p>
            <w:pPr>
              <w:jc w:val="center"/>
              <w:ind w:right="280"/>
              <w:spacing w:after="0" w:line="122" w:lineRule="exact"/>
              <w:rPr>
                <w:sz w:val="20"/>
                <w:szCs w:val="20"/>
                <w:color w:val="auto"/>
              </w:rPr>
            </w:pPr>
            <w:r>
              <w:rPr>
                <w:rFonts w:ascii="Calibri" w:cs="Calibri" w:eastAsia="Calibri" w:hAnsi="Calibri"/>
                <w:sz w:val="13"/>
                <w:szCs w:val="13"/>
                <w:b w:val="1"/>
                <w:bCs w:val="1"/>
                <w:color w:val="auto"/>
              </w:rPr>
              <w:t>Three months ended</w:t>
            </w:r>
          </w:p>
        </w:tc>
        <w:tc>
          <w:tcPr>
            <w:tcW w:w="180" w:type="dxa"/>
            <w:vAlign w:val="bottom"/>
          </w:tcPr>
          <w:p>
            <w:pPr>
              <w:spacing w:after="0"/>
              <w:rPr>
                <w:sz w:val="10"/>
                <w:szCs w:val="10"/>
                <w:color w:val="auto"/>
              </w:rPr>
            </w:pPr>
          </w:p>
        </w:tc>
        <w:tc>
          <w:tcPr>
            <w:tcW w:w="1540" w:type="dxa"/>
            <w:vAlign w:val="bottom"/>
            <w:gridSpan w:val="3"/>
          </w:tcPr>
          <w:p>
            <w:pPr>
              <w:jc w:val="right"/>
              <w:ind w:right="217"/>
              <w:spacing w:after="0" w:line="122" w:lineRule="exact"/>
              <w:rPr>
                <w:sz w:val="20"/>
                <w:szCs w:val="20"/>
                <w:color w:val="auto"/>
              </w:rPr>
            </w:pPr>
            <w:r>
              <w:rPr>
                <w:rFonts w:ascii="Calibri" w:cs="Calibri" w:eastAsia="Calibri" w:hAnsi="Calibri"/>
                <w:sz w:val="13"/>
                <w:szCs w:val="13"/>
                <w:b w:val="1"/>
                <w:bCs w:val="1"/>
                <w:color w:val="auto"/>
              </w:rPr>
              <w:t>Nine months ended</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ind w:right="260"/>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220" w:type="dxa"/>
            <w:vAlign w:val="bottom"/>
          </w:tcPr>
          <w:p>
            <w:pPr>
              <w:spacing w:after="0"/>
              <w:rPr>
                <w:sz w:val="14"/>
                <w:szCs w:val="14"/>
                <w:color w:val="auto"/>
              </w:rPr>
            </w:pPr>
          </w:p>
        </w:tc>
        <w:tc>
          <w:tcPr>
            <w:tcW w:w="1580" w:type="dxa"/>
            <w:vAlign w:val="bottom"/>
            <w:gridSpan w:val="4"/>
          </w:tcPr>
          <w:p>
            <w:pPr>
              <w:jc w:val="center"/>
              <w:ind w:right="340"/>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160" w:type="dxa"/>
            <w:vAlign w:val="bottom"/>
          </w:tcPr>
          <w:p>
            <w:pPr>
              <w:spacing w:after="0"/>
              <w:rPr>
                <w:sz w:val="14"/>
                <w:szCs w:val="14"/>
                <w:color w:val="auto"/>
              </w:rPr>
            </w:pPr>
          </w:p>
        </w:tc>
        <w:tc>
          <w:tcPr>
            <w:tcW w:w="1540" w:type="dxa"/>
            <w:vAlign w:val="bottom"/>
            <w:gridSpan w:val="4"/>
          </w:tcPr>
          <w:p>
            <w:pPr>
              <w:jc w:val="center"/>
              <w:ind w:right="260"/>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180" w:type="dxa"/>
            <w:vAlign w:val="bottom"/>
          </w:tcPr>
          <w:p>
            <w:pPr>
              <w:spacing w:after="0"/>
              <w:rPr>
                <w:sz w:val="14"/>
                <w:szCs w:val="14"/>
                <w:color w:val="auto"/>
              </w:rPr>
            </w:pPr>
          </w:p>
        </w:tc>
        <w:tc>
          <w:tcPr>
            <w:tcW w:w="1540" w:type="dxa"/>
            <w:vAlign w:val="bottom"/>
            <w:gridSpan w:val="3"/>
          </w:tcPr>
          <w:p>
            <w:pPr>
              <w:jc w:val="right"/>
              <w:ind w:right="357"/>
              <w:spacing w:after="0" w:line="164" w:lineRule="exact"/>
              <w:rPr>
                <w:sz w:val="20"/>
                <w:szCs w:val="20"/>
                <w:color w:val="auto"/>
              </w:rPr>
            </w:pPr>
            <w:r>
              <w:rPr>
                <w:rFonts w:ascii="Calibri" w:cs="Calibri" w:eastAsia="Calibri" w:hAnsi="Calibri"/>
                <w:sz w:val="14"/>
                <w:szCs w:val="14"/>
                <w:b w:val="1"/>
                <w:bCs w:val="1"/>
                <w:color w:val="auto"/>
              </w:rPr>
              <w:t>September 30,</w:t>
            </w:r>
          </w:p>
        </w:tc>
        <w:tc>
          <w:tcPr>
            <w:tcW w:w="0" w:type="dxa"/>
            <w:vAlign w:val="bottom"/>
          </w:tcPr>
          <w:p>
            <w:pPr>
              <w:spacing w:after="0"/>
              <w:rPr>
                <w:sz w:val="1"/>
                <w:szCs w:val="1"/>
                <w:color w:val="auto"/>
              </w:rPr>
            </w:pPr>
          </w:p>
        </w:tc>
      </w:tr>
      <w:tr>
        <w:trPr>
          <w:trHeight w:val="30"/>
        </w:trPr>
        <w:tc>
          <w:tcPr>
            <w:tcW w:w="43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00"/>
              <w:spacing w:after="0" w:line="156"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3"/>
                <w:szCs w:val="13"/>
                <w:color w:val="auto"/>
              </w:rPr>
            </w:pPr>
          </w:p>
        </w:tc>
        <w:tc>
          <w:tcPr>
            <w:tcW w:w="580" w:type="dxa"/>
            <w:vAlign w:val="bottom"/>
          </w:tcPr>
          <w:p>
            <w:pPr>
              <w:jc w:val="right"/>
              <w:ind w:right="140"/>
              <w:spacing w:after="0" w:line="156"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240"/>
              <w:spacing w:after="0" w:line="156" w:lineRule="exact"/>
              <w:rPr>
                <w:sz w:val="20"/>
                <w:szCs w:val="20"/>
                <w:color w:val="auto"/>
              </w:rPr>
            </w:pPr>
            <w:r>
              <w:rPr>
                <w:rFonts w:ascii="Calibri" w:cs="Calibri" w:eastAsia="Calibri" w:hAnsi="Calibri"/>
                <w:sz w:val="14"/>
                <w:szCs w:val="14"/>
                <w:b w:val="1"/>
                <w:bCs w:val="1"/>
                <w:color w:val="auto"/>
                <w:w w:val="98"/>
              </w:rPr>
              <w:t>2024</w:t>
            </w:r>
          </w:p>
        </w:tc>
        <w:tc>
          <w:tcPr>
            <w:tcW w:w="240" w:type="dxa"/>
            <w:vAlign w:val="bottom"/>
          </w:tcPr>
          <w:p>
            <w:pPr>
              <w:spacing w:after="0"/>
              <w:rPr>
                <w:sz w:val="13"/>
                <w:szCs w:val="13"/>
                <w:color w:val="auto"/>
              </w:rPr>
            </w:pPr>
          </w:p>
        </w:tc>
        <w:tc>
          <w:tcPr>
            <w:tcW w:w="620" w:type="dxa"/>
            <w:vAlign w:val="bottom"/>
          </w:tcPr>
          <w:p>
            <w:pPr>
              <w:jc w:val="right"/>
              <w:ind w:right="177"/>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0"/>
              <w:spacing w:after="0" w:line="156"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3"/>
                <w:szCs w:val="13"/>
                <w:color w:val="auto"/>
              </w:rPr>
            </w:pPr>
          </w:p>
        </w:tc>
        <w:tc>
          <w:tcPr>
            <w:tcW w:w="580" w:type="dxa"/>
            <w:vAlign w:val="bottom"/>
          </w:tcPr>
          <w:p>
            <w:pPr>
              <w:jc w:val="right"/>
              <w:ind w:right="160"/>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40"/>
              <w:spacing w:after="0" w:line="156"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3"/>
                <w:szCs w:val="13"/>
                <w:color w:val="auto"/>
              </w:rPr>
            </w:pPr>
          </w:p>
        </w:tc>
        <w:tc>
          <w:tcPr>
            <w:tcW w:w="620" w:type="dxa"/>
            <w:vAlign w:val="bottom"/>
          </w:tcPr>
          <w:p>
            <w:pPr>
              <w:jc w:val="right"/>
              <w:ind w:right="177"/>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4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Service cost</w:t>
            </w:r>
          </w:p>
        </w:tc>
        <w:tc>
          <w:tcPr>
            <w:tcW w:w="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640" w:type="dxa"/>
            <w:vAlign w:val="bottom"/>
            <w:shd w:val="clear" w:color="auto" w:fill="CCEEFF"/>
          </w:tcPr>
          <w:p>
            <w:pPr>
              <w:jc w:val="right"/>
              <w:ind w:right="20"/>
              <w:spacing w:after="0" w:line="205" w:lineRule="exact"/>
              <w:rPr>
                <w:sz w:val="20"/>
                <w:szCs w:val="20"/>
                <w:color w:val="auto"/>
              </w:rPr>
            </w:pPr>
            <w:r>
              <w:rPr>
                <w:rFonts w:ascii="Calibri" w:cs="Calibri" w:eastAsia="Calibri" w:hAnsi="Calibri"/>
                <w:sz w:val="17"/>
                <w:szCs w:val="17"/>
                <w:color w:val="auto"/>
              </w:rPr>
              <w:t>71</w:t>
            </w:r>
          </w:p>
        </w:tc>
        <w:tc>
          <w:tcPr>
            <w:tcW w:w="2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5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620" w:type="dxa"/>
            <w:vAlign w:val="bottom"/>
            <w:shd w:val="clear" w:color="auto" w:fill="CCEEFF"/>
          </w:tcPr>
          <w:p>
            <w:pPr>
              <w:jc w:val="right"/>
              <w:ind w:right="40"/>
              <w:spacing w:after="0" w:line="205" w:lineRule="exact"/>
              <w:rPr>
                <w:sz w:val="20"/>
                <w:szCs w:val="20"/>
                <w:color w:val="auto"/>
              </w:rPr>
            </w:pPr>
            <w:r>
              <w:rPr>
                <w:rFonts w:ascii="Calibri" w:cs="Calibri" w:eastAsia="Calibri" w:hAnsi="Calibri"/>
                <w:sz w:val="17"/>
                <w:szCs w:val="17"/>
                <w:color w:val="auto"/>
              </w:rPr>
              <w:t>214</w:t>
            </w: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6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40" w:type="dxa"/>
            <w:vAlign w:val="bottom"/>
            <w:shd w:val="clear" w:color="auto" w:fill="CCEEFF"/>
          </w:tcPr>
          <w:p>
            <w:pPr>
              <w:jc w:val="right"/>
              <w:ind w:right="40"/>
              <w:spacing w:after="0" w:line="205" w:lineRule="exact"/>
              <w:rPr>
                <w:sz w:val="20"/>
                <w:szCs w:val="20"/>
                <w:color w:val="auto"/>
              </w:rPr>
            </w:pPr>
            <w:r>
              <w:rPr>
                <w:rFonts w:ascii="Calibri" w:cs="Calibri" w:eastAsia="Calibri" w:hAnsi="Calibri"/>
                <w:sz w:val="17"/>
                <w:szCs w:val="17"/>
                <w:color w:val="auto"/>
              </w:rPr>
              <w:t>11</w:t>
            </w:r>
          </w:p>
        </w:tc>
        <w:tc>
          <w:tcPr>
            <w:tcW w:w="2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5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80" w:type="dxa"/>
            <w:vAlign w:val="bottom"/>
            <w:shd w:val="clear" w:color="auto" w:fill="CCEEFF"/>
          </w:tcPr>
          <w:p>
            <w:pPr>
              <w:jc w:val="right"/>
              <w:ind w:right="40"/>
              <w:spacing w:after="0" w:line="205" w:lineRule="exact"/>
              <w:rPr>
                <w:sz w:val="20"/>
                <w:szCs w:val="20"/>
                <w:color w:val="auto"/>
              </w:rPr>
            </w:pPr>
            <w:r>
              <w:rPr>
                <w:rFonts w:ascii="Calibri" w:cs="Calibri" w:eastAsia="Calibri" w:hAnsi="Calibri"/>
                <w:sz w:val="17"/>
                <w:szCs w:val="17"/>
                <w:color w:val="auto"/>
              </w:rPr>
              <w:t>32</w:t>
            </w:r>
          </w:p>
        </w:tc>
        <w:tc>
          <w:tcPr>
            <w:tcW w:w="2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6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27</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line="205" w:lineRule="exact"/>
              <w:rPr>
                <w:sz w:val="20"/>
                <w:szCs w:val="20"/>
                <w:color w:val="auto"/>
              </w:rPr>
            </w:pPr>
            <w:r>
              <w:rPr>
                <w:rFonts w:ascii="Calibri" w:cs="Calibri" w:eastAsia="Calibri" w:hAnsi="Calibri"/>
                <w:sz w:val="17"/>
                <w:szCs w:val="17"/>
                <w:color w:val="auto"/>
              </w:rPr>
              <w:t>Interest cost</w:t>
            </w:r>
          </w:p>
        </w:tc>
        <w:tc>
          <w:tcPr>
            <w:tcW w:w="160" w:type="dxa"/>
            <w:vAlign w:val="bottom"/>
          </w:tcPr>
          <w:p>
            <w:pPr>
              <w:spacing w:after="0"/>
              <w:rPr>
                <w:sz w:val="18"/>
                <w:szCs w:val="18"/>
                <w:color w:val="auto"/>
              </w:rPr>
            </w:pPr>
          </w:p>
        </w:tc>
        <w:tc>
          <w:tcPr>
            <w:tcW w:w="640" w:type="dxa"/>
            <w:vAlign w:val="bottom"/>
          </w:tcPr>
          <w:p>
            <w:pPr>
              <w:jc w:val="right"/>
              <w:ind w:right="20"/>
              <w:spacing w:after="0" w:line="205" w:lineRule="exact"/>
              <w:rPr>
                <w:sz w:val="20"/>
                <w:szCs w:val="20"/>
                <w:color w:val="auto"/>
              </w:rPr>
            </w:pPr>
            <w:r>
              <w:rPr>
                <w:rFonts w:ascii="Calibri" w:cs="Calibri" w:eastAsia="Calibri" w:hAnsi="Calibri"/>
                <w:sz w:val="17"/>
                <w:szCs w:val="17"/>
                <w:color w:val="auto"/>
              </w:rPr>
              <w:t>113</w:t>
            </w:r>
          </w:p>
        </w:tc>
        <w:tc>
          <w:tcPr>
            <w:tcW w:w="22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40"/>
              <w:spacing w:after="0" w:line="205" w:lineRule="exact"/>
              <w:rPr>
                <w:sz w:val="20"/>
                <w:szCs w:val="20"/>
                <w:color w:val="auto"/>
              </w:rPr>
            </w:pPr>
            <w:r>
              <w:rPr>
                <w:rFonts w:ascii="Calibri" w:cs="Calibri" w:eastAsia="Calibri" w:hAnsi="Calibri"/>
                <w:sz w:val="17"/>
                <w:szCs w:val="17"/>
                <w:color w:val="auto"/>
              </w:rPr>
              <w:t>339</w:t>
            </w:r>
          </w:p>
        </w:tc>
        <w:tc>
          <w:tcPr>
            <w:tcW w:w="240" w:type="dxa"/>
            <w:vAlign w:val="bottom"/>
          </w:tcPr>
          <w:p>
            <w:pPr>
              <w:spacing w:after="0"/>
              <w:rPr>
                <w:sz w:val="18"/>
                <w:szCs w:val="18"/>
                <w:color w:val="auto"/>
              </w:rPr>
            </w:pPr>
          </w:p>
        </w:tc>
        <w:tc>
          <w:tcPr>
            <w:tcW w:w="620" w:type="dxa"/>
            <w:vAlign w:val="bottom"/>
          </w:tcPr>
          <w:p>
            <w:pPr>
              <w:jc w:val="right"/>
              <w:spacing w:after="0" w:line="205" w:lineRule="exact"/>
              <w:rPr>
                <w:sz w:val="20"/>
                <w:szCs w:val="20"/>
                <w:color w:val="auto"/>
              </w:rPr>
            </w:pPr>
            <w:r>
              <w:rPr>
                <w:rFonts w:ascii="Calibri" w:cs="Calibri" w:eastAsia="Calibri" w:hAnsi="Calibri"/>
                <w:sz w:val="17"/>
                <w:szCs w:val="17"/>
                <w:color w:val="auto"/>
              </w:rPr>
              <w:t>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40"/>
              <w:spacing w:after="0" w:line="205" w:lineRule="exact"/>
              <w:rPr>
                <w:sz w:val="20"/>
                <w:szCs w:val="20"/>
                <w:color w:val="auto"/>
              </w:rPr>
            </w:pPr>
            <w:r>
              <w:rPr>
                <w:rFonts w:ascii="Calibri" w:cs="Calibri" w:eastAsia="Calibri" w:hAnsi="Calibri"/>
                <w:sz w:val="17"/>
                <w:szCs w:val="17"/>
                <w:color w:val="auto"/>
              </w:rPr>
              <w:t>10</w:t>
            </w:r>
          </w:p>
        </w:tc>
        <w:tc>
          <w:tcPr>
            <w:tcW w:w="22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40"/>
              <w:spacing w:after="0" w:line="205" w:lineRule="exact"/>
              <w:rPr>
                <w:sz w:val="20"/>
                <w:szCs w:val="20"/>
                <w:color w:val="auto"/>
              </w:rPr>
            </w:pPr>
            <w:r>
              <w:rPr>
                <w:rFonts w:ascii="Calibri" w:cs="Calibri" w:eastAsia="Calibri" w:hAnsi="Calibri"/>
                <w:sz w:val="17"/>
                <w:szCs w:val="17"/>
                <w:color w:val="auto"/>
              </w:rPr>
              <w:t>31</w:t>
            </w:r>
          </w:p>
        </w:tc>
        <w:tc>
          <w:tcPr>
            <w:tcW w:w="240" w:type="dxa"/>
            <w:vAlign w:val="bottom"/>
          </w:tcPr>
          <w:p>
            <w:pPr>
              <w:spacing w:after="0"/>
              <w:rPr>
                <w:sz w:val="18"/>
                <w:szCs w:val="18"/>
                <w:color w:val="auto"/>
              </w:rPr>
            </w:pPr>
          </w:p>
        </w:tc>
        <w:tc>
          <w:tcPr>
            <w:tcW w:w="620" w:type="dxa"/>
            <w:vAlign w:val="bottom"/>
          </w:tcPr>
          <w:p>
            <w:pPr>
              <w:jc w:val="right"/>
              <w:spacing w:after="0" w:line="205" w:lineRule="exact"/>
              <w:rPr>
                <w:sz w:val="20"/>
                <w:szCs w:val="20"/>
                <w:color w:val="auto"/>
              </w:rPr>
            </w:pPr>
            <w:r>
              <w:rPr>
                <w:rFonts w:ascii="Calibri" w:cs="Calibri" w:eastAsia="Calibri" w:hAnsi="Calibri"/>
                <w:sz w:val="17"/>
                <w:szCs w:val="17"/>
                <w:color w:val="auto"/>
              </w:rPr>
              <w:t>28</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(196)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(589)</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0"/>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7"/>
                <w:szCs w:val="17"/>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0"/>
              <w:spacing w:after="0"/>
              <w:rPr>
                <w:sz w:val="20"/>
                <w:szCs w:val="20"/>
                <w:color w:val="auto"/>
              </w:rPr>
            </w:pPr>
            <w:r>
              <w:rPr>
                <w:rFonts w:ascii="Calibri" w:cs="Calibri" w:eastAsia="Calibri" w:hAnsi="Calibri"/>
                <w:sz w:val="17"/>
                <w:szCs w:val="17"/>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line="205" w:lineRule="exact"/>
              <w:rPr>
                <w:sz w:val="20"/>
                <w:szCs w:val="20"/>
                <w:color w:val="auto"/>
              </w:rPr>
            </w:pPr>
            <w:r>
              <w:rPr>
                <w:rFonts w:ascii="Calibri" w:cs="Calibri" w:eastAsia="Calibri" w:hAnsi="Calibri"/>
                <w:sz w:val="17"/>
                <w:szCs w:val="17"/>
                <w:color w:val="auto"/>
              </w:rPr>
              <w:t>Amortzaton of prior service cost (credit)</w:t>
            </w:r>
          </w:p>
        </w:tc>
        <w:tc>
          <w:tcPr>
            <w:tcW w:w="160" w:type="dxa"/>
            <w:vAlign w:val="bottom"/>
          </w:tcPr>
          <w:p>
            <w:pPr>
              <w:spacing w:after="0"/>
              <w:rPr>
                <w:sz w:val="18"/>
                <w:szCs w:val="18"/>
                <w:color w:val="auto"/>
              </w:rPr>
            </w:pPr>
          </w:p>
        </w:tc>
        <w:tc>
          <w:tcPr>
            <w:tcW w:w="640" w:type="dxa"/>
            <w:vAlign w:val="bottom"/>
          </w:tcPr>
          <w:p>
            <w:pPr>
              <w:jc w:val="right"/>
              <w:ind w:right="2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620" w:type="dxa"/>
            <w:vAlign w:val="bottom"/>
          </w:tcPr>
          <w:p>
            <w:pPr>
              <w:jc w:val="right"/>
              <w:ind w:right="20"/>
              <w:spacing w:after="0" w:line="205" w:lineRule="exact"/>
              <w:rPr>
                <w:sz w:val="20"/>
                <w:szCs w:val="20"/>
                <w:color w:val="auto"/>
              </w:rPr>
            </w:pPr>
            <w:r>
              <w:rPr>
                <w:rFonts w:ascii="Calibri" w:cs="Calibri" w:eastAsia="Calibri" w:hAnsi="Calibri"/>
                <w:sz w:val="17"/>
                <w:szCs w:val="17"/>
                <w:color w:val="auto"/>
              </w:rPr>
              <w:t>—</w:t>
            </w:r>
          </w:p>
        </w:tc>
        <w:tc>
          <w:tcPr>
            <w:tcW w:w="240" w:type="dxa"/>
            <w:vAlign w:val="bottom"/>
          </w:tcPr>
          <w:p>
            <w:pPr>
              <w:spacing w:after="0"/>
              <w:rPr>
                <w:sz w:val="18"/>
                <w:szCs w:val="18"/>
                <w:color w:val="auto"/>
              </w:rPr>
            </w:pPr>
          </w:p>
        </w:tc>
        <w:tc>
          <w:tcPr>
            <w:tcW w:w="6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(9)</w:t>
            </w:r>
          </w:p>
        </w:tc>
        <w:tc>
          <w:tcPr>
            <w:tcW w:w="22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line="205" w:lineRule="exact"/>
              <w:rPr>
                <w:sz w:val="20"/>
                <w:szCs w:val="20"/>
                <w:color w:val="auto"/>
              </w:rPr>
            </w:pPr>
            <w:r>
              <w:rPr>
                <w:rFonts w:ascii="Calibri" w:cs="Calibri" w:eastAsia="Calibri" w:hAnsi="Calibri"/>
                <w:sz w:val="17"/>
                <w:szCs w:val="17"/>
                <w:color w:val="auto"/>
              </w:rPr>
              <w:t>(27)</w:t>
            </w:r>
          </w:p>
        </w:tc>
        <w:tc>
          <w:tcPr>
            <w:tcW w:w="240" w:type="dxa"/>
            <w:vAlign w:val="bottom"/>
          </w:tcPr>
          <w:p>
            <w:pPr>
              <w:spacing w:after="0"/>
              <w:rPr>
                <w:sz w:val="18"/>
                <w:szCs w:val="18"/>
                <w:color w:val="auto"/>
              </w:rPr>
            </w:pPr>
          </w:p>
        </w:tc>
        <w:tc>
          <w:tcPr>
            <w:tcW w:w="620" w:type="dxa"/>
            <w:vAlign w:val="bottom"/>
          </w:tcPr>
          <w:p>
            <w:pPr>
              <w:jc w:val="right"/>
              <w:spacing w:after="0" w:line="205" w:lineRule="exact"/>
              <w:rPr>
                <w:sz w:val="20"/>
                <w:szCs w:val="20"/>
                <w:color w:val="auto"/>
              </w:rPr>
            </w:pPr>
            <w:r>
              <w:rPr>
                <w:rFonts w:ascii="Calibri" w:cs="Calibri" w:eastAsia="Calibri" w:hAnsi="Calibri"/>
                <w:sz w:val="17"/>
                <w:szCs w:val="17"/>
                <w:color w:val="auto"/>
              </w:rPr>
              <w:t>(27)</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Amortzaton of actuarial loss</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Calibri" w:cs="Calibri" w:eastAsia="Calibri" w:hAnsi="Calibri"/>
                <w:sz w:val="17"/>
                <w:szCs w:val="17"/>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Calibri" w:cs="Calibri" w:eastAsia="Calibri" w:hAnsi="Calibri"/>
                <w:sz w:val="17"/>
                <w:szCs w:val="17"/>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Calibri" w:cs="Calibri" w:eastAsia="Calibri" w:hAnsi="Calibri"/>
                <w:sz w:val="17"/>
                <w:szCs w:val="17"/>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Calibri" w:cs="Calibri" w:eastAsia="Calibri" w:hAnsi="Calibri"/>
                <w:sz w:val="17"/>
                <w:szCs w:val="17"/>
                <w:color w:val="auto"/>
              </w:rPr>
              <w:t>13</w:t>
            </w: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9</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Net periodic beneft cost (credit)</w:t>
            </w:r>
          </w:p>
        </w:tc>
        <w:tc>
          <w:tcPr>
            <w:tcW w:w="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640" w:type="dxa"/>
            <w:vAlign w:val="bottom"/>
            <w:tcBorders>
              <w:bottom w:val="single" w:sz="8" w:color="auto"/>
            </w:tcBorders>
          </w:tcPr>
          <w:p>
            <w:pPr>
              <w:jc w:val="right"/>
              <w:ind w:right="20"/>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5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620" w:type="dxa"/>
            <w:vAlign w:val="bottom"/>
            <w:tcBorders>
              <w:bottom w:val="single" w:sz="8" w:color="auto"/>
            </w:tcBorders>
          </w:tcPr>
          <w:p>
            <w:pPr>
              <w:jc w:val="right"/>
              <w:ind w:right="40"/>
              <w:spacing w:after="0" w:line="205" w:lineRule="exact"/>
              <w:rPr>
                <w:sz w:val="20"/>
                <w:szCs w:val="20"/>
                <w:color w:val="auto"/>
              </w:rPr>
            </w:pPr>
            <w:r>
              <w:rPr>
                <w:rFonts w:ascii="Calibri" w:cs="Calibri" w:eastAsia="Calibri" w:hAnsi="Calibri"/>
                <w:sz w:val="17"/>
                <w:szCs w:val="17"/>
                <w:color w:val="auto"/>
              </w:rPr>
              <w:t>3</w:t>
            </w:r>
          </w:p>
        </w:tc>
        <w:tc>
          <w:tcPr>
            <w:tcW w:w="2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6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40" w:type="dxa"/>
            <w:vAlign w:val="bottom"/>
            <w:tcBorders>
              <w:bottom w:val="single" w:sz="8" w:color="auto"/>
            </w:tcBorders>
          </w:tcPr>
          <w:p>
            <w:pPr>
              <w:jc w:val="right"/>
              <w:ind w:right="40"/>
              <w:spacing w:after="0" w:line="205" w:lineRule="exact"/>
              <w:rPr>
                <w:sz w:val="20"/>
                <w:szCs w:val="20"/>
                <w:color w:val="auto"/>
              </w:rPr>
            </w:pPr>
            <w:r>
              <w:rPr>
                <w:rFonts w:ascii="Calibri" w:cs="Calibri" w:eastAsia="Calibri" w:hAnsi="Calibri"/>
                <w:sz w:val="17"/>
                <w:szCs w:val="17"/>
                <w:color w:val="auto"/>
              </w:rPr>
              <w:t>16</w:t>
            </w:r>
          </w:p>
        </w:tc>
        <w:tc>
          <w:tcPr>
            <w:tcW w:w="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5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80" w:type="dxa"/>
            <w:vAlign w:val="bottom"/>
            <w:tcBorders>
              <w:bottom w:val="single" w:sz="8" w:color="auto"/>
            </w:tcBorders>
          </w:tcPr>
          <w:p>
            <w:pPr>
              <w:jc w:val="right"/>
              <w:ind w:right="40"/>
              <w:spacing w:after="0" w:line="205" w:lineRule="exact"/>
              <w:rPr>
                <w:sz w:val="20"/>
                <w:szCs w:val="20"/>
                <w:color w:val="auto"/>
              </w:rPr>
            </w:pPr>
            <w:r>
              <w:rPr>
                <w:rFonts w:ascii="Calibri" w:cs="Calibri" w:eastAsia="Calibri" w:hAnsi="Calibri"/>
                <w:sz w:val="17"/>
                <w:szCs w:val="17"/>
                <w:color w:val="auto"/>
              </w:rPr>
              <w:t>49</w:t>
            </w:r>
          </w:p>
        </w:tc>
        <w:tc>
          <w:tcPr>
            <w:tcW w:w="2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6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37</w:t>
            </w:r>
          </w:p>
        </w:tc>
        <w:tc>
          <w:tcPr>
            <w:tcW w:w="0" w:type="dxa"/>
            <w:vAlign w:val="bottom"/>
          </w:tcPr>
          <w:p>
            <w:pPr>
              <w:spacing w:after="0"/>
              <w:rPr>
                <w:sz w:val="1"/>
                <w:szCs w:val="1"/>
                <w:color w:val="auto"/>
              </w:rPr>
            </w:pPr>
          </w:p>
        </w:tc>
      </w:tr>
      <w:tr>
        <w:trPr>
          <w:trHeight w:val="26"/>
        </w:trPr>
        <w:tc>
          <w:tcPr>
            <w:tcW w:w="4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40"/>
        <w:spacing w:after="0" w:line="237" w:lineRule="auto"/>
        <w:rPr>
          <w:sz w:val="20"/>
          <w:szCs w:val="20"/>
          <w:color w:val="auto"/>
        </w:rPr>
      </w:pPr>
      <w:r>
        <w:rPr>
          <w:rFonts w:ascii="Calibri" w:cs="Calibri" w:eastAsia="Calibri" w:hAnsi="Calibri"/>
          <w:sz w:val="17"/>
          <w:szCs w:val="17"/>
          <w:color w:val="auto"/>
        </w:rPr>
        <w:t>The components of net periodic beneft cost other than service cost are included in other expense (income), net in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23</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5" w:name="page26"/>
    <w:bookmarkEnd w:id="25"/>
    <w:p>
      <w:pPr>
        <w:spacing w:after="0"/>
        <w:rPr>
          <w:sz w:val="20"/>
          <w:szCs w:val="20"/>
          <w:color w:val="auto"/>
        </w:rPr>
      </w:pPr>
      <w:r>
        <w:rPr>
          <w:rFonts w:ascii="Calibri" w:cs="Calibri" w:eastAsia="Calibri" w:hAnsi="Calibri"/>
          <w:sz w:val="21"/>
          <w:szCs w:val="21"/>
          <w:b w:val="1"/>
          <w:bCs w:val="1"/>
          <w:color w:val="444867"/>
        </w:rPr>
        <w:t>Note 10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Stock-Based Compensaton</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Stock-based compensaton expense is principally related to awards issued pursuant to the AbbVie 2013 Incentve Stock Program and the AbbVie Amended and</w:t>
      </w:r>
    </w:p>
    <w:p>
      <w:pPr>
        <w:spacing w:after="0" w:line="238" w:lineRule="auto"/>
        <w:rPr>
          <w:sz w:val="20"/>
          <w:szCs w:val="20"/>
          <w:color w:val="auto"/>
        </w:rPr>
      </w:pPr>
      <w:r>
        <w:rPr>
          <w:rFonts w:ascii="Calibri" w:cs="Calibri" w:eastAsia="Calibri" w:hAnsi="Calibri"/>
          <w:sz w:val="17"/>
          <w:szCs w:val="17"/>
          <w:color w:val="auto"/>
        </w:rPr>
        <w:t>Restated 2013 Incentve Stock Program and is summarized as follows:</w:t>
      </w:r>
    </w:p>
    <w:tbl>
      <w:tblPr>
        <w:tblLayout w:type="fixed"/>
        <w:tblInd w:w="0" w:type="dxa"/>
        <w:tblCellMar>
          <w:top w:w="0" w:type="dxa"/>
          <w:left w:w="0" w:type="dxa"/>
          <w:bottom w:w="0" w:type="dxa"/>
          <w:right w:w="0" w:type="dxa"/>
        </w:tblCellMar>
      </w:tblPr>
      <w:tr>
        <w:trPr>
          <w:trHeight w:val="165"/>
        </w:trPr>
        <w:tc>
          <w:tcPr>
            <w:tcW w:w="5540" w:type="dxa"/>
            <w:vAlign w:val="bottom"/>
          </w:tcPr>
          <w:p>
            <w:pPr>
              <w:spacing w:after="0"/>
              <w:rPr>
                <w:sz w:val="14"/>
                <w:szCs w:val="14"/>
                <w:color w:val="auto"/>
              </w:rPr>
            </w:pPr>
          </w:p>
        </w:tc>
        <w:tc>
          <w:tcPr>
            <w:tcW w:w="2360" w:type="dxa"/>
            <w:vAlign w:val="bottom"/>
            <w:gridSpan w:val="3"/>
          </w:tcPr>
          <w:p>
            <w:pPr>
              <w:jc w:val="right"/>
              <w:ind w:right="300"/>
              <w:spacing w:after="0" w:line="165" w:lineRule="exact"/>
              <w:rPr>
                <w:sz w:val="20"/>
                <w:szCs w:val="20"/>
                <w:color w:val="auto"/>
              </w:rPr>
            </w:pPr>
            <w:r>
              <w:rPr>
                <w:rFonts w:ascii="Calibri" w:cs="Calibri" w:eastAsia="Calibri" w:hAnsi="Calibri"/>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jc w:val="right"/>
              <w:spacing w:after="0" w:line="165" w:lineRule="exact"/>
              <w:rPr>
                <w:sz w:val="20"/>
                <w:szCs w:val="20"/>
                <w:color w:val="auto"/>
              </w:rPr>
            </w:pPr>
            <w:r>
              <w:rPr>
                <w:rFonts w:ascii="Calibri" w:cs="Calibri" w:eastAsia="Calibri" w:hAnsi="Calibri"/>
                <w:sz w:val="14"/>
                <w:szCs w:val="14"/>
                <w:b w:val="1"/>
                <w:bCs w:val="1"/>
                <w:color w:val="auto"/>
                <w:w w:val="97"/>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tcPr>
          <w:p>
            <w:pPr>
              <w:jc w:val="right"/>
              <w:ind w:right="480"/>
              <w:spacing w:after="0" w:line="164" w:lineRule="exact"/>
              <w:rPr>
                <w:sz w:val="20"/>
                <w:szCs w:val="20"/>
                <w:color w:val="auto"/>
              </w:rPr>
            </w:pPr>
            <w:r>
              <w:rPr>
                <w:rFonts w:ascii="Calibri" w:cs="Calibri" w:eastAsia="Calibri" w:hAnsi="Calibri"/>
                <w:sz w:val="14"/>
                <w:szCs w:val="14"/>
                <w:b w:val="1"/>
                <w:bCs w:val="1"/>
                <w:color w:val="auto"/>
              </w:rPr>
              <w:t>September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jc w:val="right"/>
              <w:ind w:right="74"/>
              <w:spacing w:after="0" w:line="164" w:lineRule="exact"/>
              <w:rPr>
                <w:sz w:val="20"/>
                <w:szCs w:val="20"/>
                <w:color w:val="auto"/>
              </w:rPr>
            </w:pPr>
            <w:r>
              <w:rPr>
                <w:rFonts w:ascii="Calibri" w:cs="Calibri" w:eastAsia="Calibri" w:hAnsi="Calibri"/>
                <w:sz w:val="14"/>
                <w:szCs w:val="14"/>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55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540" w:type="dxa"/>
            <w:vAlign w:val="bottom"/>
            <w:vMerge w:val="continue"/>
          </w:tcPr>
          <w:p>
            <w:pPr>
              <w:spacing w:after="0"/>
              <w:rPr>
                <w:sz w:val="13"/>
                <w:szCs w:val="13"/>
                <w:color w:val="auto"/>
              </w:rPr>
            </w:pPr>
          </w:p>
        </w:tc>
        <w:tc>
          <w:tcPr>
            <w:tcW w:w="900" w:type="dxa"/>
            <w:vAlign w:val="bottom"/>
          </w:tcPr>
          <w:p>
            <w:pPr>
              <w:jc w:val="right"/>
              <w:ind w:right="23"/>
              <w:spacing w:after="0" w:line="156" w:lineRule="exact"/>
              <w:rPr>
                <w:sz w:val="20"/>
                <w:szCs w:val="20"/>
                <w:color w:val="auto"/>
              </w:rPr>
            </w:pPr>
            <w:r>
              <w:rPr>
                <w:rFonts w:ascii="Calibri" w:cs="Calibri" w:eastAsia="Calibri" w:hAnsi="Calibri"/>
                <w:sz w:val="14"/>
                <w:szCs w:val="14"/>
                <w:b w:val="1"/>
                <w:bCs w:val="1"/>
                <w:color w:val="auto"/>
              </w:rPr>
              <w:t>2024</w:t>
            </w:r>
          </w:p>
        </w:tc>
        <w:tc>
          <w:tcPr>
            <w:tcW w:w="480" w:type="dxa"/>
            <w:vAlign w:val="bottom"/>
          </w:tcPr>
          <w:p>
            <w:pPr>
              <w:spacing w:after="0"/>
              <w:rPr>
                <w:sz w:val="13"/>
                <w:szCs w:val="13"/>
                <w:color w:val="auto"/>
              </w:rPr>
            </w:pPr>
          </w:p>
        </w:tc>
        <w:tc>
          <w:tcPr>
            <w:tcW w:w="980" w:type="dxa"/>
            <w:vAlign w:val="bottom"/>
          </w:tcPr>
          <w:p>
            <w:pPr>
              <w:jc w:val="right"/>
              <w:ind w:right="20"/>
              <w:spacing w:after="0" w:line="156" w:lineRule="exact"/>
              <w:rPr>
                <w:sz w:val="20"/>
                <w:szCs w:val="20"/>
                <w:color w:val="auto"/>
              </w:rPr>
            </w:pPr>
            <w:r>
              <w:rPr>
                <w:rFonts w:ascii="Calibri" w:cs="Calibri" w:eastAsia="Calibri" w:hAnsi="Calibri"/>
                <w:sz w:val="14"/>
                <w:szCs w:val="14"/>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jc w:val="right"/>
              <w:ind w:right="457"/>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5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Cost of products sold</w:t>
            </w:r>
          </w:p>
        </w:tc>
        <w:tc>
          <w:tcPr>
            <w:tcW w:w="900" w:type="dxa"/>
            <w:vAlign w:val="bottom"/>
            <w:shd w:val="clear" w:color="auto" w:fill="CCEEFF"/>
          </w:tcPr>
          <w:p>
            <w:pPr>
              <w:jc w:val="right"/>
              <w:ind w:right="723"/>
              <w:spacing w:after="0" w:line="205" w:lineRule="exact"/>
              <w:rPr>
                <w:sz w:val="20"/>
                <w:szCs w:val="20"/>
                <w:color w:val="auto"/>
              </w:rPr>
            </w:pPr>
            <w:r>
              <w:rPr>
                <w:rFonts w:ascii="Calibri" w:cs="Calibri" w:eastAsia="Calibri" w:hAnsi="Calibri"/>
                <w:sz w:val="17"/>
                <w:szCs w:val="17"/>
                <w:color w:val="auto"/>
                <w:w w:val="92"/>
              </w:rPr>
              <w:t>$</w:t>
            </w:r>
          </w:p>
        </w:tc>
        <w:tc>
          <w:tcPr>
            <w:tcW w:w="480" w:type="dxa"/>
            <w:vAlign w:val="bottom"/>
            <w:shd w:val="clear" w:color="auto" w:fill="CCEEFF"/>
          </w:tcPr>
          <w:p>
            <w:pPr>
              <w:jc w:val="right"/>
              <w:ind w:right="17"/>
              <w:spacing w:after="0" w:line="205" w:lineRule="exact"/>
              <w:rPr>
                <w:sz w:val="20"/>
                <w:szCs w:val="20"/>
                <w:color w:val="auto"/>
              </w:rPr>
            </w:pPr>
            <w:r>
              <w:rPr>
                <w:rFonts w:ascii="Calibri" w:cs="Calibri" w:eastAsia="Calibri" w:hAnsi="Calibri"/>
                <w:sz w:val="17"/>
                <w:szCs w:val="17"/>
                <w:color w:val="auto"/>
              </w:rPr>
              <w:t>12</w:t>
            </w:r>
          </w:p>
        </w:tc>
        <w:tc>
          <w:tcPr>
            <w:tcW w:w="980" w:type="dxa"/>
            <w:vAlign w:val="bottom"/>
            <w:shd w:val="clear" w:color="auto" w:fill="CCEEFF"/>
          </w:tcPr>
          <w:p>
            <w:pPr>
              <w:jc w:val="right"/>
              <w:ind w:right="740"/>
              <w:spacing w:after="0" w:line="205" w:lineRule="exact"/>
              <w:rPr>
                <w:sz w:val="20"/>
                <w:szCs w:val="20"/>
                <w:color w:val="auto"/>
              </w:rPr>
            </w:pPr>
            <w:r>
              <w:rPr>
                <w:rFonts w:ascii="Calibri" w:cs="Calibri" w:eastAsia="Calibri" w:hAnsi="Calibri"/>
                <w:sz w:val="17"/>
                <w:szCs w:val="17"/>
                <w:color w:val="auto"/>
              </w:rPr>
              <w:t>$</w:t>
            </w:r>
          </w:p>
        </w:tc>
        <w:tc>
          <w:tcPr>
            <w:tcW w:w="4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0"/>
              <w:spacing w:after="0" w:line="205" w:lineRule="exact"/>
              <w:rPr>
                <w:sz w:val="20"/>
                <w:szCs w:val="20"/>
                <w:color w:val="auto"/>
              </w:rPr>
            </w:pPr>
            <w:r>
              <w:rPr>
                <w:rFonts w:ascii="Calibri" w:cs="Calibri" w:eastAsia="Calibri" w:hAnsi="Calibri"/>
                <w:sz w:val="17"/>
                <w:szCs w:val="17"/>
                <w:color w:val="auto"/>
                <w:w w:val="92"/>
              </w:rPr>
              <w:t>$</w:t>
            </w:r>
          </w:p>
        </w:tc>
        <w:tc>
          <w:tcPr>
            <w:tcW w:w="580" w:type="dxa"/>
            <w:vAlign w:val="bottom"/>
            <w:shd w:val="clear" w:color="auto" w:fill="CCEEFF"/>
          </w:tcPr>
          <w:p>
            <w:pPr>
              <w:jc w:val="right"/>
              <w:ind w:right="38"/>
              <w:spacing w:after="0" w:line="205" w:lineRule="exact"/>
              <w:rPr>
                <w:sz w:val="20"/>
                <w:szCs w:val="20"/>
                <w:color w:val="auto"/>
              </w:rPr>
            </w:pPr>
            <w:r>
              <w:rPr>
                <w:rFonts w:ascii="Calibri" w:cs="Calibri" w:eastAsia="Calibri" w:hAnsi="Calibri"/>
                <w:sz w:val="17"/>
                <w:szCs w:val="17"/>
                <w:color w:val="auto"/>
              </w:rPr>
              <w:t>44</w:t>
            </w:r>
          </w:p>
        </w:tc>
        <w:tc>
          <w:tcPr>
            <w:tcW w:w="580" w:type="dxa"/>
            <w:vAlign w:val="bottom"/>
            <w:shd w:val="clear" w:color="auto" w:fill="CCEEFF"/>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38</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Research and development</w:t>
            </w:r>
          </w:p>
        </w:tc>
        <w:tc>
          <w:tcPr>
            <w:tcW w:w="900" w:type="dxa"/>
            <w:vAlign w:val="bottom"/>
          </w:tcPr>
          <w:p>
            <w:pPr>
              <w:spacing w:after="0"/>
              <w:rPr>
                <w:sz w:val="18"/>
                <w:szCs w:val="18"/>
                <w:color w:val="auto"/>
              </w:rPr>
            </w:pPr>
          </w:p>
        </w:tc>
        <w:tc>
          <w:tcPr>
            <w:tcW w:w="480" w:type="dxa"/>
            <w:vAlign w:val="bottom"/>
          </w:tcPr>
          <w:p>
            <w:pPr>
              <w:jc w:val="right"/>
              <w:ind w:right="17"/>
              <w:spacing w:after="0" w:line="205" w:lineRule="exact"/>
              <w:rPr>
                <w:sz w:val="20"/>
                <w:szCs w:val="20"/>
                <w:color w:val="auto"/>
              </w:rPr>
            </w:pPr>
            <w:r>
              <w:rPr>
                <w:rFonts w:ascii="Calibri" w:cs="Calibri" w:eastAsia="Calibri" w:hAnsi="Calibri"/>
                <w:sz w:val="17"/>
                <w:szCs w:val="17"/>
                <w:color w:val="auto"/>
              </w:rPr>
              <w:t>67</w:t>
            </w:r>
          </w:p>
        </w:tc>
        <w:tc>
          <w:tcPr>
            <w:tcW w:w="980" w:type="dxa"/>
            <w:vAlign w:val="bottom"/>
          </w:tcPr>
          <w:p>
            <w:pPr>
              <w:spacing w:after="0"/>
              <w:rPr>
                <w:sz w:val="18"/>
                <w:szCs w:val="18"/>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53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jc w:val="right"/>
              <w:ind w:right="38"/>
              <w:spacing w:after="0" w:line="205" w:lineRule="exact"/>
              <w:rPr>
                <w:sz w:val="20"/>
                <w:szCs w:val="20"/>
                <w:color w:val="auto"/>
              </w:rPr>
            </w:pPr>
            <w:r>
              <w:rPr>
                <w:rFonts w:ascii="Calibri" w:cs="Calibri" w:eastAsia="Calibri" w:hAnsi="Calibri"/>
                <w:sz w:val="17"/>
                <w:szCs w:val="17"/>
                <w:color w:val="auto"/>
              </w:rPr>
              <w:t>274</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227</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Selling, general and administratve</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7"/>
                <w:szCs w:val="17"/>
                <w:color w:val="auto"/>
              </w:rPr>
              <w:t>102</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68</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7"/>
                <w:szCs w:val="17"/>
                <w:color w:val="auto"/>
              </w:rPr>
              <w:t>429</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357</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line="205" w:lineRule="exact"/>
              <w:rPr>
                <w:sz w:val="20"/>
                <w:szCs w:val="20"/>
                <w:color w:val="auto"/>
              </w:rPr>
            </w:pPr>
            <w:r>
              <w:rPr>
                <w:rFonts w:ascii="Calibri" w:cs="Calibri" w:eastAsia="Calibri" w:hAnsi="Calibri"/>
                <w:sz w:val="17"/>
                <w:szCs w:val="17"/>
                <w:color w:val="auto"/>
              </w:rPr>
              <w:t>Pre-tax compensaton expense</w:t>
            </w:r>
          </w:p>
        </w:tc>
        <w:tc>
          <w:tcPr>
            <w:tcW w:w="900" w:type="dxa"/>
            <w:vAlign w:val="bottom"/>
          </w:tcPr>
          <w:p>
            <w:pPr>
              <w:spacing w:after="0"/>
              <w:rPr>
                <w:sz w:val="18"/>
                <w:szCs w:val="18"/>
                <w:color w:val="auto"/>
              </w:rPr>
            </w:pPr>
          </w:p>
        </w:tc>
        <w:tc>
          <w:tcPr>
            <w:tcW w:w="480" w:type="dxa"/>
            <w:vAlign w:val="bottom"/>
          </w:tcPr>
          <w:p>
            <w:pPr>
              <w:jc w:val="right"/>
              <w:ind w:right="17"/>
              <w:spacing w:after="0" w:line="205" w:lineRule="exact"/>
              <w:rPr>
                <w:sz w:val="20"/>
                <w:szCs w:val="20"/>
                <w:color w:val="auto"/>
              </w:rPr>
            </w:pPr>
            <w:r>
              <w:rPr>
                <w:rFonts w:ascii="Calibri" w:cs="Calibri" w:eastAsia="Calibri" w:hAnsi="Calibri"/>
                <w:sz w:val="17"/>
                <w:szCs w:val="17"/>
                <w:color w:val="auto"/>
              </w:rPr>
              <w:t>181</w:t>
            </w:r>
          </w:p>
        </w:tc>
        <w:tc>
          <w:tcPr>
            <w:tcW w:w="980" w:type="dxa"/>
            <w:vAlign w:val="bottom"/>
          </w:tcPr>
          <w:p>
            <w:pPr>
              <w:spacing w:after="0"/>
              <w:rPr>
                <w:sz w:val="18"/>
                <w:szCs w:val="18"/>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jc w:val="right"/>
              <w:ind w:right="38"/>
              <w:spacing w:after="0" w:line="205" w:lineRule="exact"/>
              <w:rPr>
                <w:sz w:val="20"/>
                <w:szCs w:val="20"/>
                <w:color w:val="auto"/>
              </w:rPr>
            </w:pPr>
            <w:r>
              <w:rPr>
                <w:rFonts w:ascii="Calibri" w:cs="Calibri" w:eastAsia="Calibri" w:hAnsi="Calibri"/>
                <w:sz w:val="17"/>
                <w:szCs w:val="17"/>
                <w:color w:val="auto"/>
              </w:rPr>
              <w:t>747</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622</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Tax beneft</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(33)</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(26)</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(127)</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(111)</w:t>
            </w:r>
          </w:p>
        </w:tc>
        <w:tc>
          <w:tcPr>
            <w:tcW w:w="0" w:type="dxa"/>
            <w:vAlign w:val="bottom"/>
          </w:tcPr>
          <w:p>
            <w:pPr>
              <w:spacing w:after="0"/>
              <w:rPr>
                <w:sz w:val="1"/>
                <w:szCs w:val="1"/>
                <w:color w:val="auto"/>
              </w:rPr>
            </w:pPr>
          </w:p>
        </w:tc>
      </w:tr>
      <w:tr>
        <w:trPr>
          <w:trHeight w:val="212"/>
        </w:trPr>
        <w:tc>
          <w:tcPr>
            <w:tcW w:w="55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Afer-tax compensaton expense</w:t>
            </w:r>
          </w:p>
        </w:tc>
        <w:tc>
          <w:tcPr>
            <w:tcW w:w="900" w:type="dxa"/>
            <w:vAlign w:val="bottom"/>
            <w:tcBorders>
              <w:bottom w:val="single" w:sz="8" w:color="auto"/>
            </w:tcBorders>
          </w:tcPr>
          <w:p>
            <w:pPr>
              <w:jc w:val="right"/>
              <w:ind w:right="723"/>
              <w:spacing w:after="0" w:line="205" w:lineRule="exact"/>
              <w:rPr>
                <w:sz w:val="20"/>
                <w:szCs w:val="20"/>
                <w:color w:val="auto"/>
              </w:rPr>
            </w:pPr>
            <w:r>
              <w:rPr>
                <w:rFonts w:ascii="Calibri" w:cs="Calibri" w:eastAsia="Calibri" w:hAnsi="Calibri"/>
                <w:sz w:val="17"/>
                <w:szCs w:val="17"/>
                <w:color w:val="auto"/>
                <w:w w:val="92"/>
              </w:rPr>
              <w:t>$</w:t>
            </w:r>
          </w:p>
        </w:tc>
        <w:tc>
          <w:tcPr>
            <w:tcW w:w="480" w:type="dxa"/>
            <w:vAlign w:val="bottom"/>
            <w:tcBorders>
              <w:bottom w:val="single" w:sz="8" w:color="auto"/>
            </w:tcBorders>
          </w:tcPr>
          <w:p>
            <w:pPr>
              <w:jc w:val="right"/>
              <w:ind w:right="17"/>
              <w:spacing w:after="0" w:line="205" w:lineRule="exact"/>
              <w:rPr>
                <w:sz w:val="20"/>
                <w:szCs w:val="20"/>
                <w:color w:val="auto"/>
              </w:rPr>
            </w:pPr>
            <w:r>
              <w:rPr>
                <w:rFonts w:ascii="Calibri" w:cs="Calibri" w:eastAsia="Calibri" w:hAnsi="Calibri"/>
                <w:sz w:val="17"/>
                <w:szCs w:val="17"/>
                <w:color w:val="auto"/>
              </w:rPr>
              <w:t>148</w:t>
            </w:r>
          </w:p>
        </w:tc>
        <w:tc>
          <w:tcPr>
            <w:tcW w:w="980" w:type="dxa"/>
            <w:vAlign w:val="bottom"/>
            <w:tcBorders>
              <w:bottom w:val="single" w:sz="8" w:color="auto"/>
            </w:tcBorders>
          </w:tcPr>
          <w:p>
            <w:pPr>
              <w:jc w:val="right"/>
              <w:ind w:right="740"/>
              <w:spacing w:after="0" w:line="205" w:lineRule="exact"/>
              <w:rPr>
                <w:sz w:val="20"/>
                <w:szCs w:val="20"/>
                <w:color w:val="auto"/>
              </w:rPr>
            </w:pPr>
            <w:r>
              <w:rPr>
                <w:rFonts w:ascii="Calibri" w:cs="Calibri" w:eastAsia="Calibri" w:hAnsi="Calibri"/>
                <w:sz w:val="17"/>
                <w:szCs w:val="17"/>
                <w:color w:val="auto"/>
              </w:rPr>
              <w:t>$</w:t>
            </w: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104</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40"/>
              <w:spacing w:after="0" w:line="205" w:lineRule="exact"/>
              <w:rPr>
                <w:sz w:val="20"/>
                <w:szCs w:val="20"/>
                <w:color w:val="auto"/>
              </w:rPr>
            </w:pPr>
            <w:r>
              <w:rPr>
                <w:rFonts w:ascii="Calibri" w:cs="Calibri" w:eastAsia="Calibri" w:hAnsi="Calibri"/>
                <w:sz w:val="17"/>
                <w:szCs w:val="17"/>
                <w:color w:val="auto"/>
                <w:w w:val="92"/>
              </w:rPr>
              <w:t>$</w:t>
            </w:r>
          </w:p>
        </w:tc>
        <w:tc>
          <w:tcPr>
            <w:tcW w:w="580" w:type="dxa"/>
            <w:vAlign w:val="bottom"/>
            <w:tcBorders>
              <w:bottom w:val="single" w:sz="8" w:color="auto"/>
            </w:tcBorders>
          </w:tcPr>
          <w:p>
            <w:pPr>
              <w:jc w:val="right"/>
              <w:ind w:right="38"/>
              <w:spacing w:after="0" w:line="205" w:lineRule="exact"/>
              <w:rPr>
                <w:sz w:val="20"/>
                <w:szCs w:val="20"/>
                <w:color w:val="auto"/>
              </w:rPr>
            </w:pPr>
            <w:r>
              <w:rPr>
                <w:rFonts w:ascii="Calibri" w:cs="Calibri" w:eastAsia="Calibri" w:hAnsi="Calibri"/>
                <w:sz w:val="17"/>
                <w:szCs w:val="17"/>
                <w:color w:val="auto"/>
              </w:rPr>
              <w:t>620</w:t>
            </w:r>
          </w:p>
        </w:tc>
        <w:tc>
          <w:tcPr>
            <w:tcW w:w="580" w:type="dxa"/>
            <w:vAlign w:val="bottom"/>
            <w:tcBorders>
              <w:bottom w:val="single" w:sz="8" w:color="auto"/>
            </w:tcBorders>
          </w:tcPr>
          <w:p>
            <w:pPr>
              <w:jc w:val="right"/>
              <w:ind w:right="334"/>
              <w:spacing w:after="0" w:line="205" w:lineRule="exact"/>
              <w:rPr>
                <w:sz w:val="20"/>
                <w:szCs w:val="20"/>
                <w:color w:val="auto"/>
              </w:rPr>
            </w:pPr>
            <w:r>
              <w:rPr>
                <w:rFonts w:ascii="Calibri" w:cs="Calibri" w:eastAsia="Calibri" w:hAnsi="Calibri"/>
                <w:sz w:val="17"/>
                <w:szCs w:val="17"/>
                <w:color w:val="auto"/>
              </w:rPr>
              <w:t>$</w:t>
            </w: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511</w:t>
            </w:r>
          </w:p>
        </w:tc>
        <w:tc>
          <w:tcPr>
            <w:tcW w:w="0" w:type="dxa"/>
            <w:vAlign w:val="bottom"/>
          </w:tcPr>
          <w:p>
            <w:pPr>
              <w:spacing w:after="0"/>
              <w:rPr>
                <w:sz w:val="1"/>
                <w:szCs w:val="1"/>
                <w:color w:val="auto"/>
              </w:rPr>
            </w:pPr>
          </w:p>
        </w:tc>
      </w:tr>
      <w:tr>
        <w:trPr>
          <w:trHeight w:val="26"/>
        </w:trPr>
        <w:tc>
          <w:tcPr>
            <w:tcW w:w="5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65" w:lineRule="auto"/>
        <w:rPr>
          <w:sz w:val="20"/>
          <w:szCs w:val="20"/>
          <w:color w:val="auto"/>
        </w:rPr>
      </w:pPr>
      <w:r>
        <w:rPr>
          <w:rFonts w:ascii="Calibri" w:cs="Calibri" w:eastAsia="Calibri" w:hAnsi="Calibri"/>
          <w:sz w:val="16"/>
          <w:szCs w:val="16"/>
          <w:color w:val="auto"/>
        </w:rPr>
        <w:t>In additon to stock-based compensaton expense included in the table above and in connecton with the acquisitons of ImmunoGen and Cerevel Therapeutcs, AbbVie incurred cash-setled, post-closing expense for ImmunoGen and Cerevel Therapeutcs employee incentve awards, which is summarized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300" w:type="dxa"/>
            <w:vAlign w:val="bottom"/>
            <w:gridSpan w:val="2"/>
          </w:tcPr>
          <w:p>
            <w:pPr>
              <w:jc w:val="right"/>
              <w:ind w:right="18"/>
              <w:spacing w:after="0"/>
              <w:rPr>
                <w:sz w:val="20"/>
                <w:szCs w:val="20"/>
                <w:color w:val="auto"/>
              </w:rPr>
            </w:pPr>
            <w:r>
              <w:rPr>
                <w:rFonts w:ascii="Calibri" w:cs="Calibri" w:eastAsia="Calibri" w:hAnsi="Calibri"/>
                <w:sz w:val="14"/>
                <w:szCs w:val="14"/>
                <w:b w:val="1"/>
                <w:bCs w:val="1"/>
                <w:color w:val="auto"/>
              </w:rPr>
              <w:t>Three months ended September 30,</w:t>
            </w:r>
          </w:p>
        </w:tc>
        <w:tc>
          <w:tcPr>
            <w:tcW w:w="120" w:type="dxa"/>
            <w:vAlign w:val="bottom"/>
          </w:tcPr>
          <w:p>
            <w:pPr>
              <w:spacing w:after="0"/>
              <w:rPr>
                <w:sz w:val="14"/>
                <w:szCs w:val="14"/>
                <w:color w:val="auto"/>
              </w:rPr>
            </w:pPr>
          </w:p>
        </w:tc>
        <w:tc>
          <w:tcPr>
            <w:tcW w:w="2120" w:type="dxa"/>
            <w:vAlign w:val="bottom"/>
          </w:tcPr>
          <w:p>
            <w:pPr>
              <w:jc w:val="right"/>
              <w:ind w:right="40"/>
              <w:spacing w:after="0"/>
              <w:rPr>
                <w:sz w:val="20"/>
                <w:szCs w:val="20"/>
                <w:color w:val="auto"/>
              </w:rPr>
            </w:pPr>
            <w:r>
              <w:rPr>
                <w:rFonts w:ascii="Calibri" w:cs="Calibri" w:eastAsia="Calibri" w:hAnsi="Calibri"/>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63"/>
        </w:trPr>
        <w:tc>
          <w:tcPr>
            <w:tcW w:w="4700" w:type="dxa"/>
            <w:vAlign w:val="bottom"/>
            <w:vMerge w:val="continue"/>
          </w:tcPr>
          <w:p>
            <w:pPr>
              <w:spacing w:after="0"/>
              <w:rPr>
                <w:sz w:val="14"/>
                <w:szCs w:val="14"/>
                <w:color w:val="auto"/>
              </w:rPr>
            </w:pPr>
          </w:p>
        </w:tc>
        <w:tc>
          <w:tcPr>
            <w:tcW w:w="2600" w:type="dxa"/>
            <w:vAlign w:val="bottom"/>
          </w:tcPr>
          <w:p>
            <w:pPr>
              <w:spacing w:after="0"/>
              <w:rPr>
                <w:sz w:val="14"/>
                <w:szCs w:val="14"/>
                <w:color w:val="auto"/>
              </w:rPr>
            </w:pPr>
          </w:p>
        </w:tc>
        <w:tc>
          <w:tcPr>
            <w:tcW w:w="1700" w:type="dxa"/>
            <w:vAlign w:val="bottom"/>
          </w:tcPr>
          <w:p>
            <w:pPr>
              <w:jc w:val="right"/>
              <w:ind w:right="898"/>
              <w:spacing w:after="0" w:line="164" w:lineRule="exact"/>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2120" w:type="dxa"/>
            <w:vAlign w:val="bottom"/>
          </w:tcPr>
          <w:p>
            <w:pPr>
              <w:jc w:val="right"/>
              <w:ind w:right="900"/>
              <w:spacing w:after="0" w:line="164" w:lineRule="exact"/>
              <w:rPr>
                <w:sz w:val="20"/>
                <w:szCs w:val="20"/>
                <w:color w:val="auto"/>
              </w:rPr>
            </w:pPr>
            <w:r>
              <w:rPr>
                <w:rFonts w:ascii="Calibri" w:cs="Calibri" w:eastAsia="Calibri" w:hAnsi="Calibri"/>
                <w:sz w:val="14"/>
                <w:szCs w:val="14"/>
                <w:b w:val="1"/>
                <w:bCs w:val="1"/>
                <w:color w:val="auto"/>
              </w:rPr>
              <w:t>2024</w:t>
            </w:r>
          </w:p>
        </w:tc>
        <w:tc>
          <w:tcPr>
            <w:tcW w:w="0" w:type="dxa"/>
            <w:vAlign w:val="bottom"/>
          </w:tcPr>
          <w:p>
            <w:pPr>
              <w:spacing w:after="0"/>
              <w:rPr>
                <w:sz w:val="1"/>
                <w:szCs w:val="1"/>
                <w:color w:val="auto"/>
              </w:rPr>
            </w:pPr>
          </w:p>
        </w:tc>
      </w:tr>
      <w:tr>
        <w:trPr>
          <w:trHeight w:val="30"/>
        </w:trPr>
        <w:tc>
          <w:tcPr>
            <w:tcW w:w="4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Cost of products sold</w:t>
            </w:r>
          </w:p>
        </w:tc>
        <w:tc>
          <w:tcPr>
            <w:tcW w:w="2600" w:type="dxa"/>
            <w:vAlign w:val="bottom"/>
            <w:shd w:val="clear" w:color="auto" w:fill="CCEEFF"/>
          </w:tcPr>
          <w:p>
            <w:pPr>
              <w:jc w:val="right"/>
              <w:ind w:right="360"/>
              <w:spacing w:after="0" w:line="205" w:lineRule="exact"/>
              <w:rPr>
                <w:sz w:val="20"/>
                <w:szCs w:val="20"/>
                <w:color w:val="auto"/>
              </w:rPr>
            </w:pPr>
            <w:r>
              <w:rPr>
                <w:rFonts w:ascii="Calibri" w:cs="Calibri" w:eastAsia="Calibri" w:hAnsi="Calibri"/>
                <w:sz w:val="17"/>
                <w:szCs w:val="17"/>
                <w:color w:val="auto"/>
              </w:rPr>
              <w:t>$</w:t>
            </w:r>
          </w:p>
        </w:tc>
        <w:tc>
          <w:tcPr>
            <w:tcW w:w="17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w:t>
            </w:r>
          </w:p>
        </w:tc>
        <w:tc>
          <w:tcPr>
            <w:tcW w:w="1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21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36</w:t>
            </w: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line="205" w:lineRule="exact"/>
              <w:rPr>
                <w:sz w:val="20"/>
                <w:szCs w:val="20"/>
                <w:color w:val="auto"/>
              </w:rPr>
            </w:pPr>
            <w:r>
              <w:rPr>
                <w:rFonts w:ascii="Calibri" w:cs="Calibri" w:eastAsia="Calibri" w:hAnsi="Calibri"/>
                <w:sz w:val="17"/>
                <w:szCs w:val="17"/>
                <w:color w:val="auto"/>
              </w:rPr>
              <w:t>Research and development</w:t>
            </w:r>
          </w:p>
        </w:tc>
        <w:tc>
          <w:tcPr>
            <w:tcW w:w="2600" w:type="dxa"/>
            <w:vAlign w:val="bottom"/>
          </w:tcPr>
          <w:p>
            <w:pPr>
              <w:spacing w:after="0"/>
              <w:rPr>
                <w:sz w:val="18"/>
                <w:szCs w:val="18"/>
                <w:color w:val="auto"/>
              </w:rPr>
            </w:pPr>
          </w:p>
        </w:tc>
        <w:tc>
          <w:tcPr>
            <w:tcW w:w="1700" w:type="dxa"/>
            <w:vAlign w:val="bottom"/>
          </w:tcPr>
          <w:p>
            <w:pPr>
              <w:jc w:val="right"/>
              <w:spacing w:after="0" w:line="205" w:lineRule="exact"/>
              <w:rPr>
                <w:sz w:val="20"/>
                <w:szCs w:val="20"/>
                <w:color w:val="auto"/>
              </w:rPr>
            </w:pPr>
            <w:r>
              <w:rPr>
                <w:rFonts w:ascii="Calibri" w:cs="Calibri" w:eastAsia="Calibri" w:hAnsi="Calibri"/>
                <w:sz w:val="17"/>
                <w:szCs w:val="17"/>
                <w:color w:val="auto"/>
              </w:rPr>
              <w:t>58</w:t>
            </w:r>
          </w:p>
        </w:tc>
        <w:tc>
          <w:tcPr>
            <w:tcW w:w="120" w:type="dxa"/>
            <w:vAlign w:val="bottom"/>
          </w:tcPr>
          <w:p>
            <w:pPr>
              <w:spacing w:after="0"/>
              <w:rPr>
                <w:sz w:val="18"/>
                <w:szCs w:val="18"/>
                <w:color w:val="auto"/>
              </w:rPr>
            </w:pPr>
          </w:p>
        </w:tc>
        <w:tc>
          <w:tcPr>
            <w:tcW w:w="2120" w:type="dxa"/>
            <w:vAlign w:val="bottom"/>
          </w:tcPr>
          <w:p>
            <w:pPr>
              <w:jc w:val="right"/>
              <w:spacing w:after="0" w:line="205" w:lineRule="exact"/>
              <w:rPr>
                <w:sz w:val="20"/>
                <w:szCs w:val="20"/>
                <w:color w:val="auto"/>
              </w:rPr>
            </w:pPr>
            <w:r>
              <w:rPr>
                <w:rFonts w:ascii="Calibri" w:cs="Calibri" w:eastAsia="Calibri" w:hAnsi="Calibri"/>
                <w:sz w:val="17"/>
                <w:szCs w:val="17"/>
                <w:color w:val="auto"/>
              </w:rPr>
              <w:t>184</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Selling, general and administratve</w:t>
            </w:r>
          </w:p>
        </w:tc>
        <w:tc>
          <w:tcPr>
            <w:tcW w:w="26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98</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290</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Total post-closing cash setled expense</w:t>
            </w:r>
          </w:p>
        </w:tc>
        <w:tc>
          <w:tcPr>
            <w:tcW w:w="2600" w:type="dxa"/>
            <w:vAlign w:val="bottom"/>
            <w:tcBorders>
              <w:bottom w:val="single" w:sz="8" w:color="auto"/>
            </w:tcBorders>
          </w:tcPr>
          <w:p>
            <w:pPr>
              <w:jc w:val="right"/>
              <w:ind w:right="360"/>
              <w:spacing w:after="0" w:line="205" w:lineRule="exact"/>
              <w:rPr>
                <w:sz w:val="20"/>
                <w:szCs w:val="20"/>
                <w:color w:val="auto"/>
              </w:rPr>
            </w:pPr>
            <w:r>
              <w:rPr>
                <w:rFonts w:ascii="Calibri" w:cs="Calibri" w:eastAsia="Calibri" w:hAnsi="Calibri"/>
                <w:sz w:val="17"/>
                <w:szCs w:val="17"/>
                <w:color w:val="auto"/>
              </w:rPr>
              <w:t>$</w:t>
            </w:r>
          </w:p>
        </w:tc>
        <w:tc>
          <w:tcPr>
            <w:tcW w:w="17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161</w:t>
            </w: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2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510</w:t>
            </w:r>
          </w:p>
        </w:tc>
        <w:tc>
          <w:tcPr>
            <w:tcW w:w="0" w:type="dxa"/>
            <w:vAlign w:val="bottom"/>
          </w:tcPr>
          <w:p>
            <w:pPr>
              <w:spacing w:after="0"/>
              <w:rPr>
                <w:sz w:val="1"/>
                <w:szCs w:val="1"/>
                <w:color w:val="auto"/>
              </w:rPr>
            </w:pPr>
          </w:p>
        </w:tc>
      </w:tr>
      <w:tr>
        <w:trPr>
          <w:trHeight w:val="26"/>
        </w:trPr>
        <w:tc>
          <w:tcPr>
            <w:tcW w:w="4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Stock Optons</w:t>
      </w:r>
    </w:p>
    <w:p>
      <w:pPr>
        <w:spacing w:after="0" w:line="130"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During the nine months ended September 30, 2024, primarily in connecton with the company's annual grant, AbbVie granted 0.6 million stock optons with a weighted-average grant-date fair value of $31.53. As of September 30, 2024, $8 million of unrecognized compensaton cost related to stock optons is expected to be recognized as expense over approximately the next two years.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RSUs and Performance Shares</w:t>
      </w:r>
    </w:p>
    <w:p>
      <w:pPr>
        <w:spacing w:after="0" w:line="143" w:lineRule="exact"/>
        <w:rPr>
          <w:sz w:val="20"/>
          <w:szCs w:val="20"/>
          <w:color w:val="auto"/>
        </w:rPr>
      </w:pPr>
    </w:p>
    <w:p>
      <w:pPr>
        <w:ind w:right="280"/>
        <w:spacing w:after="0" w:line="238" w:lineRule="auto"/>
        <w:rPr>
          <w:sz w:val="20"/>
          <w:szCs w:val="20"/>
          <w:color w:val="auto"/>
        </w:rPr>
      </w:pPr>
      <w:r>
        <w:rPr>
          <w:rFonts w:ascii="Calibri" w:cs="Calibri" w:eastAsia="Calibri" w:hAnsi="Calibri"/>
          <w:sz w:val="17"/>
          <w:szCs w:val="17"/>
          <w:color w:val="auto"/>
        </w:rPr>
        <w:t>During the nine months ended September 30, 2024, primarily in connecton with the company's annual grant, AbbVie granted 5.5 million RSUs and performance shares with a weighted-average grant-date fair value of $176.43. During the nine months ended September 30, 2024 and in connecton with the ImmunoGen and Cerevel Therapeutcs acquisitons, AbbVie issued 0.6 million RSUs to holders of ImmunoGen and Cerevel Therapeutcs equity awards based on a conversion factor described in each of the transacton agreements. See Note 4 for additonal informaton regarding the ImmunoGen and Cerevel Therapeutcs acquisitons. As of September 30, 2024, $799 million of unrecognized compensaton cost related to RSUs and performance shares is expected to be recognized as expense over approximately the next two years.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Cash Dividends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quarterly cash dividends declared during 2024 and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660" w:type="dxa"/>
            <w:vAlign w:val="bottom"/>
          </w:tcPr>
          <w:p>
            <w:pPr>
              <w:jc w:val="right"/>
              <w:ind w:right="680"/>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jc w:val="right"/>
              <w:ind w:right="720"/>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20" w:type="dxa"/>
            <w:vAlign w:val="bottom"/>
          </w:tcPr>
          <w:p>
            <w:pPr>
              <w:jc w:val="right"/>
              <w:ind w:right="678"/>
              <w:spacing w:after="0" w:line="156" w:lineRule="exact"/>
              <w:rPr>
                <w:sz w:val="20"/>
                <w:szCs w:val="20"/>
                <w:color w:val="auto"/>
              </w:rPr>
            </w:pPr>
            <w:r>
              <w:rPr>
                <w:rFonts w:ascii="Calibri" w:cs="Calibri" w:eastAsia="Calibri" w:hAnsi="Calibri"/>
                <w:sz w:val="14"/>
                <w:szCs w:val="14"/>
                <w:b w:val="1"/>
                <w:bCs w:val="1"/>
                <w:color w:val="auto"/>
              </w:rPr>
              <w:t>Date Declared</w:t>
            </w:r>
          </w:p>
        </w:tc>
        <w:tc>
          <w:tcPr>
            <w:tcW w:w="1660" w:type="dxa"/>
            <w:vAlign w:val="bottom"/>
          </w:tcPr>
          <w:p>
            <w:pPr>
              <w:jc w:val="right"/>
              <w:ind w:right="460"/>
              <w:spacing w:after="0" w:line="156" w:lineRule="exact"/>
              <w:rPr>
                <w:sz w:val="20"/>
                <w:szCs w:val="20"/>
                <w:color w:val="auto"/>
              </w:rPr>
            </w:pPr>
            <w:r>
              <w:rPr>
                <w:rFonts w:ascii="Calibri" w:cs="Calibri" w:eastAsia="Calibri" w:hAnsi="Calibri"/>
                <w:sz w:val="14"/>
                <w:szCs w:val="14"/>
                <w:b w:val="1"/>
                <w:bCs w:val="1"/>
                <w:color w:val="auto"/>
              </w:rPr>
              <w:t>Payment Date</w:t>
            </w:r>
          </w:p>
        </w:tc>
        <w:tc>
          <w:tcPr>
            <w:tcW w:w="280" w:type="dxa"/>
            <w:vAlign w:val="bottom"/>
          </w:tcPr>
          <w:p>
            <w:pPr>
              <w:spacing w:after="0"/>
              <w:rPr>
                <w:sz w:val="13"/>
                <w:szCs w:val="13"/>
                <w:color w:val="auto"/>
              </w:rPr>
            </w:pPr>
          </w:p>
        </w:tc>
        <w:tc>
          <w:tcPr>
            <w:tcW w:w="1600" w:type="dxa"/>
            <w:vAlign w:val="bottom"/>
          </w:tcPr>
          <w:p>
            <w:pPr>
              <w:jc w:val="right"/>
              <w:ind w:right="298"/>
              <w:spacing w:after="0" w:line="156" w:lineRule="exact"/>
              <w:rPr>
                <w:sz w:val="20"/>
                <w:szCs w:val="20"/>
                <w:color w:val="auto"/>
              </w:rPr>
            </w:pPr>
            <w:r>
              <w:rPr>
                <w:rFonts w:ascii="Calibri" w:cs="Calibri" w:eastAsia="Calibri" w:hAnsi="Calibri"/>
                <w:sz w:val="14"/>
                <w:szCs w:val="14"/>
                <w:b w:val="1"/>
                <w:bCs w:val="1"/>
                <w:color w:val="auto"/>
              </w:rPr>
              <w:t>Dividend Per Share</w:t>
            </w:r>
          </w:p>
        </w:tc>
        <w:tc>
          <w:tcPr>
            <w:tcW w:w="100" w:type="dxa"/>
            <w:vAlign w:val="bottom"/>
            <w:vMerge w:val="continue"/>
          </w:tcPr>
          <w:p>
            <w:pPr>
              <w:spacing w:after="0"/>
              <w:rPr>
                <w:sz w:val="13"/>
                <w:szCs w:val="13"/>
                <w:color w:val="auto"/>
              </w:rPr>
            </w:pPr>
          </w:p>
        </w:tc>
        <w:tc>
          <w:tcPr>
            <w:tcW w:w="2080" w:type="dxa"/>
            <w:vAlign w:val="bottom"/>
          </w:tcPr>
          <w:p>
            <w:pPr>
              <w:jc w:val="right"/>
              <w:ind w:right="698"/>
              <w:spacing w:after="0" w:line="156" w:lineRule="exact"/>
              <w:rPr>
                <w:sz w:val="20"/>
                <w:szCs w:val="20"/>
                <w:color w:val="auto"/>
              </w:rPr>
            </w:pPr>
            <w:r>
              <w:rPr>
                <w:rFonts w:ascii="Calibri" w:cs="Calibri" w:eastAsia="Calibri" w:hAnsi="Calibri"/>
                <w:sz w:val="14"/>
                <w:szCs w:val="14"/>
                <w:b w:val="1"/>
                <w:bCs w:val="1"/>
                <w:color w:val="auto"/>
              </w:rPr>
              <w:t>Date Declared</w:t>
            </w:r>
          </w:p>
        </w:tc>
        <w:tc>
          <w:tcPr>
            <w:tcW w:w="1660" w:type="dxa"/>
            <w:vAlign w:val="bottom"/>
          </w:tcPr>
          <w:p>
            <w:pPr>
              <w:jc w:val="right"/>
              <w:ind w:right="460"/>
              <w:spacing w:after="0" w:line="156" w:lineRule="exact"/>
              <w:rPr>
                <w:sz w:val="20"/>
                <w:szCs w:val="20"/>
                <w:color w:val="auto"/>
              </w:rPr>
            </w:pPr>
            <w:r>
              <w:rPr>
                <w:rFonts w:ascii="Calibri" w:cs="Calibri" w:eastAsia="Calibri" w:hAnsi="Calibri"/>
                <w:sz w:val="14"/>
                <w:szCs w:val="14"/>
                <w:b w:val="1"/>
                <w:bCs w:val="1"/>
                <w:color w:val="auto"/>
              </w:rPr>
              <w:t>Payment Date</w:t>
            </w:r>
          </w:p>
        </w:tc>
        <w:tc>
          <w:tcPr>
            <w:tcW w:w="280" w:type="dxa"/>
            <w:vAlign w:val="bottom"/>
          </w:tcPr>
          <w:p>
            <w:pPr>
              <w:spacing w:after="0"/>
              <w:rPr>
                <w:sz w:val="13"/>
                <w:szCs w:val="13"/>
                <w:color w:val="auto"/>
              </w:rPr>
            </w:pPr>
          </w:p>
        </w:tc>
        <w:tc>
          <w:tcPr>
            <w:tcW w:w="1560" w:type="dxa"/>
            <w:vAlign w:val="bottom"/>
          </w:tcPr>
          <w:p>
            <w:pPr>
              <w:jc w:val="right"/>
              <w:ind w:right="258"/>
              <w:spacing w:after="0" w:line="156" w:lineRule="exact"/>
              <w:rPr>
                <w:sz w:val="20"/>
                <w:szCs w:val="20"/>
                <w:color w:val="auto"/>
              </w:rPr>
            </w:pPr>
            <w:r>
              <w:rPr>
                <w:rFonts w:ascii="Calibri" w:cs="Calibri" w:eastAsia="Calibri" w:hAnsi="Calibri"/>
                <w:sz w:val="14"/>
                <w:szCs w:val="14"/>
                <w:b w:val="1"/>
                <w:bCs w:val="1"/>
                <w:color w:val="auto"/>
              </w:rPr>
              <w:t>Dividend Per Share</w:t>
            </w:r>
          </w:p>
        </w:tc>
        <w:tc>
          <w:tcPr>
            <w:tcW w:w="0" w:type="dxa"/>
            <w:vAlign w:val="bottom"/>
          </w:tcPr>
          <w:p>
            <w:pPr>
              <w:spacing w:after="0"/>
              <w:rPr>
                <w:sz w:val="1"/>
                <w:szCs w:val="1"/>
                <w:color w:val="auto"/>
              </w:rPr>
            </w:pPr>
          </w:p>
        </w:tc>
      </w:tr>
      <w:tr>
        <w:trPr>
          <w:trHeight w:val="30"/>
        </w:trPr>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jc w:val="right"/>
              <w:ind w:right="218"/>
              <w:spacing w:after="0" w:line="205" w:lineRule="exact"/>
              <w:rPr>
                <w:sz w:val="20"/>
                <w:szCs w:val="20"/>
                <w:color w:val="auto"/>
              </w:rPr>
            </w:pPr>
            <w:r>
              <w:rPr>
                <w:rFonts w:ascii="Calibri" w:cs="Calibri" w:eastAsia="Calibri" w:hAnsi="Calibri"/>
                <w:sz w:val="17"/>
                <w:szCs w:val="17"/>
                <w:color w:val="2D2926"/>
              </w:rPr>
              <w:t>10/30/24</w:t>
            </w:r>
          </w:p>
        </w:tc>
        <w:tc>
          <w:tcPr>
            <w:tcW w:w="16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2D2926"/>
              </w:rPr>
              <w:t>02/14/25</w:t>
            </w:r>
          </w:p>
        </w:tc>
        <w:tc>
          <w:tcPr>
            <w:tcW w:w="280" w:type="dxa"/>
            <w:vAlign w:val="bottom"/>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2D2926"/>
              </w:rPr>
              <w:t>$</w:t>
            </w:r>
          </w:p>
        </w:tc>
        <w:tc>
          <w:tcPr>
            <w:tcW w:w="16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2D2926"/>
              </w:rPr>
              <w:t>1.64</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18"/>
              <w:spacing w:after="0" w:line="205" w:lineRule="exact"/>
              <w:rPr>
                <w:sz w:val="20"/>
                <w:szCs w:val="20"/>
                <w:color w:val="auto"/>
              </w:rPr>
            </w:pPr>
            <w:r>
              <w:rPr>
                <w:rFonts w:ascii="Calibri" w:cs="Calibri" w:eastAsia="Calibri" w:hAnsi="Calibri"/>
                <w:sz w:val="17"/>
                <w:szCs w:val="17"/>
                <w:color w:val="2D2926"/>
              </w:rPr>
              <w:t>10/26/23</w:t>
            </w:r>
          </w:p>
        </w:tc>
        <w:tc>
          <w:tcPr>
            <w:tcW w:w="16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2D2926"/>
              </w:rPr>
              <w:t>02/15/24</w:t>
            </w:r>
          </w:p>
        </w:tc>
        <w:tc>
          <w:tcPr>
            <w:tcW w:w="280" w:type="dxa"/>
            <w:vAlign w:val="bottom"/>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15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1.55</w:t>
            </w:r>
          </w:p>
        </w:tc>
        <w:tc>
          <w:tcPr>
            <w:tcW w:w="0" w:type="dxa"/>
            <w:vAlign w:val="bottom"/>
          </w:tcPr>
          <w:p>
            <w:pPr>
              <w:spacing w:after="0"/>
              <w:rPr>
                <w:sz w:val="1"/>
                <w:szCs w:val="1"/>
                <w:color w:val="auto"/>
              </w:rPr>
            </w:pPr>
          </w:p>
        </w:tc>
      </w:tr>
      <w:tr>
        <w:trPr>
          <w:trHeight w:val="212"/>
        </w:trPr>
        <w:tc>
          <w:tcPr>
            <w:tcW w:w="2020" w:type="dxa"/>
            <w:vAlign w:val="bottom"/>
          </w:tcPr>
          <w:p>
            <w:pPr>
              <w:jc w:val="right"/>
              <w:ind w:right="218"/>
              <w:spacing w:after="0" w:line="205" w:lineRule="exact"/>
              <w:rPr>
                <w:sz w:val="20"/>
                <w:szCs w:val="20"/>
                <w:color w:val="auto"/>
              </w:rPr>
            </w:pPr>
            <w:r>
              <w:rPr>
                <w:rFonts w:ascii="Calibri" w:cs="Calibri" w:eastAsia="Calibri" w:hAnsi="Calibri"/>
                <w:sz w:val="17"/>
                <w:szCs w:val="17"/>
                <w:color w:val="2D2926"/>
              </w:rPr>
              <w:t>09/06/24</w:t>
            </w:r>
          </w:p>
        </w:tc>
        <w:tc>
          <w:tcPr>
            <w:tcW w:w="1660" w:type="dxa"/>
            <w:vAlign w:val="bottom"/>
          </w:tcPr>
          <w:p>
            <w:pPr>
              <w:jc w:val="right"/>
              <w:spacing w:after="0" w:line="205" w:lineRule="exact"/>
              <w:rPr>
                <w:sz w:val="20"/>
                <w:szCs w:val="20"/>
                <w:color w:val="auto"/>
              </w:rPr>
            </w:pPr>
            <w:r>
              <w:rPr>
                <w:rFonts w:ascii="Calibri" w:cs="Calibri" w:eastAsia="Calibri" w:hAnsi="Calibri"/>
                <w:sz w:val="17"/>
                <w:szCs w:val="17"/>
                <w:color w:val="2D2926"/>
              </w:rPr>
              <w:t>11/15/24</w:t>
            </w:r>
          </w:p>
        </w:tc>
        <w:tc>
          <w:tcPr>
            <w:tcW w:w="280" w:type="dxa"/>
            <w:vAlign w:val="bottom"/>
          </w:tcPr>
          <w:p>
            <w:pPr>
              <w:jc w:val="right"/>
              <w:ind w:right="34"/>
              <w:spacing w:after="0" w:line="205" w:lineRule="exact"/>
              <w:rPr>
                <w:sz w:val="20"/>
                <w:szCs w:val="20"/>
                <w:color w:val="auto"/>
              </w:rPr>
            </w:pPr>
            <w:r>
              <w:rPr>
                <w:rFonts w:ascii="Calibri" w:cs="Calibri" w:eastAsia="Calibri" w:hAnsi="Calibri"/>
                <w:sz w:val="17"/>
                <w:szCs w:val="17"/>
                <w:color w:val="2D2926"/>
              </w:rPr>
              <w:t>$</w:t>
            </w:r>
          </w:p>
        </w:tc>
        <w:tc>
          <w:tcPr>
            <w:tcW w:w="1600" w:type="dxa"/>
            <w:vAlign w:val="bottom"/>
          </w:tcPr>
          <w:p>
            <w:pPr>
              <w:jc w:val="right"/>
              <w:spacing w:after="0" w:line="205" w:lineRule="exact"/>
              <w:rPr>
                <w:sz w:val="20"/>
                <w:szCs w:val="20"/>
                <w:color w:val="auto"/>
              </w:rPr>
            </w:pPr>
            <w:r>
              <w:rPr>
                <w:rFonts w:ascii="Calibri" w:cs="Calibri" w:eastAsia="Calibri" w:hAnsi="Calibri"/>
                <w:sz w:val="17"/>
                <w:szCs w:val="17"/>
                <w:color w:val="2D2926"/>
              </w:rPr>
              <w:t>1.55</w:t>
            </w:r>
          </w:p>
        </w:tc>
        <w:tc>
          <w:tcPr>
            <w:tcW w:w="100" w:type="dxa"/>
            <w:vAlign w:val="bottom"/>
          </w:tcPr>
          <w:p>
            <w:pPr>
              <w:spacing w:after="0"/>
              <w:rPr>
                <w:sz w:val="18"/>
                <w:szCs w:val="18"/>
                <w:color w:val="auto"/>
              </w:rPr>
            </w:pPr>
          </w:p>
        </w:tc>
        <w:tc>
          <w:tcPr>
            <w:tcW w:w="2080" w:type="dxa"/>
            <w:vAlign w:val="bottom"/>
          </w:tcPr>
          <w:p>
            <w:pPr>
              <w:jc w:val="right"/>
              <w:ind w:right="218"/>
              <w:spacing w:after="0" w:line="205" w:lineRule="exact"/>
              <w:rPr>
                <w:sz w:val="20"/>
                <w:szCs w:val="20"/>
                <w:color w:val="auto"/>
              </w:rPr>
            </w:pPr>
            <w:r>
              <w:rPr>
                <w:rFonts w:ascii="Calibri" w:cs="Calibri" w:eastAsia="Calibri" w:hAnsi="Calibri"/>
                <w:sz w:val="17"/>
                <w:szCs w:val="17"/>
                <w:color w:val="2D2926"/>
              </w:rPr>
              <w:t>09/08/23</w:t>
            </w:r>
          </w:p>
        </w:tc>
        <w:tc>
          <w:tcPr>
            <w:tcW w:w="1660" w:type="dxa"/>
            <w:vAlign w:val="bottom"/>
          </w:tcPr>
          <w:p>
            <w:pPr>
              <w:jc w:val="right"/>
              <w:spacing w:after="0" w:line="205" w:lineRule="exact"/>
              <w:rPr>
                <w:sz w:val="20"/>
                <w:szCs w:val="20"/>
                <w:color w:val="auto"/>
              </w:rPr>
            </w:pPr>
            <w:r>
              <w:rPr>
                <w:rFonts w:ascii="Calibri" w:cs="Calibri" w:eastAsia="Calibri" w:hAnsi="Calibri"/>
                <w:sz w:val="17"/>
                <w:szCs w:val="17"/>
                <w:color w:val="2D2926"/>
              </w:rPr>
              <w:t>11/15/23</w:t>
            </w:r>
          </w:p>
        </w:tc>
        <w:tc>
          <w:tcPr>
            <w:tcW w:w="28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auto"/>
              </w:rPr>
              <w:t>1.48</w:t>
            </w: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jc w:val="right"/>
              <w:ind w:right="218"/>
              <w:spacing w:after="0"/>
              <w:rPr>
                <w:sz w:val="20"/>
                <w:szCs w:val="20"/>
                <w:color w:val="auto"/>
              </w:rPr>
            </w:pPr>
            <w:r>
              <w:rPr>
                <w:rFonts w:ascii="Calibri" w:cs="Calibri" w:eastAsia="Calibri" w:hAnsi="Calibri"/>
                <w:sz w:val="17"/>
                <w:szCs w:val="17"/>
                <w:color w:val="2D2926"/>
              </w:rPr>
              <w:t>06/21/24</w:t>
            </w:r>
          </w:p>
        </w:tc>
        <w:tc>
          <w:tcPr>
            <w:tcW w:w="1660" w:type="dxa"/>
            <w:vAlign w:val="bottom"/>
            <w:shd w:val="clear" w:color="auto" w:fill="CCEEFF"/>
          </w:tcPr>
          <w:p>
            <w:pPr>
              <w:jc w:val="right"/>
              <w:spacing w:after="0"/>
              <w:rPr>
                <w:sz w:val="20"/>
                <w:szCs w:val="20"/>
                <w:color w:val="auto"/>
              </w:rPr>
            </w:pPr>
            <w:r>
              <w:rPr>
                <w:rFonts w:ascii="Calibri" w:cs="Calibri" w:eastAsia="Calibri" w:hAnsi="Calibri"/>
                <w:sz w:val="17"/>
                <w:szCs w:val="17"/>
                <w:color w:val="2D2926"/>
              </w:rPr>
              <w:t>08/15/24</w:t>
            </w:r>
          </w:p>
        </w:tc>
        <w:tc>
          <w:tcPr>
            <w:tcW w:w="280" w:type="dxa"/>
            <w:vAlign w:val="bottom"/>
            <w:shd w:val="clear" w:color="auto" w:fill="CCEEFF"/>
          </w:tcPr>
          <w:p>
            <w:pPr>
              <w:jc w:val="right"/>
              <w:ind w:right="34"/>
              <w:spacing w:after="0"/>
              <w:rPr>
                <w:sz w:val="20"/>
                <w:szCs w:val="20"/>
                <w:color w:val="auto"/>
              </w:rPr>
            </w:pPr>
            <w:r>
              <w:rPr>
                <w:rFonts w:ascii="Calibri" w:cs="Calibri" w:eastAsia="Calibri" w:hAnsi="Calibri"/>
                <w:sz w:val="17"/>
                <w:szCs w:val="17"/>
                <w:color w:val="auto"/>
              </w:rPr>
              <w:t>$</w:t>
            </w:r>
          </w:p>
        </w:tc>
        <w:tc>
          <w:tcPr>
            <w:tcW w:w="160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1.55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218"/>
              <w:spacing w:after="0"/>
              <w:rPr>
                <w:sz w:val="20"/>
                <w:szCs w:val="20"/>
                <w:color w:val="auto"/>
              </w:rPr>
            </w:pPr>
            <w:r>
              <w:rPr>
                <w:rFonts w:ascii="Calibri" w:cs="Calibri" w:eastAsia="Calibri" w:hAnsi="Calibri"/>
                <w:sz w:val="17"/>
                <w:szCs w:val="17"/>
                <w:color w:val="2D2926"/>
              </w:rPr>
              <w:t>06/22/23</w:t>
            </w:r>
          </w:p>
        </w:tc>
        <w:tc>
          <w:tcPr>
            <w:tcW w:w="1660" w:type="dxa"/>
            <w:vAlign w:val="bottom"/>
            <w:shd w:val="clear" w:color="auto" w:fill="CCEEFF"/>
          </w:tcPr>
          <w:p>
            <w:pPr>
              <w:jc w:val="right"/>
              <w:spacing w:after="0"/>
              <w:rPr>
                <w:sz w:val="20"/>
                <w:szCs w:val="20"/>
                <w:color w:val="auto"/>
              </w:rPr>
            </w:pPr>
            <w:r>
              <w:rPr>
                <w:rFonts w:ascii="Calibri" w:cs="Calibri" w:eastAsia="Calibri" w:hAnsi="Calibri"/>
                <w:sz w:val="17"/>
                <w:szCs w:val="17"/>
                <w:color w:val="2D2926"/>
              </w:rPr>
              <w:t>08/15/23</w:t>
            </w:r>
          </w:p>
        </w:tc>
        <w:tc>
          <w:tcPr>
            <w:tcW w:w="280" w:type="dxa"/>
            <w:vAlign w:val="bottom"/>
            <w:shd w:val="clear" w:color="auto" w:fill="CCEEFF"/>
          </w:tcPr>
          <w:p>
            <w:pPr>
              <w:jc w:val="right"/>
              <w:ind w:right="34"/>
              <w:spacing w:after="0"/>
              <w:rPr>
                <w:sz w:val="20"/>
                <w:szCs w:val="20"/>
                <w:color w:val="auto"/>
              </w:rPr>
            </w:pPr>
            <w:r>
              <w:rPr>
                <w:rFonts w:ascii="Calibri" w:cs="Calibri" w:eastAsia="Calibri" w:hAnsi="Calibri"/>
                <w:sz w:val="17"/>
                <w:szCs w:val="17"/>
                <w:color w:val="auto"/>
              </w:rPr>
              <w:t>$</w:t>
            </w:r>
          </w:p>
        </w:tc>
        <w:tc>
          <w:tcPr>
            <w:tcW w:w="156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1.48</w:t>
            </w:r>
          </w:p>
        </w:tc>
        <w:tc>
          <w:tcPr>
            <w:tcW w:w="0" w:type="dxa"/>
            <w:vAlign w:val="bottom"/>
          </w:tcPr>
          <w:p>
            <w:pPr>
              <w:spacing w:after="0"/>
              <w:rPr>
                <w:sz w:val="1"/>
                <w:szCs w:val="1"/>
                <w:color w:val="auto"/>
              </w:rPr>
            </w:pPr>
          </w:p>
        </w:tc>
      </w:tr>
      <w:tr>
        <w:trPr>
          <w:trHeight w:val="212"/>
        </w:trPr>
        <w:tc>
          <w:tcPr>
            <w:tcW w:w="2020" w:type="dxa"/>
            <w:vAlign w:val="bottom"/>
            <w:tcBorders>
              <w:bottom w:val="single" w:sz="8" w:color="auto"/>
            </w:tcBorders>
          </w:tcPr>
          <w:p>
            <w:pPr>
              <w:jc w:val="right"/>
              <w:ind w:right="218"/>
              <w:spacing w:after="0" w:line="205" w:lineRule="exact"/>
              <w:rPr>
                <w:sz w:val="20"/>
                <w:szCs w:val="20"/>
                <w:color w:val="auto"/>
              </w:rPr>
            </w:pPr>
            <w:r>
              <w:rPr>
                <w:rFonts w:ascii="Calibri" w:cs="Calibri" w:eastAsia="Calibri" w:hAnsi="Calibri"/>
                <w:sz w:val="17"/>
                <w:szCs w:val="17"/>
                <w:color w:val="2D2926"/>
              </w:rPr>
              <w:t>02/15/24</w:t>
            </w:r>
          </w:p>
        </w:tc>
        <w:tc>
          <w:tcPr>
            <w:tcW w:w="16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2D2926"/>
              </w:rPr>
              <w:t>05/15/24</w:t>
            </w:r>
          </w:p>
        </w:tc>
        <w:tc>
          <w:tcPr>
            <w:tcW w:w="28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16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1.55</w:t>
            </w: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218"/>
              <w:spacing w:after="0" w:line="205" w:lineRule="exact"/>
              <w:rPr>
                <w:sz w:val="20"/>
                <w:szCs w:val="20"/>
                <w:color w:val="auto"/>
              </w:rPr>
            </w:pPr>
            <w:r>
              <w:rPr>
                <w:rFonts w:ascii="Calibri" w:cs="Calibri" w:eastAsia="Calibri" w:hAnsi="Calibri"/>
                <w:sz w:val="17"/>
                <w:szCs w:val="17"/>
                <w:color w:val="2D2926"/>
              </w:rPr>
              <w:t>02/16/23</w:t>
            </w:r>
          </w:p>
        </w:tc>
        <w:tc>
          <w:tcPr>
            <w:tcW w:w="16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2D2926"/>
              </w:rPr>
              <w:t>05/15/23</w:t>
            </w:r>
          </w:p>
        </w:tc>
        <w:tc>
          <w:tcPr>
            <w:tcW w:w="28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15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507365</wp:posOffset>
            </wp:positionV>
            <wp:extent cx="491490" cy="901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24</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26" w:name="page27"/>
    <w:bookmarkEnd w:id="26"/>
    <w:p>
      <w:pPr>
        <w:spacing w:after="0"/>
        <w:rPr>
          <w:sz w:val="20"/>
          <w:szCs w:val="20"/>
          <w:color w:val="auto"/>
        </w:rPr>
      </w:pPr>
      <w:r>
        <w:rPr>
          <w:rFonts w:ascii="Calibri" w:cs="Calibri" w:eastAsia="Calibri" w:hAnsi="Calibri"/>
          <w:sz w:val="17"/>
          <w:szCs w:val="17"/>
          <w:b w:val="1"/>
          <w:bCs w:val="1"/>
          <w:color w:val="444867"/>
        </w:rPr>
        <w:t>Stock Repurchase Program</w:t>
      </w:r>
    </w:p>
    <w:p>
      <w:pPr>
        <w:spacing w:after="0" w:line="143" w:lineRule="exact"/>
        <w:rPr>
          <w:sz w:val="20"/>
          <w:szCs w:val="20"/>
          <w:color w:val="auto"/>
        </w:rPr>
      </w:pPr>
    </w:p>
    <w:p>
      <w:pPr>
        <w:ind w:right="300"/>
        <w:spacing w:after="0" w:line="238" w:lineRule="auto"/>
        <w:rPr>
          <w:sz w:val="20"/>
          <w:szCs w:val="20"/>
          <w:color w:val="auto"/>
        </w:rPr>
      </w:pPr>
      <w:r>
        <w:rPr>
          <w:rFonts w:ascii="Calibri" w:cs="Calibri" w:eastAsia="Calibri" w:hAnsi="Calibri"/>
          <w:sz w:val="17"/>
          <w:szCs w:val="17"/>
          <w:color w:val="auto"/>
        </w:rPr>
        <w:t>The company's stock repurchase authorizaton permits purchases of AbbVie shares from tme to tme in open-market or private transactons at management's discreton. The program has no tme limit and can be discontnued at any tme. Shares repurchased under this program are recorded at acquisiton cost, including related expenses, and are available for general corporate purposes.</w:t>
      </w:r>
    </w:p>
    <w:p>
      <w:pPr>
        <w:spacing w:after="0" w:line="130" w:lineRule="exact"/>
        <w:rPr>
          <w:sz w:val="20"/>
          <w:szCs w:val="20"/>
          <w:color w:val="auto"/>
        </w:rPr>
      </w:pPr>
    </w:p>
    <w:p>
      <w:pPr>
        <w:ind w:right="100"/>
        <w:spacing w:after="0" w:line="238" w:lineRule="auto"/>
        <w:rPr>
          <w:sz w:val="20"/>
          <w:szCs w:val="20"/>
          <w:color w:val="auto"/>
        </w:rPr>
      </w:pPr>
      <w:r>
        <w:rPr>
          <w:rFonts w:ascii="Calibri" w:cs="Calibri" w:eastAsia="Calibri" w:hAnsi="Calibri"/>
          <w:sz w:val="17"/>
          <w:szCs w:val="17"/>
          <w:color w:val="auto"/>
        </w:rPr>
        <w:t>On February 16, 2023, AbbVie’s board of directors authorized a $5.0 billion increase to the existng stock repurchase authorizaton. AbbVie repurchased 5 million shares for $959 million during the nine months ended September 30, 2024 and 10 million shares for $1.6 billion during the nine months ended September 30, 2023. AbbVie's remaining stock repurchase authorizaton was approximately $3.9 billion as of September 30, 2024.</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Accumulated Other Comprehensive Loss</w:t>
      </w:r>
    </w:p>
    <w:p>
      <w:pPr>
        <w:spacing w:after="0" w:line="105" w:lineRule="exact"/>
        <w:rPr>
          <w:sz w:val="20"/>
          <w:szCs w:val="20"/>
          <w:color w:val="auto"/>
        </w:rPr>
      </w:pPr>
    </w:p>
    <w:p>
      <w:pPr>
        <w:ind w:right="340"/>
        <w:spacing w:after="0" w:line="237" w:lineRule="auto"/>
        <w:rPr>
          <w:sz w:val="20"/>
          <w:szCs w:val="20"/>
          <w:color w:val="auto"/>
        </w:rPr>
      </w:pPr>
      <w:r>
        <w:rPr>
          <w:rFonts w:ascii="Calibri" w:cs="Calibri" w:eastAsia="Calibri" w:hAnsi="Calibri"/>
          <w:sz w:val="17"/>
          <w:szCs w:val="17"/>
          <w:color w:val="auto"/>
        </w:rPr>
        <w:t>The following table summarizes the changes in each component of accumulated other comprehensive loss, net of tax, for the nine months ended September 30,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Calibri" w:cs="Calibri" w:eastAsia="Calibri" w:hAnsi="Calibri"/>
                <w:sz w:val="14"/>
                <w:szCs w:val="14"/>
                <w:b w:val="1"/>
                <w:bCs w:val="1"/>
                <w:color w:val="auto"/>
                <w:w w:val="95"/>
              </w:rPr>
              <w:t>Pension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1380" w:type="dxa"/>
            <w:vAlign w:val="bottom"/>
            <w:gridSpan w:val="2"/>
          </w:tcPr>
          <w:p>
            <w:pPr>
              <w:ind w:left="340"/>
              <w:spacing w:after="0" w:line="129" w:lineRule="exact"/>
              <w:rPr>
                <w:sz w:val="20"/>
                <w:szCs w:val="20"/>
                <w:color w:val="auto"/>
              </w:rPr>
            </w:pPr>
            <w:r>
              <w:rPr>
                <w:rFonts w:ascii="Calibri" w:cs="Calibri" w:eastAsia="Calibri" w:hAnsi="Calibri"/>
                <w:sz w:val="14"/>
                <w:szCs w:val="14"/>
                <w:b w:val="1"/>
                <w:bCs w:val="1"/>
                <w:color w:val="auto"/>
              </w:rPr>
              <w:t>Foreign currency</w:t>
            </w:r>
          </w:p>
        </w:tc>
        <w:tc>
          <w:tcPr>
            <w:tcW w:w="1120" w:type="dxa"/>
            <w:vAlign w:val="bottom"/>
            <w:gridSpan w:val="2"/>
          </w:tcPr>
          <w:p>
            <w:pPr>
              <w:jc w:val="center"/>
              <w:spacing w:after="0" w:line="129" w:lineRule="exact"/>
              <w:rPr>
                <w:sz w:val="20"/>
                <w:szCs w:val="20"/>
                <w:color w:val="auto"/>
              </w:rPr>
            </w:pPr>
            <w:r>
              <w:rPr>
                <w:rFonts w:ascii="Calibri" w:cs="Calibri" w:eastAsia="Calibri" w:hAnsi="Calibri"/>
                <w:sz w:val="14"/>
                <w:szCs w:val="14"/>
                <w:b w:val="1"/>
                <w:bCs w:val="1"/>
                <w:color w:val="auto"/>
                <w:w w:val="95"/>
              </w:rPr>
              <w:t>Net investment</w:t>
            </w:r>
          </w:p>
        </w:tc>
        <w:tc>
          <w:tcPr>
            <w:tcW w:w="180" w:type="dxa"/>
            <w:vAlign w:val="bottom"/>
          </w:tcPr>
          <w:p>
            <w:pPr>
              <w:spacing w:after="0"/>
              <w:rPr>
                <w:sz w:val="11"/>
                <w:szCs w:val="11"/>
                <w:color w:val="auto"/>
              </w:rPr>
            </w:pPr>
          </w:p>
        </w:tc>
        <w:tc>
          <w:tcPr>
            <w:tcW w:w="940" w:type="dxa"/>
            <w:vAlign w:val="bottom"/>
          </w:tcPr>
          <w:p>
            <w:pPr>
              <w:jc w:val="center"/>
              <w:ind w:right="82"/>
              <w:spacing w:after="0" w:line="129" w:lineRule="exact"/>
              <w:rPr>
                <w:sz w:val="20"/>
                <w:szCs w:val="20"/>
                <w:color w:val="auto"/>
              </w:rPr>
            </w:pPr>
            <w:r>
              <w:rPr>
                <w:rFonts w:ascii="Calibri" w:cs="Calibri" w:eastAsia="Calibri" w:hAnsi="Calibri"/>
                <w:sz w:val="14"/>
                <w:szCs w:val="14"/>
                <w:b w:val="1"/>
                <w:bCs w:val="1"/>
                <w:color w:val="auto"/>
                <w:w w:val="98"/>
              </w:rPr>
              <w:t>and post-</w:t>
            </w:r>
          </w:p>
        </w:tc>
        <w:tc>
          <w:tcPr>
            <w:tcW w:w="240" w:type="dxa"/>
            <w:vAlign w:val="bottom"/>
          </w:tcPr>
          <w:p>
            <w:pPr>
              <w:spacing w:after="0"/>
              <w:rPr>
                <w:sz w:val="11"/>
                <w:szCs w:val="11"/>
                <w:color w:val="auto"/>
              </w:rPr>
            </w:pPr>
          </w:p>
        </w:tc>
        <w:tc>
          <w:tcPr>
            <w:tcW w:w="900" w:type="dxa"/>
            <w:vAlign w:val="bottom"/>
          </w:tcPr>
          <w:p>
            <w:pPr>
              <w:jc w:val="center"/>
              <w:ind w:right="141"/>
              <w:spacing w:after="0" w:line="129" w:lineRule="exact"/>
              <w:rPr>
                <w:sz w:val="20"/>
                <w:szCs w:val="20"/>
                <w:color w:val="auto"/>
              </w:rPr>
            </w:pPr>
            <w:r>
              <w:rPr>
                <w:rFonts w:ascii="Calibri" w:cs="Calibri" w:eastAsia="Calibri" w:hAnsi="Calibri"/>
                <w:sz w:val="14"/>
                <w:szCs w:val="14"/>
                <w:b w:val="1"/>
                <w:bCs w:val="1"/>
                <w:color w:val="auto"/>
              </w:rPr>
              <w:t>Cash fow</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460" w:type="dxa"/>
            <w:vAlign w:val="bottom"/>
          </w:tcPr>
          <w:p>
            <w:pPr>
              <w:spacing w:after="0"/>
              <w:rPr>
                <w:sz w:val="12"/>
                <w:szCs w:val="12"/>
                <w:color w:val="auto"/>
              </w:rPr>
            </w:pPr>
          </w:p>
        </w:tc>
        <w:tc>
          <w:tcPr>
            <w:tcW w:w="920" w:type="dxa"/>
            <w:vAlign w:val="bottom"/>
          </w:tcPr>
          <w:p>
            <w:pPr>
              <w:jc w:val="right"/>
              <w:ind w:right="159"/>
              <w:spacing w:after="0" w:line="142" w:lineRule="exact"/>
              <w:rPr>
                <w:sz w:val="20"/>
                <w:szCs w:val="20"/>
                <w:color w:val="auto"/>
              </w:rPr>
            </w:pPr>
            <w:r>
              <w:rPr>
                <w:rFonts w:ascii="Calibri" w:cs="Calibri" w:eastAsia="Calibri" w:hAnsi="Calibri"/>
                <w:sz w:val="14"/>
                <w:szCs w:val="14"/>
                <w:b w:val="1"/>
                <w:bCs w:val="1"/>
                <w:color w:val="auto"/>
              </w:rPr>
              <w:t>translaton</w:t>
            </w:r>
          </w:p>
        </w:tc>
        <w:tc>
          <w:tcPr>
            <w:tcW w:w="240" w:type="dxa"/>
            <w:vAlign w:val="bottom"/>
          </w:tcPr>
          <w:p>
            <w:pPr>
              <w:spacing w:after="0"/>
              <w:rPr>
                <w:sz w:val="12"/>
                <w:szCs w:val="12"/>
                <w:color w:val="auto"/>
              </w:rPr>
            </w:pPr>
          </w:p>
        </w:tc>
        <w:tc>
          <w:tcPr>
            <w:tcW w:w="880" w:type="dxa"/>
            <w:vAlign w:val="bottom"/>
          </w:tcPr>
          <w:p>
            <w:pPr>
              <w:jc w:val="center"/>
              <w:ind w:right="139"/>
              <w:spacing w:after="0" w:line="142" w:lineRule="exact"/>
              <w:rPr>
                <w:sz w:val="20"/>
                <w:szCs w:val="20"/>
                <w:color w:val="auto"/>
              </w:rPr>
            </w:pPr>
            <w:r>
              <w:rPr>
                <w:rFonts w:ascii="Calibri" w:cs="Calibri" w:eastAsia="Calibri" w:hAnsi="Calibri"/>
                <w:sz w:val="14"/>
                <w:szCs w:val="14"/>
                <w:b w:val="1"/>
                <w:bCs w:val="1"/>
                <w:color w:val="auto"/>
                <w:w w:val="99"/>
              </w:rPr>
              <w:t>hedging</w:t>
            </w:r>
          </w:p>
        </w:tc>
        <w:tc>
          <w:tcPr>
            <w:tcW w:w="180" w:type="dxa"/>
            <w:vAlign w:val="bottom"/>
          </w:tcPr>
          <w:p>
            <w:pPr>
              <w:spacing w:after="0"/>
              <w:rPr>
                <w:sz w:val="12"/>
                <w:szCs w:val="12"/>
                <w:color w:val="auto"/>
              </w:rPr>
            </w:pPr>
          </w:p>
        </w:tc>
        <w:tc>
          <w:tcPr>
            <w:tcW w:w="940" w:type="dxa"/>
            <w:vAlign w:val="bottom"/>
          </w:tcPr>
          <w:p>
            <w:pPr>
              <w:jc w:val="center"/>
              <w:ind w:right="102"/>
              <w:spacing w:after="0" w:line="142" w:lineRule="exact"/>
              <w:rPr>
                <w:sz w:val="20"/>
                <w:szCs w:val="20"/>
                <w:color w:val="auto"/>
              </w:rPr>
            </w:pPr>
            <w:r>
              <w:rPr>
                <w:rFonts w:ascii="Calibri" w:cs="Calibri" w:eastAsia="Calibri" w:hAnsi="Calibri"/>
                <w:sz w:val="14"/>
                <w:szCs w:val="14"/>
                <w:b w:val="1"/>
                <w:bCs w:val="1"/>
                <w:color w:val="auto"/>
                <w:w w:val="96"/>
              </w:rPr>
              <w:t>employment</w:t>
            </w:r>
          </w:p>
        </w:tc>
        <w:tc>
          <w:tcPr>
            <w:tcW w:w="240" w:type="dxa"/>
            <w:vAlign w:val="bottom"/>
          </w:tcPr>
          <w:p>
            <w:pPr>
              <w:spacing w:after="0"/>
              <w:rPr>
                <w:sz w:val="12"/>
                <w:szCs w:val="12"/>
                <w:color w:val="auto"/>
              </w:rPr>
            </w:pPr>
          </w:p>
        </w:tc>
        <w:tc>
          <w:tcPr>
            <w:tcW w:w="900" w:type="dxa"/>
            <w:vAlign w:val="bottom"/>
          </w:tcPr>
          <w:p>
            <w:pPr>
              <w:jc w:val="center"/>
              <w:ind w:right="181"/>
              <w:spacing w:after="0" w:line="142" w:lineRule="exact"/>
              <w:rPr>
                <w:sz w:val="20"/>
                <w:szCs w:val="20"/>
                <w:color w:val="auto"/>
              </w:rPr>
            </w:pPr>
            <w:r>
              <w:rPr>
                <w:rFonts w:ascii="Calibri" w:cs="Calibri" w:eastAsia="Calibri" w:hAnsi="Calibri"/>
                <w:sz w:val="14"/>
                <w:szCs w:val="14"/>
                <w:b w:val="1"/>
                <w:bCs w:val="1"/>
                <w:color w:val="auto"/>
                <w:w w:val="94"/>
              </w:rPr>
              <w:t>hedging</w:t>
            </w:r>
          </w:p>
        </w:tc>
        <w:tc>
          <w:tcPr>
            <w:tcW w:w="280" w:type="dxa"/>
            <w:vAlign w:val="bottom"/>
          </w:tcPr>
          <w:p>
            <w:pPr>
              <w:spacing w:after="0"/>
              <w:rPr>
                <w:sz w:val="12"/>
                <w:szCs w:val="12"/>
                <w:color w:val="auto"/>
              </w:rPr>
            </w:pPr>
          </w:p>
        </w:tc>
        <w:tc>
          <w:tcPr>
            <w:tcW w:w="780" w:type="dxa"/>
            <w:vAlign w:val="bottom"/>
            <w:vMerge w:val="restart"/>
          </w:tcPr>
          <w:p>
            <w:pPr>
              <w:jc w:val="right"/>
              <w:ind w:right="277"/>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4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ind w:right="119"/>
              <w:spacing w:after="0" w:line="164" w:lineRule="exact"/>
              <w:rPr>
                <w:sz w:val="20"/>
                <w:szCs w:val="20"/>
                <w:color w:val="auto"/>
              </w:rPr>
            </w:pPr>
            <w:r>
              <w:rPr>
                <w:rFonts w:ascii="Calibri" w:cs="Calibri" w:eastAsia="Calibri" w:hAnsi="Calibri"/>
                <w:sz w:val="14"/>
                <w:szCs w:val="14"/>
                <w:b w:val="1"/>
                <w:bCs w:val="1"/>
                <w:color w:val="auto"/>
                <w:w w:val="96"/>
              </w:rPr>
              <w:t>adjustments</w:t>
            </w:r>
          </w:p>
        </w:tc>
        <w:tc>
          <w:tcPr>
            <w:tcW w:w="240" w:type="dxa"/>
            <w:vAlign w:val="bottom"/>
          </w:tcPr>
          <w:p>
            <w:pPr>
              <w:spacing w:after="0"/>
              <w:rPr>
                <w:sz w:val="14"/>
                <w:szCs w:val="14"/>
                <w:color w:val="auto"/>
              </w:rPr>
            </w:pPr>
          </w:p>
        </w:tc>
        <w:tc>
          <w:tcPr>
            <w:tcW w:w="880" w:type="dxa"/>
            <w:vAlign w:val="bottom"/>
          </w:tcPr>
          <w:p>
            <w:pPr>
              <w:jc w:val="center"/>
              <w:ind w:right="139"/>
              <w:spacing w:after="0" w:line="164" w:lineRule="exact"/>
              <w:rPr>
                <w:sz w:val="20"/>
                <w:szCs w:val="20"/>
                <w:color w:val="auto"/>
              </w:rPr>
            </w:pPr>
            <w:r>
              <w:rPr>
                <w:rFonts w:ascii="Calibri" w:cs="Calibri" w:eastAsia="Calibri" w:hAnsi="Calibri"/>
                <w:sz w:val="14"/>
                <w:szCs w:val="14"/>
                <w:b w:val="1"/>
                <w:bCs w:val="1"/>
                <w:color w:val="auto"/>
              </w:rPr>
              <w:t>actvites</w:t>
            </w:r>
          </w:p>
        </w:tc>
        <w:tc>
          <w:tcPr>
            <w:tcW w:w="180" w:type="dxa"/>
            <w:vAlign w:val="bottom"/>
          </w:tcPr>
          <w:p>
            <w:pPr>
              <w:spacing w:after="0"/>
              <w:rPr>
                <w:sz w:val="14"/>
                <w:szCs w:val="14"/>
                <w:color w:val="auto"/>
              </w:rPr>
            </w:pPr>
          </w:p>
        </w:tc>
        <w:tc>
          <w:tcPr>
            <w:tcW w:w="940" w:type="dxa"/>
            <w:vAlign w:val="bottom"/>
          </w:tcPr>
          <w:p>
            <w:pPr>
              <w:jc w:val="center"/>
              <w:ind w:right="82"/>
              <w:spacing w:after="0" w:line="164" w:lineRule="exact"/>
              <w:rPr>
                <w:sz w:val="20"/>
                <w:szCs w:val="20"/>
                <w:color w:val="auto"/>
              </w:rPr>
            </w:pPr>
            <w:r>
              <w:rPr>
                <w:rFonts w:ascii="Calibri" w:cs="Calibri" w:eastAsia="Calibri" w:hAnsi="Calibri"/>
                <w:sz w:val="14"/>
                <w:szCs w:val="14"/>
                <w:b w:val="1"/>
                <w:bCs w:val="1"/>
                <w:color w:val="auto"/>
              </w:rPr>
              <w:t>benefts</w:t>
            </w:r>
          </w:p>
        </w:tc>
        <w:tc>
          <w:tcPr>
            <w:tcW w:w="240" w:type="dxa"/>
            <w:vAlign w:val="bottom"/>
          </w:tcPr>
          <w:p>
            <w:pPr>
              <w:spacing w:after="0"/>
              <w:rPr>
                <w:sz w:val="14"/>
                <w:szCs w:val="14"/>
                <w:color w:val="auto"/>
              </w:rPr>
            </w:pPr>
          </w:p>
        </w:tc>
        <w:tc>
          <w:tcPr>
            <w:tcW w:w="900" w:type="dxa"/>
            <w:vAlign w:val="bottom"/>
          </w:tcPr>
          <w:p>
            <w:pPr>
              <w:jc w:val="center"/>
              <w:ind w:right="161"/>
              <w:spacing w:after="0" w:line="164" w:lineRule="exact"/>
              <w:rPr>
                <w:sz w:val="20"/>
                <w:szCs w:val="20"/>
                <w:color w:val="auto"/>
              </w:rPr>
            </w:pPr>
            <w:r>
              <w:rPr>
                <w:rFonts w:ascii="Calibri" w:cs="Calibri" w:eastAsia="Calibri" w:hAnsi="Calibri"/>
                <w:sz w:val="14"/>
                <w:szCs w:val="14"/>
                <w:b w:val="1"/>
                <w:bCs w:val="1"/>
                <w:color w:val="auto"/>
              </w:rPr>
              <w:t>actvites</w:t>
            </w: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5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54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Balance as of December 31, 2023</w:t>
            </w:r>
          </w:p>
        </w:tc>
        <w:tc>
          <w:tcPr>
            <w:tcW w:w="460" w:type="dxa"/>
            <w:vAlign w:val="bottom"/>
            <w:tcBorders>
              <w:bottom w:val="single" w:sz="8" w:color="auto"/>
            </w:tcBorders>
            <w:shd w:val="clear" w:color="auto" w:fill="CCEEFF"/>
          </w:tcPr>
          <w:p>
            <w:pPr>
              <w:ind w:left="340"/>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(1,106)</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shd w:val="clear" w:color="auto" w:fill="CCEEFF"/>
          </w:tcPr>
          <w:p>
            <w:pPr>
              <w:jc w:val="center"/>
              <w:ind w:left="419"/>
              <w:spacing w:after="0" w:line="205" w:lineRule="exact"/>
              <w:rPr>
                <w:sz w:val="20"/>
                <w:szCs w:val="20"/>
                <w:color w:val="auto"/>
              </w:rPr>
            </w:pPr>
            <w:r>
              <w:rPr>
                <w:rFonts w:ascii="Calibri" w:cs="Calibri" w:eastAsia="Calibri" w:hAnsi="Calibri"/>
                <w:sz w:val="17"/>
                <w:szCs w:val="17"/>
                <w:color w:val="auto"/>
              </w:rPr>
              <w:t>65</w:t>
            </w: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(1,488)</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00" w:type="dxa"/>
            <w:vAlign w:val="bottom"/>
            <w:tcBorders>
              <w:bottom w:val="single" w:sz="8" w:color="auto"/>
            </w:tcBorders>
            <w:shd w:val="clear" w:color="auto" w:fill="CCEEFF"/>
          </w:tcPr>
          <w:p>
            <w:pPr>
              <w:jc w:val="right"/>
              <w:ind w:right="41"/>
              <w:spacing w:after="0" w:line="205" w:lineRule="exact"/>
              <w:rPr>
                <w:sz w:val="20"/>
                <w:szCs w:val="20"/>
                <w:color w:val="auto"/>
              </w:rPr>
            </w:pPr>
            <w:r>
              <w:rPr>
                <w:rFonts w:ascii="Calibri" w:cs="Calibri" w:eastAsia="Calibri" w:hAnsi="Calibri"/>
                <w:sz w:val="17"/>
                <w:szCs w:val="17"/>
                <w:color w:val="auto"/>
              </w:rPr>
              <w:t>224</w:t>
            </w:r>
          </w:p>
        </w:tc>
        <w:tc>
          <w:tcPr>
            <w:tcW w:w="280" w:type="dxa"/>
            <w:vAlign w:val="bottom"/>
            <w:tcBorders>
              <w:bottom w:val="single" w:sz="8" w:color="auto"/>
            </w:tcBorders>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(2,305)</w:t>
            </w: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line="205" w:lineRule="exact"/>
              <w:rPr>
                <w:sz w:val="20"/>
                <w:szCs w:val="20"/>
                <w:color w:val="auto"/>
              </w:rPr>
            </w:pPr>
            <w:r>
              <w:rPr>
                <w:rFonts w:ascii="Calibri" w:cs="Calibri" w:eastAsia="Calibri" w:hAnsi="Calibri"/>
                <w:sz w:val="17"/>
                <w:szCs w:val="17"/>
                <w:color w:val="auto"/>
              </w:rPr>
              <w:t>Other comprehensive income (loss) before reclassifcatons</w:t>
            </w:r>
          </w:p>
        </w:tc>
        <w:tc>
          <w:tcPr>
            <w:tcW w:w="460" w:type="dxa"/>
            <w:vAlign w:val="bottom"/>
          </w:tcPr>
          <w:p>
            <w:pPr>
              <w:spacing w:after="0"/>
              <w:rPr>
                <w:sz w:val="18"/>
                <w:szCs w:val="18"/>
                <w:color w:val="auto"/>
              </w:rPr>
            </w:pPr>
          </w:p>
        </w:tc>
        <w:tc>
          <w:tcPr>
            <w:tcW w:w="92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21</w:t>
            </w:r>
          </w:p>
        </w:tc>
        <w:tc>
          <w:tcPr>
            <w:tcW w:w="240" w:type="dxa"/>
            <w:vAlign w:val="bottom"/>
          </w:tcPr>
          <w:p>
            <w:pPr>
              <w:spacing w:after="0"/>
              <w:rPr>
                <w:sz w:val="18"/>
                <w:szCs w:val="18"/>
                <w:color w:val="auto"/>
              </w:rPr>
            </w:pPr>
          </w:p>
        </w:tc>
        <w:tc>
          <w:tcPr>
            <w:tcW w:w="880" w:type="dxa"/>
            <w:vAlign w:val="bottom"/>
          </w:tcPr>
          <w:p>
            <w:pPr>
              <w:jc w:val="center"/>
              <w:ind w:left="419"/>
              <w:spacing w:after="0" w:line="205" w:lineRule="exact"/>
              <w:rPr>
                <w:sz w:val="20"/>
                <w:szCs w:val="20"/>
                <w:color w:val="auto"/>
              </w:rPr>
            </w:pPr>
            <w:r>
              <w:rPr>
                <w:rFonts w:ascii="Calibri" w:cs="Calibri" w:eastAsia="Calibri" w:hAnsi="Calibri"/>
                <w:sz w:val="17"/>
                <w:szCs w:val="17"/>
                <w:color w:val="auto"/>
              </w:rPr>
              <w:t>31</w:t>
            </w:r>
          </w:p>
        </w:tc>
        <w:tc>
          <w:tcPr>
            <w:tcW w:w="18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(4)</w:t>
            </w:r>
          </w:p>
        </w:tc>
        <w:tc>
          <w:tcPr>
            <w:tcW w:w="240" w:type="dxa"/>
            <w:vAlign w:val="bottom"/>
          </w:tcPr>
          <w:p>
            <w:pPr>
              <w:spacing w:after="0"/>
              <w:rPr>
                <w:sz w:val="18"/>
                <w:szCs w:val="18"/>
                <w:color w:val="auto"/>
              </w:rPr>
            </w:pPr>
          </w:p>
        </w:tc>
        <w:tc>
          <w:tcPr>
            <w:tcW w:w="900" w:type="dxa"/>
            <w:vAlign w:val="bottom"/>
          </w:tcPr>
          <w:p>
            <w:pPr>
              <w:jc w:val="right"/>
              <w:ind w:right="41"/>
              <w:spacing w:after="0" w:line="205" w:lineRule="exact"/>
              <w:rPr>
                <w:sz w:val="20"/>
                <w:szCs w:val="20"/>
                <w:color w:val="auto"/>
              </w:rPr>
            </w:pPr>
            <w:r>
              <w:rPr>
                <w:rFonts w:ascii="Calibri" w:cs="Calibri" w:eastAsia="Calibri" w:hAnsi="Calibri"/>
                <w:sz w:val="17"/>
                <w:szCs w:val="17"/>
                <w:color w:val="auto"/>
              </w:rPr>
              <w:t>20</w:t>
            </w:r>
          </w:p>
        </w:tc>
        <w:tc>
          <w:tcPr>
            <w:tcW w:w="280" w:type="dxa"/>
            <w:vAlign w:val="bottom"/>
          </w:tcPr>
          <w:p>
            <w:pPr>
              <w:spacing w:after="0"/>
              <w:rPr>
                <w:sz w:val="18"/>
                <w:szCs w:val="18"/>
                <w:color w:val="auto"/>
              </w:rPr>
            </w:pPr>
          </w:p>
        </w:tc>
        <w:tc>
          <w:tcPr>
            <w:tcW w:w="780" w:type="dxa"/>
            <w:vAlign w:val="bottom"/>
          </w:tcPr>
          <w:p>
            <w:pPr>
              <w:jc w:val="right"/>
              <w:spacing w:after="0" w:line="205" w:lineRule="exact"/>
              <w:rPr>
                <w:sz w:val="20"/>
                <w:szCs w:val="20"/>
                <w:color w:val="auto"/>
              </w:rPr>
            </w:pPr>
            <w:r>
              <w:rPr>
                <w:rFonts w:ascii="Calibri" w:cs="Calibri" w:eastAsia="Calibri" w:hAnsi="Calibri"/>
                <w:sz w:val="17"/>
                <w:szCs w:val="17"/>
                <w:color w:val="auto"/>
              </w:rPr>
              <w:t>68</w:t>
            </w:r>
          </w:p>
        </w:tc>
        <w:tc>
          <w:tcPr>
            <w:tcW w:w="0" w:type="dxa"/>
            <w:vAlign w:val="bottom"/>
          </w:tcPr>
          <w:p>
            <w:pPr>
              <w:spacing w:after="0"/>
              <w:rPr>
                <w:sz w:val="1"/>
                <w:szCs w:val="1"/>
                <w:color w:val="auto"/>
              </w:rPr>
            </w:pPr>
          </w:p>
        </w:tc>
      </w:tr>
      <w:tr>
        <w:trPr>
          <w:trHeight w:val="219"/>
        </w:trPr>
        <w:tc>
          <w:tcPr>
            <w:tcW w:w="54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Net losses (gains) reclassifed from accumulated other comprehensive loss</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99"/>
              <w:spacing w:after="0"/>
              <w:rPr>
                <w:sz w:val="20"/>
                <w:szCs w:val="20"/>
                <w:color w:val="auto"/>
              </w:rPr>
            </w:pPr>
            <w:r>
              <w:rPr>
                <w:rFonts w:ascii="Calibri" w:cs="Calibri" w:eastAsia="Calibri" w:hAnsi="Calibri"/>
                <w:sz w:val="17"/>
                <w:szCs w:val="17"/>
                <w:color w:val="auto"/>
              </w:rPr>
              <w:t>(70)</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Calibri" w:cs="Calibri" w:eastAsia="Calibri" w:hAnsi="Calibri"/>
                <w:sz w:val="17"/>
                <w:szCs w:val="17"/>
                <w:color w:val="auto"/>
              </w:rPr>
              <w:t>19</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Calibri" w:cs="Calibri" w:eastAsia="Calibri" w:hAnsi="Calibri"/>
                <w:sz w:val="17"/>
                <w:szCs w:val="17"/>
                <w:color w:val="auto"/>
              </w:rPr>
              <w:t>(46)</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(97)</w:t>
            </w:r>
          </w:p>
        </w:tc>
        <w:tc>
          <w:tcPr>
            <w:tcW w:w="0" w:type="dxa"/>
            <w:vAlign w:val="bottom"/>
          </w:tcPr>
          <w:p>
            <w:pPr>
              <w:spacing w:after="0"/>
              <w:rPr>
                <w:sz w:val="1"/>
                <w:szCs w:val="1"/>
                <w:color w:val="auto"/>
              </w:rPr>
            </w:pPr>
          </w:p>
        </w:tc>
      </w:tr>
      <w:tr>
        <w:trPr>
          <w:trHeight w:val="212"/>
        </w:trPr>
        <w:tc>
          <w:tcPr>
            <w:tcW w:w="54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Net current-period other comprehensive income (loss)</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line="205" w:lineRule="exact"/>
              <w:rPr>
                <w:sz w:val="20"/>
                <w:szCs w:val="20"/>
                <w:color w:val="auto"/>
              </w:rPr>
            </w:pPr>
            <w:r>
              <w:rPr>
                <w:rFonts w:ascii="Calibri" w:cs="Calibri" w:eastAsia="Calibri" w:hAnsi="Calibri"/>
                <w:sz w:val="17"/>
                <w:szCs w:val="17"/>
                <w:color w:val="auto"/>
              </w:rPr>
              <w:t>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399"/>
              <w:spacing w:after="0" w:line="205" w:lineRule="exact"/>
              <w:rPr>
                <w:sz w:val="20"/>
                <w:szCs w:val="20"/>
                <w:color w:val="auto"/>
              </w:rPr>
            </w:pPr>
            <w:r>
              <w:rPr>
                <w:rFonts w:ascii="Calibri" w:cs="Calibri" w:eastAsia="Calibri" w:hAnsi="Calibri"/>
                <w:sz w:val="17"/>
                <w:szCs w:val="17"/>
                <w:color w:val="auto"/>
              </w:rPr>
              <w:t>(39)</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
              <w:spacing w:after="0" w:line="205" w:lineRule="exact"/>
              <w:rPr>
                <w:sz w:val="20"/>
                <w:szCs w:val="20"/>
                <w:color w:val="auto"/>
              </w:rPr>
            </w:pPr>
            <w:r>
              <w:rPr>
                <w:rFonts w:ascii="Calibri" w:cs="Calibri" w:eastAsia="Calibri" w:hAnsi="Calibri"/>
                <w:sz w:val="17"/>
                <w:szCs w:val="17"/>
                <w:color w:val="auto"/>
              </w:rPr>
              <w:t>15</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line="205" w:lineRule="exact"/>
              <w:rPr>
                <w:sz w:val="20"/>
                <w:szCs w:val="20"/>
                <w:color w:val="auto"/>
              </w:rPr>
            </w:pPr>
            <w:r>
              <w:rPr>
                <w:rFonts w:ascii="Calibri" w:cs="Calibri" w:eastAsia="Calibri" w:hAnsi="Calibri"/>
                <w:sz w:val="17"/>
                <w:szCs w:val="17"/>
                <w:color w:val="auto"/>
              </w:rPr>
              <w:t>(26)</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(29)</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Balance as of September 30, 2024</w:t>
            </w:r>
          </w:p>
        </w:tc>
        <w:tc>
          <w:tcPr>
            <w:tcW w:w="460" w:type="dxa"/>
            <w:vAlign w:val="bottom"/>
            <w:tcBorders>
              <w:bottom w:val="single" w:sz="8" w:color="auto"/>
            </w:tcBorders>
            <w:shd w:val="clear" w:color="auto" w:fill="CCEEFF"/>
          </w:tcPr>
          <w:p>
            <w:pPr>
              <w:ind w:left="340"/>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(1,085)</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shd w:val="clear" w:color="auto" w:fill="CCEEFF"/>
          </w:tcPr>
          <w:p>
            <w:pPr>
              <w:jc w:val="center"/>
              <w:ind w:left="419"/>
              <w:spacing w:after="0" w:line="205" w:lineRule="exact"/>
              <w:rPr>
                <w:sz w:val="20"/>
                <w:szCs w:val="20"/>
                <w:color w:val="auto"/>
              </w:rPr>
            </w:pPr>
            <w:r>
              <w:rPr>
                <w:rFonts w:ascii="Calibri" w:cs="Calibri" w:eastAsia="Calibri" w:hAnsi="Calibri"/>
                <w:sz w:val="17"/>
                <w:szCs w:val="17"/>
                <w:color w:val="auto"/>
              </w:rPr>
              <w:t>26</w:t>
            </w: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(1,473)</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00" w:type="dxa"/>
            <w:vAlign w:val="bottom"/>
            <w:tcBorders>
              <w:bottom w:val="single" w:sz="8" w:color="auto"/>
            </w:tcBorders>
            <w:shd w:val="clear" w:color="auto" w:fill="CCEEFF"/>
          </w:tcPr>
          <w:p>
            <w:pPr>
              <w:jc w:val="right"/>
              <w:ind w:right="41"/>
              <w:spacing w:after="0" w:line="205" w:lineRule="exact"/>
              <w:rPr>
                <w:sz w:val="20"/>
                <w:szCs w:val="20"/>
                <w:color w:val="auto"/>
              </w:rPr>
            </w:pPr>
            <w:r>
              <w:rPr>
                <w:rFonts w:ascii="Calibri" w:cs="Calibri" w:eastAsia="Calibri" w:hAnsi="Calibri"/>
                <w:sz w:val="17"/>
                <w:szCs w:val="17"/>
                <w:color w:val="auto"/>
              </w:rPr>
              <w:t>198</w:t>
            </w:r>
          </w:p>
        </w:tc>
        <w:tc>
          <w:tcPr>
            <w:tcW w:w="280" w:type="dxa"/>
            <w:vAlign w:val="bottom"/>
            <w:tcBorders>
              <w:bottom w:val="single" w:sz="8" w:color="auto"/>
            </w:tcBorders>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(2,334)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37" w:lineRule="auto"/>
        <w:rPr>
          <w:sz w:val="20"/>
          <w:szCs w:val="20"/>
          <w:color w:val="auto"/>
        </w:rPr>
      </w:pPr>
      <w:r>
        <w:rPr>
          <w:rFonts w:ascii="Calibri" w:cs="Calibri" w:eastAsia="Calibri" w:hAnsi="Calibri"/>
          <w:sz w:val="17"/>
          <w:szCs w:val="17"/>
          <w:color w:val="auto"/>
        </w:rPr>
        <w:t>The following table summarizes the changes in each component of accumulated other comprehensive loss, net of tax, for the nine months ended September 30,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Calibri" w:cs="Calibri" w:eastAsia="Calibri" w:hAnsi="Calibri"/>
                <w:sz w:val="14"/>
                <w:szCs w:val="14"/>
                <w:b w:val="1"/>
                <w:bCs w:val="1"/>
                <w:color w:val="auto"/>
                <w:w w:val="95"/>
              </w:rPr>
              <w:t>Pension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660" w:type="dxa"/>
            <w:vAlign w:val="bottom"/>
            <w:gridSpan w:val="2"/>
          </w:tcPr>
          <w:p>
            <w:pPr>
              <w:ind w:left="620"/>
              <w:spacing w:after="0" w:line="142" w:lineRule="exact"/>
              <w:rPr>
                <w:sz w:val="20"/>
                <w:szCs w:val="20"/>
                <w:color w:val="auto"/>
              </w:rPr>
            </w:pPr>
            <w:r>
              <w:rPr>
                <w:rFonts w:ascii="Calibri" w:cs="Calibri" w:eastAsia="Calibri" w:hAnsi="Calibri"/>
                <w:sz w:val="14"/>
                <w:szCs w:val="14"/>
                <w:b w:val="1"/>
                <w:bCs w:val="1"/>
                <w:color w:val="auto"/>
              </w:rPr>
              <w:t>Foreign currency</w:t>
            </w:r>
          </w:p>
        </w:tc>
        <w:tc>
          <w:tcPr>
            <w:tcW w:w="1120" w:type="dxa"/>
            <w:vAlign w:val="bottom"/>
            <w:gridSpan w:val="2"/>
          </w:tcPr>
          <w:p>
            <w:pPr>
              <w:jc w:val="center"/>
              <w:spacing w:after="0" w:line="142" w:lineRule="exact"/>
              <w:rPr>
                <w:sz w:val="20"/>
                <w:szCs w:val="20"/>
                <w:color w:val="auto"/>
              </w:rPr>
            </w:pPr>
            <w:r>
              <w:rPr>
                <w:rFonts w:ascii="Calibri" w:cs="Calibri" w:eastAsia="Calibri" w:hAnsi="Calibri"/>
                <w:sz w:val="14"/>
                <w:szCs w:val="14"/>
                <w:b w:val="1"/>
                <w:bCs w:val="1"/>
                <w:color w:val="auto"/>
                <w:w w:val="95"/>
              </w:rPr>
              <w:t>Net investment</w:t>
            </w:r>
          </w:p>
        </w:tc>
        <w:tc>
          <w:tcPr>
            <w:tcW w:w="180" w:type="dxa"/>
            <w:vAlign w:val="bottom"/>
          </w:tcPr>
          <w:p>
            <w:pPr>
              <w:spacing w:after="0"/>
              <w:rPr>
                <w:sz w:val="12"/>
                <w:szCs w:val="12"/>
                <w:color w:val="auto"/>
              </w:rPr>
            </w:pPr>
          </w:p>
        </w:tc>
        <w:tc>
          <w:tcPr>
            <w:tcW w:w="940" w:type="dxa"/>
            <w:vAlign w:val="bottom"/>
          </w:tcPr>
          <w:p>
            <w:pPr>
              <w:jc w:val="center"/>
              <w:ind w:right="82"/>
              <w:spacing w:after="0" w:line="142" w:lineRule="exact"/>
              <w:rPr>
                <w:sz w:val="20"/>
                <w:szCs w:val="20"/>
                <w:color w:val="auto"/>
              </w:rPr>
            </w:pPr>
            <w:r>
              <w:rPr>
                <w:rFonts w:ascii="Calibri" w:cs="Calibri" w:eastAsia="Calibri" w:hAnsi="Calibri"/>
                <w:sz w:val="14"/>
                <w:szCs w:val="14"/>
                <w:b w:val="1"/>
                <w:bCs w:val="1"/>
                <w:color w:val="auto"/>
                <w:w w:val="98"/>
              </w:rPr>
              <w:t>and post-</w:t>
            </w:r>
          </w:p>
        </w:tc>
        <w:tc>
          <w:tcPr>
            <w:tcW w:w="240" w:type="dxa"/>
            <w:vAlign w:val="bottom"/>
          </w:tcPr>
          <w:p>
            <w:pPr>
              <w:spacing w:after="0"/>
              <w:rPr>
                <w:sz w:val="12"/>
                <w:szCs w:val="12"/>
                <w:color w:val="auto"/>
              </w:rPr>
            </w:pPr>
          </w:p>
        </w:tc>
        <w:tc>
          <w:tcPr>
            <w:tcW w:w="900" w:type="dxa"/>
            <w:vAlign w:val="bottom"/>
          </w:tcPr>
          <w:p>
            <w:pPr>
              <w:jc w:val="center"/>
              <w:ind w:right="141"/>
              <w:spacing w:after="0" w:line="142" w:lineRule="exact"/>
              <w:rPr>
                <w:sz w:val="20"/>
                <w:szCs w:val="20"/>
                <w:color w:val="auto"/>
              </w:rPr>
            </w:pPr>
            <w:r>
              <w:rPr>
                <w:rFonts w:ascii="Calibri" w:cs="Calibri" w:eastAsia="Calibri" w:hAnsi="Calibri"/>
                <w:sz w:val="14"/>
                <w:szCs w:val="14"/>
                <w:b w:val="1"/>
                <w:bCs w:val="1"/>
                <w:color w:val="auto"/>
              </w:rPr>
              <w:t>Cash fow</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9"/>
        </w:trPr>
        <w:tc>
          <w:tcPr>
            <w:tcW w:w="5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jc w:val="right"/>
              <w:ind w:right="159"/>
              <w:spacing w:after="0" w:line="129" w:lineRule="exact"/>
              <w:rPr>
                <w:sz w:val="20"/>
                <w:szCs w:val="20"/>
                <w:color w:val="auto"/>
              </w:rPr>
            </w:pPr>
            <w:r>
              <w:rPr>
                <w:rFonts w:ascii="Calibri" w:cs="Calibri" w:eastAsia="Calibri" w:hAnsi="Calibri"/>
                <w:sz w:val="14"/>
                <w:szCs w:val="14"/>
                <w:b w:val="1"/>
                <w:bCs w:val="1"/>
                <w:color w:val="auto"/>
              </w:rPr>
              <w:t>translaton</w:t>
            </w:r>
          </w:p>
        </w:tc>
        <w:tc>
          <w:tcPr>
            <w:tcW w:w="240" w:type="dxa"/>
            <w:vAlign w:val="bottom"/>
          </w:tcPr>
          <w:p>
            <w:pPr>
              <w:spacing w:after="0"/>
              <w:rPr>
                <w:sz w:val="11"/>
                <w:szCs w:val="11"/>
                <w:color w:val="auto"/>
              </w:rPr>
            </w:pPr>
          </w:p>
        </w:tc>
        <w:tc>
          <w:tcPr>
            <w:tcW w:w="880" w:type="dxa"/>
            <w:vAlign w:val="bottom"/>
          </w:tcPr>
          <w:p>
            <w:pPr>
              <w:jc w:val="center"/>
              <w:ind w:right="139"/>
              <w:spacing w:after="0" w:line="129" w:lineRule="exact"/>
              <w:rPr>
                <w:sz w:val="20"/>
                <w:szCs w:val="20"/>
                <w:color w:val="auto"/>
              </w:rPr>
            </w:pPr>
            <w:r>
              <w:rPr>
                <w:rFonts w:ascii="Calibri" w:cs="Calibri" w:eastAsia="Calibri" w:hAnsi="Calibri"/>
                <w:sz w:val="14"/>
                <w:szCs w:val="14"/>
                <w:b w:val="1"/>
                <w:bCs w:val="1"/>
                <w:color w:val="auto"/>
                <w:w w:val="99"/>
              </w:rPr>
              <w:t>hedging</w:t>
            </w:r>
          </w:p>
        </w:tc>
        <w:tc>
          <w:tcPr>
            <w:tcW w:w="180" w:type="dxa"/>
            <w:vAlign w:val="bottom"/>
          </w:tcPr>
          <w:p>
            <w:pPr>
              <w:spacing w:after="0"/>
              <w:rPr>
                <w:sz w:val="11"/>
                <w:szCs w:val="11"/>
                <w:color w:val="auto"/>
              </w:rPr>
            </w:pPr>
          </w:p>
        </w:tc>
        <w:tc>
          <w:tcPr>
            <w:tcW w:w="940" w:type="dxa"/>
            <w:vAlign w:val="bottom"/>
          </w:tcPr>
          <w:p>
            <w:pPr>
              <w:jc w:val="center"/>
              <w:ind w:right="102"/>
              <w:spacing w:after="0" w:line="129" w:lineRule="exact"/>
              <w:rPr>
                <w:sz w:val="20"/>
                <w:szCs w:val="20"/>
                <w:color w:val="auto"/>
              </w:rPr>
            </w:pPr>
            <w:r>
              <w:rPr>
                <w:rFonts w:ascii="Calibri" w:cs="Calibri" w:eastAsia="Calibri" w:hAnsi="Calibri"/>
                <w:sz w:val="14"/>
                <w:szCs w:val="14"/>
                <w:b w:val="1"/>
                <w:bCs w:val="1"/>
                <w:color w:val="auto"/>
                <w:w w:val="96"/>
              </w:rPr>
              <w:t>employment</w:t>
            </w:r>
          </w:p>
        </w:tc>
        <w:tc>
          <w:tcPr>
            <w:tcW w:w="240" w:type="dxa"/>
            <w:vAlign w:val="bottom"/>
          </w:tcPr>
          <w:p>
            <w:pPr>
              <w:spacing w:after="0"/>
              <w:rPr>
                <w:sz w:val="11"/>
                <w:szCs w:val="11"/>
                <w:color w:val="auto"/>
              </w:rPr>
            </w:pPr>
          </w:p>
        </w:tc>
        <w:tc>
          <w:tcPr>
            <w:tcW w:w="900" w:type="dxa"/>
            <w:vAlign w:val="bottom"/>
          </w:tcPr>
          <w:p>
            <w:pPr>
              <w:jc w:val="center"/>
              <w:ind w:right="181"/>
              <w:spacing w:after="0" w:line="129" w:lineRule="exact"/>
              <w:rPr>
                <w:sz w:val="20"/>
                <w:szCs w:val="20"/>
                <w:color w:val="auto"/>
              </w:rPr>
            </w:pPr>
            <w:r>
              <w:rPr>
                <w:rFonts w:ascii="Calibri" w:cs="Calibri" w:eastAsia="Calibri" w:hAnsi="Calibri"/>
                <w:sz w:val="14"/>
                <w:szCs w:val="14"/>
                <w:b w:val="1"/>
                <w:bCs w:val="1"/>
                <w:color w:val="auto"/>
                <w:w w:val="94"/>
              </w:rPr>
              <w:t>hedging</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6"/>
        </w:trPr>
        <w:tc>
          <w:tcPr>
            <w:tcW w:w="51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740" w:type="dxa"/>
            <w:vAlign w:val="bottom"/>
          </w:tcPr>
          <w:p>
            <w:pPr>
              <w:spacing w:after="0"/>
              <w:rPr>
                <w:sz w:val="15"/>
                <w:szCs w:val="15"/>
                <w:color w:val="auto"/>
              </w:rPr>
            </w:pPr>
          </w:p>
        </w:tc>
        <w:tc>
          <w:tcPr>
            <w:tcW w:w="920" w:type="dxa"/>
            <w:vAlign w:val="bottom"/>
          </w:tcPr>
          <w:p>
            <w:pPr>
              <w:jc w:val="right"/>
              <w:ind w:right="119"/>
              <w:spacing w:after="0"/>
              <w:rPr>
                <w:sz w:val="20"/>
                <w:szCs w:val="20"/>
                <w:color w:val="auto"/>
              </w:rPr>
            </w:pPr>
            <w:r>
              <w:rPr>
                <w:rFonts w:ascii="Calibri" w:cs="Calibri" w:eastAsia="Calibri" w:hAnsi="Calibri"/>
                <w:sz w:val="14"/>
                <w:szCs w:val="14"/>
                <w:b w:val="1"/>
                <w:bCs w:val="1"/>
                <w:color w:val="auto"/>
                <w:w w:val="96"/>
              </w:rPr>
              <w:t>adjustments</w:t>
            </w:r>
          </w:p>
        </w:tc>
        <w:tc>
          <w:tcPr>
            <w:tcW w:w="240" w:type="dxa"/>
            <w:vAlign w:val="bottom"/>
          </w:tcPr>
          <w:p>
            <w:pPr>
              <w:spacing w:after="0"/>
              <w:rPr>
                <w:sz w:val="15"/>
                <w:szCs w:val="15"/>
                <w:color w:val="auto"/>
              </w:rPr>
            </w:pPr>
          </w:p>
        </w:tc>
        <w:tc>
          <w:tcPr>
            <w:tcW w:w="880" w:type="dxa"/>
            <w:vAlign w:val="bottom"/>
          </w:tcPr>
          <w:p>
            <w:pPr>
              <w:jc w:val="center"/>
              <w:ind w:right="139"/>
              <w:spacing w:after="0"/>
              <w:rPr>
                <w:sz w:val="20"/>
                <w:szCs w:val="20"/>
                <w:color w:val="auto"/>
              </w:rPr>
            </w:pPr>
            <w:r>
              <w:rPr>
                <w:rFonts w:ascii="Calibri" w:cs="Calibri" w:eastAsia="Calibri" w:hAnsi="Calibri"/>
                <w:sz w:val="14"/>
                <w:szCs w:val="14"/>
                <w:b w:val="1"/>
                <w:bCs w:val="1"/>
                <w:color w:val="auto"/>
              </w:rPr>
              <w:t>actvites</w:t>
            </w:r>
          </w:p>
        </w:tc>
        <w:tc>
          <w:tcPr>
            <w:tcW w:w="180" w:type="dxa"/>
            <w:vAlign w:val="bottom"/>
          </w:tcPr>
          <w:p>
            <w:pPr>
              <w:spacing w:after="0"/>
              <w:rPr>
                <w:sz w:val="15"/>
                <w:szCs w:val="15"/>
                <w:color w:val="auto"/>
              </w:rPr>
            </w:pPr>
          </w:p>
        </w:tc>
        <w:tc>
          <w:tcPr>
            <w:tcW w:w="940" w:type="dxa"/>
            <w:vAlign w:val="bottom"/>
          </w:tcPr>
          <w:p>
            <w:pPr>
              <w:jc w:val="center"/>
              <w:ind w:right="82"/>
              <w:spacing w:after="0" w:line="164" w:lineRule="exact"/>
              <w:rPr>
                <w:sz w:val="20"/>
                <w:szCs w:val="20"/>
                <w:color w:val="auto"/>
              </w:rPr>
            </w:pPr>
            <w:r>
              <w:rPr>
                <w:rFonts w:ascii="Calibri" w:cs="Calibri" w:eastAsia="Calibri" w:hAnsi="Calibri"/>
                <w:sz w:val="14"/>
                <w:szCs w:val="14"/>
                <w:b w:val="1"/>
                <w:bCs w:val="1"/>
                <w:color w:val="auto"/>
              </w:rPr>
              <w:t>benefts</w:t>
            </w:r>
          </w:p>
        </w:tc>
        <w:tc>
          <w:tcPr>
            <w:tcW w:w="240" w:type="dxa"/>
            <w:vAlign w:val="bottom"/>
          </w:tcPr>
          <w:p>
            <w:pPr>
              <w:spacing w:after="0"/>
              <w:rPr>
                <w:sz w:val="15"/>
                <w:szCs w:val="15"/>
                <w:color w:val="auto"/>
              </w:rPr>
            </w:pPr>
          </w:p>
        </w:tc>
        <w:tc>
          <w:tcPr>
            <w:tcW w:w="900" w:type="dxa"/>
            <w:vAlign w:val="bottom"/>
          </w:tcPr>
          <w:p>
            <w:pPr>
              <w:jc w:val="center"/>
              <w:ind w:right="161"/>
              <w:spacing w:after="0"/>
              <w:rPr>
                <w:sz w:val="20"/>
                <w:szCs w:val="20"/>
                <w:color w:val="auto"/>
              </w:rPr>
            </w:pPr>
            <w:r>
              <w:rPr>
                <w:rFonts w:ascii="Calibri" w:cs="Calibri" w:eastAsia="Calibri" w:hAnsi="Calibri"/>
                <w:sz w:val="14"/>
                <w:szCs w:val="14"/>
                <w:b w:val="1"/>
                <w:bCs w:val="1"/>
                <w:color w:val="auto"/>
              </w:rPr>
              <w:t>actvites</w:t>
            </w:r>
          </w:p>
        </w:tc>
        <w:tc>
          <w:tcPr>
            <w:tcW w:w="280" w:type="dxa"/>
            <w:vAlign w:val="bottom"/>
          </w:tcPr>
          <w:p>
            <w:pPr>
              <w:spacing w:after="0"/>
              <w:rPr>
                <w:sz w:val="15"/>
                <w:szCs w:val="15"/>
                <w:color w:val="auto"/>
              </w:rPr>
            </w:pPr>
          </w:p>
        </w:tc>
        <w:tc>
          <w:tcPr>
            <w:tcW w:w="780" w:type="dxa"/>
            <w:vAlign w:val="bottom"/>
          </w:tcPr>
          <w:p>
            <w:pPr>
              <w:jc w:val="right"/>
              <w:ind w:right="277"/>
              <w:spacing w:after="0" w:line="164" w:lineRule="exact"/>
              <w:rPr>
                <w:sz w:val="20"/>
                <w:szCs w:val="20"/>
                <w:color w:val="auto"/>
              </w:rPr>
            </w:pPr>
            <w:r>
              <w:rPr>
                <w:rFonts w:ascii="Calibri" w:cs="Calibri" w:eastAsia="Calibri" w:hAnsi="Calibri"/>
                <w:sz w:val="14"/>
                <w:szCs w:val="14"/>
                <w:b w:val="1"/>
                <w:bCs w:val="1"/>
                <w:color w:val="auto"/>
              </w:rPr>
              <w:t>Total</w:t>
            </w:r>
          </w:p>
        </w:tc>
      </w:tr>
      <w:tr>
        <w:trPr>
          <w:trHeight w:val="30"/>
        </w:trPr>
        <w:tc>
          <w:tcPr>
            <w:tcW w:w="5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5"/>
        </w:trPr>
        <w:tc>
          <w:tcPr>
            <w:tcW w:w="514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Balance as of December 31, 2022</w:t>
            </w:r>
          </w:p>
        </w:tc>
        <w:tc>
          <w:tcPr>
            <w:tcW w:w="740" w:type="dxa"/>
            <w:vAlign w:val="bottom"/>
            <w:tcBorders>
              <w:bottom w:val="single" w:sz="8" w:color="auto"/>
            </w:tcBorders>
            <w:shd w:val="clear" w:color="auto" w:fill="CCEEFF"/>
          </w:tcPr>
          <w:p>
            <w:pPr>
              <w:ind w:left="620"/>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(1,513)</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shd w:val="clear" w:color="auto" w:fill="CCEEFF"/>
          </w:tcPr>
          <w:p>
            <w:pPr>
              <w:jc w:val="right"/>
              <w:ind w:right="19"/>
              <w:spacing w:after="0" w:line="205" w:lineRule="exact"/>
              <w:rPr>
                <w:sz w:val="20"/>
                <w:szCs w:val="20"/>
                <w:color w:val="auto"/>
              </w:rPr>
            </w:pPr>
            <w:r>
              <w:rPr>
                <w:rFonts w:ascii="Calibri" w:cs="Calibri" w:eastAsia="Calibri" w:hAnsi="Calibri"/>
                <w:sz w:val="17"/>
                <w:szCs w:val="17"/>
                <w:color w:val="auto"/>
              </w:rPr>
              <w:t>464</w:t>
            </w: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(1,458)</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00" w:type="dxa"/>
            <w:vAlign w:val="bottom"/>
            <w:tcBorders>
              <w:bottom w:val="single" w:sz="8" w:color="auto"/>
            </w:tcBorders>
            <w:shd w:val="clear" w:color="auto" w:fill="CCEEFF"/>
          </w:tcPr>
          <w:p>
            <w:pPr>
              <w:jc w:val="right"/>
              <w:ind w:right="41"/>
              <w:spacing w:after="0" w:line="205" w:lineRule="exact"/>
              <w:rPr>
                <w:sz w:val="20"/>
                <w:szCs w:val="20"/>
                <w:color w:val="auto"/>
              </w:rPr>
            </w:pPr>
            <w:r>
              <w:rPr>
                <w:rFonts w:ascii="Calibri" w:cs="Calibri" w:eastAsia="Calibri" w:hAnsi="Calibri"/>
                <w:sz w:val="17"/>
                <w:szCs w:val="17"/>
                <w:color w:val="auto"/>
              </w:rPr>
              <w:t>308</w:t>
            </w:r>
          </w:p>
        </w:tc>
        <w:tc>
          <w:tcPr>
            <w:tcW w:w="280" w:type="dxa"/>
            <w:vAlign w:val="bottom"/>
            <w:tcBorders>
              <w:bottom w:val="single" w:sz="8" w:color="auto"/>
            </w:tcBorders>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(2,199)</w:t>
            </w:r>
          </w:p>
        </w:tc>
      </w:tr>
      <w:tr>
        <w:trPr>
          <w:trHeight w:val="212"/>
        </w:trPr>
        <w:tc>
          <w:tcPr>
            <w:tcW w:w="5140" w:type="dxa"/>
            <w:vAlign w:val="bottom"/>
          </w:tcPr>
          <w:p>
            <w:pPr>
              <w:ind w:left="20"/>
              <w:spacing w:after="0" w:line="205" w:lineRule="exact"/>
              <w:rPr>
                <w:sz w:val="20"/>
                <w:szCs w:val="20"/>
                <w:color w:val="auto"/>
              </w:rPr>
            </w:pPr>
            <w:r>
              <w:rPr>
                <w:rFonts w:ascii="Calibri" w:cs="Calibri" w:eastAsia="Calibri" w:hAnsi="Calibri"/>
                <w:sz w:val="17"/>
                <w:szCs w:val="17"/>
                <w:color w:val="auto"/>
              </w:rPr>
              <w:t>Other comprehensive income (loss) before reclassifcatons</w:t>
            </w:r>
          </w:p>
        </w:tc>
        <w:tc>
          <w:tcPr>
            <w:tcW w:w="740" w:type="dxa"/>
            <w:vAlign w:val="bottom"/>
          </w:tcPr>
          <w:p>
            <w:pPr>
              <w:spacing w:after="0"/>
              <w:rPr>
                <w:sz w:val="18"/>
                <w:szCs w:val="18"/>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(279)</w:t>
            </w:r>
          </w:p>
        </w:tc>
        <w:tc>
          <w:tcPr>
            <w:tcW w:w="240" w:type="dxa"/>
            <w:vAlign w:val="bottom"/>
          </w:tcPr>
          <w:p>
            <w:pPr>
              <w:spacing w:after="0"/>
              <w:rPr>
                <w:sz w:val="18"/>
                <w:szCs w:val="18"/>
                <w:color w:val="auto"/>
              </w:rPr>
            </w:pPr>
          </w:p>
        </w:tc>
        <w:tc>
          <w:tcPr>
            <w:tcW w:w="880" w:type="dxa"/>
            <w:vAlign w:val="bottom"/>
          </w:tcPr>
          <w:p>
            <w:pPr>
              <w:jc w:val="right"/>
              <w:ind w:right="19"/>
              <w:spacing w:after="0" w:line="205" w:lineRule="exact"/>
              <w:rPr>
                <w:sz w:val="20"/>
                <w:szCs w:val="20"/>
                <w:color w:val="auto"/>
              </w:rPr>
            </w:pPr>
            <w:r>
              <w:rPr>
                <w:rFonts w:ascii="Calibri" w:cs="Calibri" w:eastAsia="Calibri" w:hAnsi="Calibri"/>
                <w:sz w:val="17"/>
                <w:szCs w:val="17"/>
                <w:color w:val="auto"/>
              </w:rPr>
              <w:t>156</w:t>
            </w:r>
          </w:p>
        </w:tc>
        <w:tc>
          <w:tcPr>
            <w:tcW w:w="180" w:type="dxa"/>
            <w:vAlign w:val="bottom"/>
          </w:tcPr>
          <w:p>
            <w:pPr>
              <w:spacing w:after="0"/>
              <w:rPr>
                <w:sz w:val="18"/>
                <w:szCs w:val="18"/>
                <w:color w:val="auto"/>
              </w:rPr>
            </w:pPr>
          </w:p>
        </w:tc>
        <w:tc>
          <w:tcPr>
            <w:tcW w:w="940" w:type="dxa"/>
            <w:vAlign w:val="bottom"/>
          </w:tcPr>
          <w:p>
            <w:pPr>
              <w:jc w:val="right"/>
              <w:ind w:right="22"/>
              <w:spacing w:after="0" w:line="205" w:lineRule="exact"/>
              <w:rPr>
                <w:sz w:val="20"/>
                <w:szCs w:val="20"/>
                <w:color w:val="auto"/>
              </w:rPr>
            </w:pPr>
            <w:r>
              <w:rPr>
                <w:rFonts w:ascii="Calibri" w:cs="Calibri" w:eastAsia="Calibri" w:hAnsi="Calibri"/>
                <w:sz w:val="17"/>
                <w:szCs w:val="17"/>
                <w:color w:val="auto"/>
              </w:rPr>
              <w:t>43</w:t>
            </w:r>
          </w:p>
        </w:tc>
        <w:tc>
          <w:tcPr>
            <w:tcW w:w="240" w:type="dxa"/>
            <w:vAlign w:val="bottom"/>
          </w:tcPr>
          <w:p>
            <w:pPr>
              <w:spacing w:after="0"/>
              <w:rPr>
                <w:sz w:val="18"/>
                <w:szCs w:val="18"/>
                <w:color w:val="auto"/>
              </w:rPr>
            </w:pPr>
          </w:p>
        </w:tc>
        <w:tc>
          <w:tcPr>
            <w:tcW w:w="900" w:type="dxa"/>
            <w:vAlign w:val="bottom"/>
          </w:tcPr>
          <w:p>
            <w:pPr>
              <w:jc w:val="right"/>
              <w:ind w:right="41"/>
              <w:spacing w:after="0" w:line="205" w:lineRule="exact"/>
              <w:rPr>
                <w:sz w:val="20"/>
                <w:szCs w:val="20"/>
                <w:color w:val="auto"/>
              </w:rPr>
            </w:pPr>
            <w:r>
              <w:rPr>
                <w:rFonts w:ascii="Calibri" w:cs="Calibri" w:eastAsia="Calibri" w:hAnsi="Calibri"/>
                <w:sz w:val="17"/>
                <w:szCs w:val="17"/>
                <w:color w:val="auto"/>
              </w:rPr>
              <w:t>61</w:t>
            </w:r>
          </w:p>
        </w:tc>
        <w:tc>
          <w:tcPr>
            <w:tcW w:w="280" w:type="dxa"/>
            <w:vAlign w:val="bottom"/>
          </w:tcPr>
          <w:p>
            <w:pPr>
              <w:spacing w:after="0"/>
              <w:rPr>
                <w:sz w:val="18"/>
                <w:szCs w:val="18"/>
                <w:color w:val="auto"/>
              </w:rPr>
            </w:pPr>
          </w:p>
        </w:tc>
        <w:tc>
          <w:tcPr>
            <w:tcW w:w="780" w:type="dxa"/>
            <w:vAlign w:val="bottom"/>
          </w:tcPr>
          <w:p>
            <w:pPr>
              <w:jc w:val="right"/>
              <w:spacing w:after="0" w:line="205" w:lineRule="exact"/>
              <w:rPr>
                <w:sz w:val="20"/>
                <w:szCs w:val="20"/>
                <w:color w:val="auto"/>
              </w:rPr>
            </w:pPr>
            <w:r>
              <w:rPr>
                <w:rFonts w:ascii="Calibri" w:cs="Calibri" w:eastAsia="Calibri" w:hAnsi="Calibri"/>
                <w:sz w:val="17"/>
                <w:szCs w:val="17"/>
                <w:color w:val="auto"/>
              </w:rPr>
              <w:t>(19)</w:t>
            </w:r>
          </w:p>
        </w:tc>
      </w:tr>
      <w:tr>
        <w:trPr>
          <w:trHeight w:val="219"/>
        </w:trPr>
        <w:tc>
          <w:tcPr>
            <w:tcW w:w="51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Net gains reclassifed from accumulated other comprehensive loss</w:t>
            </w:r>
          </w:p>
        </w:tc>
        <w:tc>
          <w:tcPr>
            <w:tcW w:w="7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(67)</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(5)</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Calibri" w:cs="Calibri" w:eastAsia="Calibri" w:hAnsi="Calibri"/>
                <w:sz w:val="17"/>
                <w:szCs w:val="17"/>
                <w:color w:val="auto"/>
              </w:rPr>
              <w:t>(63)</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(135)</w:t>
            </w:r>
          </w:p>
        </w:tc>
      </w:tr>
      <w:tr>
        <w:trPr>
          <w:trHeight w:val="212"/>
        </w:trPr>
        <w:tc>
          <w:tcPr>
            <w:tcW w:w="51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Net current-period other comprehensive income (loss)</w:t>
            </w: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(279)</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line="205" w:lineRule="exact"/>
              <w:rPr>
                <w:sz w:val="20"/>
                <w:szCs w:val="20"/>
                <w:color w:val="auto"/>
              </w:rPr>
            </w:pPr>
            <w:r>
              <w:rPr>
                <w:rFonts w:ascii="Calibri" w:cs="Calibri" w:eastAsia="Calibri" w:hAnsi="Calibri"/>
                <w:sz w:val="17"/>
                <w:szCs w:val="17"/>
                <w:color w:val="auto"/>
              </w:rPr>
              <w:t>89</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
              <w:spacing w:after="0" w:line="205" w:lineRule="exact"/>
              <w:rPr>
                <w:sz w:val="20"/>
                <w:szCs w:val="20"/>
                <w:color w:val="auto"/>
              </w:rPr>
            </w:pPr>
            <w:r>
              <w:rPr>
                <w:rFonts w:ascii="Calibri" w:cs="Calibri" w:eastAsia="Calibri" w:hAnsi="Calibri"/>
                <w:sz w:val="17"/>
                <w:szCs w:val="17"/>
                <w:color w:val="auto"/>
              </w:rPr>
              <w:t>38</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line="205" w:lineRule="exact"/>
              <w:rPr>
                <w:sz w:val="20"/>
                <w:szCs w:val="20"/>
                <w:color w:val="auto"/>
              </w:rPr>
            </w:pPr>
            <w:r>
              <w:rPr>
                <w:rFonts w:ascii="Calibri" w:cs="Calibri" w:eastAsia="Calibri" w:hAnsi="Calibri"/>
                <w:sz w:val="17"/>
                <w:szCs w:val="17"/>
                <w:color w:val="auto"/>
              </w:rPr>
              <w:t>(2)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(154)</w:t>
            </w:r>
          </w:p>
        </w:tc>
      </w:tr>
      <w:tr>
        <w:trPr>
          <w:trHeight w:val="237"/>
        </w:trPr>
        <w:tc>
          <w:tcPr>
            <w:tcW w:w="514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Balance as of September 30, 2023</w:t>
            </w:r>
          </w:p>
        </w:tc>
        <w:tc>
          <w:tcPr>
            <w:tcW w:w="740" w:type="dxa"/>
            <w:vAlign w:val="bottom"/>
            <w:tcBorders>
              <w:bottom w:val="single" w:sz="8" w:color="auto"/>
            </w:tcBorders>
            <w:shd w:val="clear" w:color="auto" w:fill="CCEEFF"/>
          </w:tcPr>
          <w:p>
            <w:pPr>
              <w:ind w:left="620"/>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(1,792)</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shd w:val="clear" w:color="auto" w:fill="CCEEFF"/>
          </w:tcPr>
          <w:p>
            <w:pPr>
              <w:jc w:val="right"/>
              <w:ind w:right="19"/>
              <w:spacing w:after="0" w:line="205" w:lineRule="exact"/>
              <w:rPr>
                <w:sz w:val="20"/>
                <w:szCs w:val="20"/>
                <w:color w:val="auto"/>
              </w:rPr>
            </w:pPr>
            <w:r>
              <w:rPr>
                <w:rFonts w:ascii="Calibri" w:cs="Calibri" w:eastAsia="Calibri" w:hAnsi="Calibri"/>
                <w:sz w:val="17"/>
                <w:szCs w:val="17"/>
                <w:color w:val="auto"/>
              </w:rPr>
              <w:t>553</w:t>
            </w: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(1,420)</w:t>
            </w:r>
          </w:p>
        </w:tc>
        <w:tc>
          <w:tcPr>
            <w:tcW w:w="2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900" w:type="dxa"/>
            <w:vAlign w:val="bottom"/>
            <w:tcBorders>
              <w:bottom w:val="single" w:sz="8" w:color="auto"/>
            </w:tcBorders>
            <w:shd w:val="clear" w:color="auto" w:fill="CCEEFF"/>
          </w:tcPr>
          <w:p>
            <w:pPr>
              <w:jc w:val="right"/>
              <w:ind w:right="41"/>
              <w:spacing w:after="0" w:line="205" w:lineRule="exact"/>
              <w:rPr>
                <w:sz w:val="20"/>
                <w:szCs w:val="20"/>
                <w:color w:val="auto"/>
              </w:rPr>
            </w:pPr>
            <w:r>
              <w:rPr>
                <w:rFonts w:ascii="Calibri" w:cs="Calibri" w:eastAsia="Calibri" w:hAnsi="Calibri"/>
                <w:sz w:val="17"/>
                <w:szCs w:val="17"/>
                <w:color w:val="auto"/>
              </w:rPr>
              <w:t>306</w:t>
            </w:r>
          </w:p>
        </w:tc>
        <w:tc>
          <w:tcPr>
            <w:tcW w:w="280" w:type="dxa"/>
            <w:vAlign w:val="bottom"/>
            <w:tcBorders>
              <w:bottom w:val="single" w:sz="8" w:color="auto"/>
            </w:tcBorders>
            <w:shd w:val="clear" w:color="auto" w:fill="CCEEFF"/>
          </w:tcPr>
          <w:p>
            <w:pPr>
              <w:jc w:val="right"/>
              <w:ind w:right="3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(2,353)</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Other comprehensive loss for the nine months ended September 30, 2023 included foreign currency translaton adjustments totaling a loss of $279 million principally due to the impact of the weakening of the Euro on the translaton of the company’s Euro-denominated assets and the ofsetng impact of net investment hedging actvites totaling a gain of $89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25</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7" w:name="page28"/>
    <w:bookmarkEnd w:id="27"/>
    <w:p>
      <w:pPr>
        <w:ind w:right="220"/>
        <w:spacing w:after="0" w:line="237" w:lineRule="auto"/>
        <w:rPr>
          <w:sz w:val="20"/>
          <w:szCs w:val="20"/>
          <w:color w:val="auto"/>
        </w:rPr>
      </w:pPr>
      <w:r>
        <w:rPr>
          <w:rFonts w:ascii="Calibri" w:cs="Calibri" w:eastAsia="Calibri" w:hAnsi="Calibri"/>
          <w:sz w:val="17"/>
          <w:szCs w:val="17"/>
          <w:color w:val="auto"/>
        </w:rPr>
        <w:t>The following table presents the impact on AbbVie’s condensed consolidated statements of earnings for signifcant amounts reclassifed out of each component of accumulated other comprehensive loss:</w:t>
      </w:r>
    </w:p>
    <w:tbl>
      <w:tblPr>
        <w:tblLayout w:type="fixed"/>
        <w:tblInd w:w="0" w:type="dxa"/>
        <w:tblCellMar>
          <w:top w:w="0" w:type="dxa"/>
          <w:left w:w="0" w:type="dxa"/>
          <w:bottom w:w="0" w:type="dxa"/>
          <w:right w:w="0" w:type="dxa"/>
        </w:tblCellMar>
      </w:tblPr>
      <w:tr>
        <w:trPr>
          <w:trHeight w:val="166"/>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340"/>
              <w:spacing w:after="0" w:line="166" w:lineRule="exact"/>
              <w:rPr>
                <w:sz w:val="20"/>
                <w:szCs w:val="20"/>
                <w:color w:val="auto"/>
              </w:rPr>
            </w:pPr>
            <w:r>
              <w:rPr>
                <w:rFonts w:ascii="Calibri" w:cs="Calibri" w:eastAsia="Calibri" w:hAnsi="Calibri"/>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3"/>
          </w:tcPr>
          <w:p>
            <w:pPr>
              <w:jc w:val="right"/>
              <w:ind w:right="536"/>
              <w:spacing w:after="0" w:line="166" w:lineRule="exact"/>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(brackets denote gains)</w:t>
            </w: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98"/>
              <w:spacing w:after="0" w:line="156" w:lineRule="exact"/>
              <w:rPr>
                <w:sz w:val="20"/>
                <w:szCs w:val="20"/>
                <w:color w:val="auto"/>
              </w:rPr>
            </w:pPr>
            <w:r>
              <w:rPr>
                <w:rFonts w:ascii="Calibri" w:cs="Calibri" w:eastAsia="Calibri" w:hAnsi="Calibri"/>
                <w:sz w:val="14"/>
                <w:szCs w:val="14"/>
                <w:b w:val="1"/>
                <w:bCs w:val="1"/>
                <w:color w:val="auto"/>
              </w:rPr>
              <w:t>2024</w:t>
            </w:r>
          </w:p>
        </w:tc>
        <w:tc>
          <w:tcPr>
            <w:tcW w:w="460" w:type="dxa"/>
            <w:vAlign w:val="bottom"/>
          </w:tcPr>
          <w:p>
            <w:pPr>
              <w:spacing w:after="0"/>
              <w:rPr>
                <w:sz w:val="13"/>
                <w:szCs w:val="13"/>
                <w:color w:val="auto"/>
              </w:rPr>
            </w:pPr>
          </w:p>
        </w:tc>
        <w:tc>
          <w:tcPr>
            <w:tcW w:w="720" w:type="dxa"/>
            <w:vAlign w:val="bottom"/>
          </w:tcPr>
          <w:p>
            <w:pPr>
              <w:jc w:val="right"/>
              <w:ind w:right="336"/>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98"/>
              <w:spacing w:after="0" w:line="156" w:lineRule="exact"/>
              <w:rPr>
                <w:sz w:val="20"/>
                <w:szCs w:val="20"/>
                <w:color w:val="auto"/>
              </w:rPr>
            </w:pPr>
            <w:r>
              <w:rPr>
                <w:rFonts w:ascii="Calibri" w:cs="Calibri" w:eastAsia="Calibri" w:hAnsi="Calibri"/>
                <w:sz w:val="14"/>
                <w:szCs w:val="14"/>
                <w:b w:val="1"/>
                <w:bCs w:val="1"/>
                <w:color w:val="auto"/>
              </w:rPr>
              <w:t>2024</w:t>
            </w:r>
          </w:p>
        </w:tc>
        <w:tc>
          <w:tcPr>
            <w:tcW w:w="440" w:type="dxa"/>
            <w:vAlign w:val="bottom"/>
          </w:tcPr>
          <w:p>
            <w:pPr>
              <w:spacing w:after="0"/>
              <w:rPr>
                <w:sz w:val="13"/>
                <w:szCs w:val="13"/>
                <w:color w:val="auto"/>
              </w:rPr>
            </w:pPr>
          </w:p>
        </w:tc>
        <w:tc>
          <w:tcPr>
            <w:tcW w:w="740" w:type="dxa"/>
            <w:vAlign w:val="bottom"/>
          </w:tcPr>
          <w:p>
            <w:pPr>
              <w:jc w:val="right"/>
              <w:ind w:right="336"/>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0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rPr>
              <w:t>Net investment hedging actvites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line="227" w:lineRule="exact"/>
              <w:rPr>
                <w:sz w:val="20"/>
                <w:szCs w:val="20"/>
                <w:color w:val="auto"/>
              </w:rPr>
            </w:pPr>
            <w:r>
              <w:rPr>
                <w:rFonts w:ascii="Calibri" w:cs="Calibri" w:eastAsia="Calibri" w:hAnsi="Calibri"/>
                <w:sz w:val="17"/>
                <w:szCs w:val="17"/>
                <w:color w:val="auto"/>
              </w:rPr>
              <w:t>Gains on derivatve amount excluded from efectveness testng</w:t>
            </w:r>
            <w:r>
              <w:rPr>
                <w:rFonts w:ascii="Calibri" w:cs="Calibri" w:eastAsia="Calibri" w:hAnsi="Calibri"/>
                <w:sz w:val="22"/>
                <w:szCs w:val="22"/>
                <w:color w:val="auto"/>
                <w:vertAlign w:val="superscript"/>
              </w:rPr>
              <w:t>(a)</w:t>
            </w:r>
          </w:p>
        </w:tc>
        <w:tc>
          <w:tcPr>
            <w:tcW w:w="260" w:type="dxa"/>
            <w:vAlign w:val="bottom"/>
            <w:shd w:val="clear" w:color="auto" w:fill="CCEEFF"/>
          </w:tcPr>
          <w:p>
            <w:pPr>
              <w:jc w:val="right"/>
              <w:ind w:right="74"/>
              <w:spacing w:after="0"/>
              <w:rPr>
                <w:sz w:val="20"/>
                <w:szCs w:val="20"/>
                <w:color w:val="auto"/>
              </w:rPr>
            </w:pPr>
            <w:r>
              <w:rPr>
                <w:rFonts w:ascii="Calibri" w:cs="Calibri" w:eastAsia="Calibri" w:hAnsi="Calibri"/>
                <w:sz w:val="17"/>
                <w:szCs w:val="17"/>
                <w:color w:val="auto"/>
                <w:w w:val="92"/>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(32)</w:t>
            </w:r>
          </w:p>
        </w:tc>
        <w:tc>
          <w:tcPr>
            <w:tcW w:w="460" w:type="dxa"/>
            <w:vAlign w:val="bottom"/>
            <w:shd w:val="clear" w:color="auto" w:fill="CCEEFF"/>
          </w:tcPr>
          <w:p>
            <w:pPr>
              <w:jc w:val="right"/>
              <w:ind w:right="214"/>
              <w:spacing w:after="0"/>
              <w:rPr>
                <w:sz w:val="20"/>
                <w:szCs w:val="20"/>
                <w:color w:val="auto"/>
              </w:rPr>
            </w:pPr>
            <w:r>
              <w:rPr>
                <w:rFonts w:ascii="Calibri" w:cs="Calibri" w:eastAsia="Calibri" w:hAnsi="Calibri"/>
                <w:sz w:val="17"/>
                <w:szCs w:val="17"/>
                <w:color w:val="auto"/>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Calibri" w:cs="Calibri" w:eastAsia="Calibri" w:hAnsi="Calibri"/>
                <w:sz w:val="17"/>
                <w:szCs w:val="17"/>
                <w:color w:val="auto"/>
                <w:w w:val="92"/>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(90)</w:t>
            </w:r>
          </w:p>
        </w:tc>
        <w:tc>
          <w:tcPr>
            <w:tcW w:w="440" w:type="dxa"/>
            <w:vAlign w:val="bottom"/>
            <w:shd w:val="clear" w:color="auto" w:fill="CCEEFF"/>
          </w:tcPr>
          <w:p>
            <w:pPr>
              <w:jc w:val="right"/>
              <w:ind w:right="194"/>
              <w:spacing w:after="0"/>
              <w:rPr>
                <w:sz w:val="20"/>
                <w:szCs w:val="20"/>
                <w:color w:val="auto"/>
              </w:rPr>
            </w:pPr>
            <w:r>
              <w:rPr>
                <w:rFonts w:ascii="Calibri" w:cs="Calibri" w:eastAsia="Calibri" w:hAnsi="Calibri"/>
                <w:sz w:val="17"/>
                <w:szCs w:val="17"/>
                <w:color w:val="auto"/>
              </w:rPr>
              <w:t>$</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(85)</w:t>
            </w:r>
          </w:p>
        </w:tc>
        <w:tc>
          <w:tcPr>
            <w:tcW w:w="0" w:type="dxa"/>
            <w:vAlign w:val="bottom"/>
          </w:tcPr>
          <w:p>
            <w:pPr>
              <w:spacing w:after="0"/>
              <w:rPr>
                <w:sz w:val="1"/>
                <w:szCs w:val="1"/>
                <w:color w:val="auto"/>
              </w:rPr>
            </w:pPr>
          </w:p>
        </w:tc>
      </w:tr>
      <w:tr>
        <w:trPr>
          <w:trHeight w:val="212"/>
        </w:trPr>
        <w:tc>
          <w:tcPr>
            <w:tcW w:w="64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Tax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7</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line="205" w:lineRule="exact"/>
              <w:rPr>
                <w:sz w:val="20"/>
                <w:szCs w:val="20"/>
                <w:color w:val="auto"/>
              </w:rPr>
            </w:pPr>
            <w:r>
              <w:rPr>
                <w:rFonts w:ascii="Calibri" w:cs="Calibri" w:eastAsia="Calibri" w:hAnsi="Calibri"/>
                <w:sz w:val="17"/>
                <w:szCs w:val="17"/>
                <w:color w:val="auto"/>
              </w:rPr>
              <w:t>20</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reclassifcatons, net of tax</w:t>
            </w:r>
          </w:p>
        </w:tc>
        <w:tc>
          <w:tcPr>
            <w:tcW w:w="260" w:type="dxa"/>
            <w:vAlign w:val="bottom"/>
            <w:tcBorders>
              <w:bottom w:val="single" w:sz="8" w:color="auto"/>
            </w:tcBorders>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(25)</w:t>
            </w:r>
          </w:p>
        </w:tc>
        <w:tc>
          <w:tcPr>
            <w:tcW w:w="460" w:type="dxa"/>
            <w:vAlign w:val="bottom"/>
            <w:tcBorders>
              <w:bottom w:val="single" w:sz="8" w:color="auto"/>
            </w:tcBorders>
            <w:shd w:val="clear" w:color="auto" w:fill="CCEEFF"/>
          </w:tcPr>
          <w:p>
            <w:pPr>
              <w:jc w:val="right"/>
              <w:ind w:right="214"/>
              <w:spacing w:after="0" w:line="205" w:lineRule="exact"/>
              <w:rPr>
                <w:sz w:val="20"/>
                <w:szCs w:val="20"/>
                <w:color w:val="auto"/>
              </w:rPr>
            </w:pPr>
            <w:r>
              <w:rPr>
                <w:rFonts w:ascii="Calibri" w:cs="Calibri" w:eastAsia="Calibri" w:hAnsi="Calibri"/>
                <w:sz w:val="17"/>
                <w:szCs w:val="17"/>
                <w:color w:val="auto"/>
              </w:rPr>
              <w:t>$</w:t>
            </w: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(22)</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(70)</w:t>
            </w:r>
          </w:p>
        </w:tc>
        <w:tc>
          <w:tcPr>
            <w:tcW w:w="440" w:type="dxa"/>
            <w:vAlign w:val="bottom"/>
            <w:tcBorders>
              <w:bottom w:val="single" w:sz="8" w:color="auto"/>
            </w:tcBorders>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7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tcPr>
          <w:p>
            <w:pPr>
              <w:ind w:left="20"/>
              <w:spacing w:after="0" w:line="191" w:lineRule="exact"/>
              <w:rPr>
                <w:sz w:val="20"/>
                <w:szCs w:val="20"/>
                <w:color w:val="auto"/>
              </w:rPr>
            </w:pPr>
            <w:r>
              <w:rPr>
                <w:rFonts w:ascii="Calibri" w:cs="Calibri" w:eastAsia="Calibri" w:hAnsi="Calibri"/>
                <w:sz w:val="17"/>
                <w:szCs w:val="17"/>
                <w:b w:val="1"/>
                <w:bCs w:val="1"/>
                <w:color w:val="auto"/>
              </w:rPr>
              <w:t>Pension and post-employment benefts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line="227" w:lineRule="exact"/>
              <w:rPr>
                <w:sz w:val="20"/>
                <w:szCs w:val="20"/>
                <w:color w:val="auto"/>
              </w:rPr>
            </w:pPr>
            <w:r>
              <w:rPr>
                <w:rFonts w:ascii="Calibri" w:cs="Calibri" w:eastAsia="Calibri" w:hAnsi="Calibri"/>
                <w:sz w:val="17"/>
                <w:szCs w:val="17"/>
                <w:color w:val="auto"/>
              </w:rPr>
              <w:t>Amortzaton of actuarial losses (gains) and other</w:t>
            </w:r>
            <w:r>
              <w:rPr>
                <w:rFonts w:ascii="Calibri" w:cs="Calibri" w:eastAsia="Calibri" w:hAnsi="Calibri"/>
                <w:sz w:val="22"/>
                <w:szCs w:val="22"/>
                <w:color w:val="auto"/>
                <w:vertAlign w:val="superscript"/>
              </w:rPr>
              <w:t>(b)</w:t>
            </w:r>
          </w:p>
        </w:tc>
        <w:tc>
          <w:tcPr>
            <w:tcW w:w="260" w:type="dxa"/>
            <w:vAlign w:val="bottom"/>
            <w:shd w:val="clear" w:color="auto" w:fill="CCEEFF"/>
          </w:tcPr>
          <w:p>
            <w:pPr>
              <w:jc w:val="right"/>
              <w:ind w:right="74"/>
              <w:spacing w:after="0"/>
              <w:rPr>
                <w:sz w:val="20"/>
                <w:szCs w:val="20"/>
                <w:color w:val="auto"/>
              </w:rPr>
            </w:pPr>
            <w:r>
              <w:rPr>
                <w:rFonts w:ascii="Calibri" w:cs="Calibri" w:eastAsia="Calibri" w:hAnsi="Calibri"/>
                <w:sz w:val="17"/>
                <w:szCs w:val="17"/>
                <w:color w:val="auto"/>
                <w:w w:val="92"/>
              </w:rPr>
              <w:t>$</w:t>
            </w:r>
          </w:p>
        </w:tc>
        <w:tc>
          <w:tcPr>
            <w:tcW w:w="920" w:type="dxa"/>
            <w:vAlign w:val="bottom"/>
            <w:shd w:val="clear" w:color="auto" w:fill="CCEEFF"/>
          </w:tcPr>
          <w:p>
            <w:pPr>
              <w:jc w:val="right"/>
              <w:ind w:right="18"/>
              <w:spacing w:after="0"/>
              <w:rPr>
                <w:sz w:val="20"/>
                <w:szCs w:val="20"/>
                <w:color w:val="auto"/>
              </w:rPr>
            </w:pPr>
            <w:r>
              <w:rPr>
                <w:rFonts w:ascii="Calibri" w:cs="Calibri" w:eastAsia="Calibri" w:hAnsi="Calibri"/>
                <w:sz w:val="17"/>
                <w:szCs w:val="17"/>
                <w:color w:val="auto"/>
              </w:rPr>
              <w:t>8</w:t>
            </w:r>
          </w:p>
        </w:tc>
        <w:tc>
          <w:tcPr>
            <w:tcW w:w="460" w:type="dxa"/>
            <w:vAlign w:val="bottom"/>
            <w:shd w:val="clear" w:color="auto" w:fill="CCEEFF"/>
          </w:tcPr>
          <w:p>
            <w:pPr>
              <w:jc w:val="right"/>
              <w:ind w:right="214"/>
              <w:spacing w:after="0"/>
              <w:rPr>
                <w:sz w:val="20"/>
                <w:szCs w:val="20"/>
                <w:color w:val="auto"/>
              </w:rPr>
            </w:pPr>
            <w:r>
              <w:rPr>
                <w:rFonts w:ascii="Calibri" w:cs="Calibri" w:eastAsia="Calibri" w:hAnsi="Calibri"/>
                <w:sz w:val="17"/>
                <w:szCs w:val="17"/>
                <w:color w:val="auto"/>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Calibri" w:cs="Calibri" w:eastAsia="Calibri" w:hAnsi="Calibri"/>
                <w:sz w:val="17"/>
                <w:szCs w:val="17"/>
                <w:color w:val="auto"/>
                <w:w w:val="92"/>
              </w:rPr>
              <w:t>$</w:t>
            </w:r>
          </w:p>
        </w:tc>
        <w:tc>
          <w:tcPr>
            <w:tcW w:w="920" w:type="dxa"/>
            <w:vAlign w:val="bottom"/>
            <w:shd w:val="clear" w:color="auto" w:fill="CCEEFF"/>
          </w:tcPr>
          <w:p>
            <w:pPr>
              <w:jc w:val="right"/>
              <w:ind w:right="38"/>
              <w:spacing w:after="0"/>
              <w:rPr>
                <w:sz w:val="20"/>
                <w:szCs w:val="20"/>
                <w:color w:val="auto"/>
              </w:rPr>
            </w:pPr>
            <w:r>
              <w:rPr>
                <w:rFonts w:ascii="Calibri" w:cs="Calibri" w:eastAsia="Calibri" w:hAnsi="Calibri"/>
                <w:sz w:val="17"/>
                <w:szCs w:val="17"/>
                <w:color w:val="auto"/>
              </w:rPr>
              <w:t>25</w:t>
            </w:r>
          </w:p>
        </w:tc>
        <w:tc>
          <w:tcPr>
            <w:tcW w:w="440" w:type="dxa"/>
            <w:vAlign w:val="bottom"/>
            <w:shd w:val="clear" w:color="auto" w:fill="CCEEFF"/>
          </w:tcPr>
          <w:p>
            <w:pPr>
              <w:jc w:val="right"/>
              <w:ind w:right="194"/>
              <w:spacing w:after="0"/>
              <w:rPr>
                <w:sz w:val="20"/>
                <w:szCs w:val="20"/>
                <w:color w:val="auto"/>
              </w:rPr>
            </w:pPr>
            <w:r>
              <w:rPr>
                <w:rFonts w:ascii="Calibri" w:cs="Calibri" w:eastAsia="Calibri" w:hAnsi="Calibri"/>
                <w:sz w:val="17"/>
                <w:szCs w:val="17"/>
                <w:color w:val="auto"/>
              </w:rPr>
              <w:t>$</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(5)</w:t>
            </w:r>
          </w:p>
        </w:tc>
        <w:tc>
          <w:tcPr>
            <w:tcW w:w="0" w:type="dxa"/>
            <w:vAlign w:val="bottom"/>
          </w:tcPr>
          <w:p>
            <w:pPr>
              <w:spacing w:after="0"/>
              <w:rPr>
                <w:sz w:val="1"/>
                <w:szCs w:val="1"/>
                <w:color w:val="auto"/>
              </w:rPr>
            </w:pPr>
          </w:p>
        </w:tc>
      </w:tr>
      <w:tr>
        <w:trPr>
          <w:trHeight w:val="212"/>
        </w:trPr>
        <w:tc>
          <w:tcPr>
            <w:tcW w:w="64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Tax beneft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reclassifcatons, net of tax</w:t>
            </w:r>
          </w:p>
        </w:tc>
        <w:tc>
          <w:tcPr>
            <w:tcW w:w="260" w:type="dxa"/>
            <w:vAlign w:val="bottom"/>
            <w:tcBorders>
              <w:bottom w:val="single" w:sz="8" w:color="auto"/>
            </w:tcBorders>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6</w:t>
            </w:r>
          </w:p>
        </w:tc>
        <w:tc>
          <w:tcPr>
            <w:tcW w:w="460" w:type="dxa"/>
            <w:vAlign w:val="bottom"/>
            <w:tcBorders>
              <w:bottom w:val="single" w:sz="8" w:color="auto"/>
            </w:tcBorders>
            <w:shd w:val="clear" w:color="auto" w:fill="CCEEFF"/>
          </w:tcPr>
          <w:p>
            <w:pPr>
              <w:jc w:val="right"/>
              <w:ind w:right="214"/>
              <w:spacing w:after="0" w:line="205" w:lineRule="exact"/>
              <w:rPr>
                <w:sz w:val="20"/>
                <w:szCs w:val="20"/>
                <w:color w:val="auto"/>
              </w:rPr>
            </w:pPr>
            <w:r>
              <w:rPr>
                <w:rFonts w:ascii="Calibri" w:cs="Calibri" w:eastAsia="Calibri" w:hAnsi="Calibri"/>
                <w:sz w:val="17"/>
                <w:szCs w:val="17"/>
                <w:color w:val="auto"/>
              </w:rPr>
              <w:t>$</w:t>
            </w: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CEEFF"/>
          </w:tcPr>
          <w:p>
            <w:pPr>
              <w:jc w:val="right"/>
              <w:ind w:right="38"/>
              <w:spacing w:after="0" w:line="205" w:lineRule="exact"/>
              <w:rPr>
                <w:sz w:val="20"/>
                <w:szCs w:val="20"/>
                <w:color w:val="auto"/>
              </w:rPr>
            </w:pPr>
            <w:r>
              <w:rPr>
                <w:rFonts w:ascii="Calibri" w:cs="Calibri" w:eastAsia="Calibri" w:hAnsi="Calibri"/>
                <w:sz w:val="17"/>
                <w:szCs w:val="17"/>
                <w:color w:val="auto"/>
              </w:rPr>
              <w:t>19</w:t>
            </w:r>
          </w:p>
        </w:tc>
        <w:tc>
          <w:tcPr>
            <w:tcW w:w="440" w:type="dxa"/>
            <w:vAlign w:val="bottom"/>
            <w:tcBorders>
              <w:bottom w:val="single" w:sz="8" w:color="auto"/>
            </w:tcBorders>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7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tcPr>
          <w:p>
            <w:pPr>
              <w:ind w:left="20"/>
              <w:spacing w:after="0" w:line="191" w:lineRule="exact"/>
              <w:rPr>
                <w:sz w:val="20"/>
                <w:szCs w:val="20"/>
                <w:color w:val="auto"/>
              </w:rPr>
            </w:pPr>
            <w:r>
              <w:rPr>
                <w:rFonts w:ascii="Calibri" w:cs="Calibri" w:eastAsia="Calibri" w:hAnsi="Calibri"/>
                <w:sz w:val="17"/>
                <w:szCs w:val="17"/>
                <w:b w:val="1"/>
                <w:bCs w:val="1"/>
                <w:color w:val="auto"/>
              </w:rPr>
              <w:t>Cash fow hedging actvites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line="227" w:lineRule="exact"/>
              <w:rPr>
                <w:sz w:val="20"/>
                <w:szCs w:val="20"/>
                <w:color w:val="auto"/>
              </w:rPr>
            </w:pPr>
            <w:r>
              <w:rPr>
                <w:rFonts w:ascii="Calibri" w:cs="Calibri" w:eastAsia="Calibri" w:hAnsi="Calibri"/>
                <w:sz w:val="17"/>
                <w:szCs w:val="17"/>
                <w:color w:val="auto"/>
              </w:rPr>
              <w:t>Gains on foreign currency forward exchange contracts</w:t>
            </w:r>
            <w:r>
              <w:rPr>
                <w:rFonts w:ascii="Calibri" w:cs="Calibri" w:eastAsia="Calibri" w:hAnsi="Calibri"/>
                <w:sz w:val="22"/>
                <w:szCs w:val="22"/>
                <w:color w:val="auto"/>
                <w:vertAlign w:val="superscript"/>
              </w:rPr>
              <w:t>(c)</w:t>
            </w:r>
          </w:p>
        </w:tc>
        <w:tc>
          <w:tcPr>
            <w:tcW w:w="260" w:type="dxa"/>
            <w:vAlign w:val="bottom"/>
            <w:shd w:val="clear" w:color="auto" w:fill="CCEEFF"/>
          </w:tcPr>
          <w:p>
            <w:pPr>
              <w:jc w:val="right"/>
              <w:ind w:right="74"/>
              <w:spacing w:after="0"/>
              <w:rPr>
                <w:sz w:val="20"/>
                <w:szCs w:val="20"/>
                <w:color w:val="auto"/>
              </w:rPr>
            </w:pPr>
            <w:r>
              <w:rPr>
                <w:rFonts w:ascii="Calibri" w:cs="Calibri" w:eastAsia="Calibri" w:hAnsi="Calibri"/>
                <w:sz w:val="17"/>
                <w:szCs w:val="17"/>
                <w:color w:val="auto"/>
                <w:w w:val="92"/>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(19)</w:t>
            </w:r>
          </w:p>
        </w:tc>
        <w:tc>
          <w:tcPr>
            <w:tcW w:w="460" w:type="dxa"/>
            <w:vAlign w:val="bottom"/>
            <w:shd w:val="clear" w:color="auto" w:fill="CCEEFF"/>
          </w:tcPr>
          <w:p>
            <w:pPr>
              <w:jc w:val="right"/>
              <w:ind w:right="214"/>
              <w:spacing w:after="0"/>
              <w:rPr>
                <w:sz w:val="20"/>
                <w:szCs w:val="20"/>
                <w:color w:val="auto"/>
              </w:rPr>
            </w:pPr>
            <w:r>
              <w:rPr>
                <w:rFonts w:ascii="Calibri" w:cs="Calibri" w:eastAsia="Calibri" w:hAnsi="Calibri"/>
                <w:sz w:val="17"/>
                <w:szCs w:val="17"/>
                <w:color w:val="auto"/>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Calibri" w:cs="Calibri" w:eastAsia="Calibri" w:hAnsi="Calibri"/>
                <w:sz w:val="17"/>
                <w:szCs w:val="17"/>
                <w:color w:val="auto"/>
                <w:w w:val="92"/>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(41)</w:t>
            </w:r>
          </w:p>
        </w:tc>
        <w:tc>
          <w:tcPr>
            <w:tcW w:w="440" w:type="dxa"/>
            <w:vAlign w:val="bottom"/>
            <w:shd w:val="clear" w:color="auto" w:fill="CCEEFF"/>
          </w:tcPr>
          <w:p>
            <w:pPr>
              <w:jc w:val="right"/>
              <w:ind w:right="194"/>
              <w:spacing w:after="0"/>
              <w:rPr>
                <w:sz w:val="20"/>
                <w:szCs w:val="20"/>
                <w:color w:val="auto"/>
              </w:rPr>
            </w:pPr>
            <w:r>
              <w:rPr>
                <w:rFonts w:ascii="Calibri" w:cs="Calibri" w:eastAsia="Calibri" w:hAnsi="Calibri"/>
                <w:sz w:val="17"/>
                <w:szCs w:val="17"/>
                <w:color w:val="auto"/>
              </w:rPr>
              <w:t>$</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(67)</w:t>
            </w: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line="219" w:lineRule="exact"/>
              <w:rPr>
                <w:sz w:val="20"/>
                <w:szCs w:val="20"/>
                <w:color w:val="auto"/>
              </w:rPr>
            </w:pPr>
            <w:r>
              <w:rPr>
                <w:rFonts w:ascii="Calibri" w:cs="Calibri" w:eastAsia="Calibri" w:hAnsi="Calibri"/>
                <w:sz w:val="17"/>
                <w:szCs w:val="17"/>
                <w:color w:val="auto"/>
              </w:rPr>
              <w:t>Gains on treasury rate lock agreements</w:t>
            </w:r>
            <w:r>
              <w:rPr>
                <w:rFonts w:ascii="Calibri" w:cs="Calibri" w:eastAsia="Calibri" w:hAnsi="Calibri"/>
                <w:sz w:val="22"/>
                <w:szCs w:val="22"/>
                <w:color w:val="auto"/>
                <w:vertAlign w:val="superscript"/>
              </w:rPr>
              <w:t>(a)</w:t>
            </w:r>
          </w:p>
        </w:tc>
        <w:tc>
          <w:tcPr>
            <w:tcW w:w="260" w:type="dxa"/>
            <w:vAlign w:val="bottom"/>
          </w:tcPr>
          <w:p>
            <w:pPr>
              <w:spacing w:after="0"/>
              <w:rPr>
                <w:sz w:val="19"/>
                <w:szCs w:val="19"/>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(6)</w:t>
            </w:r>
          </w:p>
        </w:tc>
        <w:tc>
          <w:tcPr>
            <w:tcW w:w="460" w:type="dxa"/>
            <w:vAlign w:val="bottom"/>
          </w:tcPr>
          <w:p>
            <w:pPr>
              <w:spacing w:after="0"/>
              <w:rPr>
                <w:sz w:val="19"/>
                <w:szCs w:val="19"/>
                <w:color w:val="auto"/>
              </w:rPr>
            </w:pPr>
          </w:p>
        </w:tc>
        <w:tc>
          <w:tcPr>
            <w:tcW w:w="720" w:type="dxa"/>
            <w:vAlign w:val="bottom"/>
          </w:tcPr>
          <w:p>
            <w:pPr>
              <w:jc w:val="right"/>
              <w:spacing w:after="0" w:line="205" w:lineRule="exact"/>
              <w:rPr>
                <w:sz w:val="20"/>
                <w:szCs w:val="20"/>
                <w:color w:val="auto"/>
              </w:rPr>
            </w:pPr>
            <w:r>
              <w:rPr>
                <w:rFonts w:ascii="Calibri" w:cs="Calibri" w:eastAsia="Calibri" w:hAnsi="Calibri"/>
                <w:sz w:val="17"/>
                <w:szCs w:val="17"/>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(18)</w:t>
            </w:r>
          </w:p>
        </w:tc>
        <w:tc>
          <w:tcPr>
            <w:tcW w:w="440" w:type="dxa"/>
            <w:vAlign w:val="bottom"/>
          </w:tcPr>
          <w:p>
            <w:pPr>
              <w:spacing w:after="0"/>
              <w:rPr>
                <w:sz w:val="19"/>
                <w:szCs w:val="19"/>
                <w:color w:val="auto"/>
              </w:rPr>
            </w:pPr>
          </w:p>
        </w:tc>
        <w:tc>
          <w:tcPr>
            <w:tcW w:w="740" w:type="dxa"/>
            <w:vAlign w:val="bottom"/>
          </w:tcPr>
          <w:p>
            <w:pPr>
              <w:jc w:val="right"/>
              <w:spacing w:after="0" w:line="205" w:lineRule="exact"/>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line="219" w:lineRule="exact"/>
              <w:rPr>
                <w:sz w:val="20"/>
                <w:szCs w:val="20"/>
                <w:color w:val="auto"/>
              </w:rPr>
            </w:pPr>
            <w:r>
              <w:rPr>
                <w:rFonts w:ascii="Calibri" w:cs="Calibri" w:eastAsia="Calibri" w:hAnsi="Calibri"/>
                <w:sz w:val="17"/>
                <w:szCs w:val="17"/>
                <w:color w:val="auto"/>
              </w:rPr>
              <w:t>Gains on cross-currency swap contracts</w:t>
            </w:r>
            <w:r>
              <w:rPr>
                <w:rFonts w:ascii="Calibri" w:cs="Calibri" w:eastAsia="Calibri" w:hAnsi="Calibri"/>
                <w:sz w:val="22"/>
                <w:szCs w:val="22"/>
                <w:color w:val="auto"/>
                <w:vertAlign w:val="superscript"/>
              </w:rPr>
              <w:t>(d)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line="205" w:lineRule="exact"/>
              <w:rPr>
                <w:sz w:val="20"/>
                <w:szCs w:val="20"/>
                <w:color w:val="auto"/>
              </w:rPr>
            </w:pPr>
            <w:r>
              <w:rPr>
                <w:rFonts w:ascii="Calibri" w:cs="Calibri" w:eastAsia="Calibri" w:hAnsi="Calibri"/>
                <w:sz w:val="17"/>
                <w:szCs w:val="17"/>
                <w:color w:val="auto"/>
              </w:rPr>
              <w:t>—</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w:t>
            </w:r>
          </w:p>
        </w:tc>
        <w:tc>
          <w:tcPr>
            <w:tcW w:w="0" w:type="dxa"/>
            <w:vAlign w:val="bottom"/>
          </w:tcPr>
          <w:p>
            <w:pPr>
              <w:spacing w:after="0"/>
              <w:rPr>
                <w:sz w:val="1"/>
                <w:szCs w:val="1"/>
                <w:color w:val="auto"/>
              </w:rPr>
            </w:pPr>
          </w:p>
        </w:tc>
      </w:tr>
      <w:tr>
        <w:trPr>
          <w:trHeight w:val="212"/>
        </w:trPr>
        <w:tc>
          <w:tcPr>
            <w:tcW w:w="640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Tax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5</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line="205" w:lineRule="exact"/>
              <w:rPr>
                <w:sz w:val="20"/>
                <w:szCs w:val="20"/>
                <w:color w:val="auto"/>
              </w:rPr>
            </w:pPr>
            <w:r>
              <w:rPr>
                <w:rFonts w:ascii="Calibri" w:cs="Calibri" w:eastAsia="Calibri" w:hAnsi="Calibri"/>
                <w:sz w:val="17"/>
                <w:szCs w:val="17"/>
                <w:color w:val="auto"/>
              </w:rPr>
              <w:t>13</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16</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Total reclassifcatons, net of tax</w:t>
            </w:r>
          </w:p>
        </w:tc>
        <w:tc>
          <w:tcPr>
            <w:tcW w:w="260" w:type="dxa"/>
            <w:vAlign w:val="bottom"/>
            <w:tcBorders>
              <w:bottom w:val="single" w:sz="8" w:color="auto"/>
            </w:tcBorders>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(20)</w:t>
            </w:r>
          </w:p>
        </w:tc>
        <w:tc>
          <w:tcPr>
            <w:tcW w:w="460" w:type="dxa"/>
            <w:vAlign w:val="bottom"/>
            <w:tcBorders>
              <w:bottom w:val="single" w:sz="8" w:color="auto"/>
            </w:tcBorders>
            <w:shd w:val="clear" w:color="auto" w:fill="CCEEFF"/>
          </w:tcPr>
          <w:p>
            <w:pPr>
              <w:jc w:val="right"/>
              <w:ind w:right="214"/>
              <w:spacing w:after="0" w:line="205" w:lineRule="exact"/>
              <w:rPr>
                <w:sz w:val="20"/>
                <w:szCs w:val="20"/>
                <w:color w:val="auto"/>
              </w:rPr>
            </w:pPr>
            <w:r>
              <w:rPr>
                <w:rFonts w:ascii="Calibri" w:cs="Calibri" w:eastAsia="Calibri" w:hAnsi="Calibri"/>
                <w:sz w:val="17"/>
                <w:szCs w:val="17"/>
                <w:color w:val="auto"/>
              </w:rPr>
              <w:t>$</w:t>
            </w: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(46)</w:t>
            </w:r>
          </w:p>
        </w:tc>
        <w:tc>
          <w:tcPr>
            <w:tcW w:w="440" w:type="dxa"/>
            <w:vAlign w:val="bottom"/>
            <w:tcBorders>
              <w:bottom w:val="single" w:sz="8" w:color="auto"/>
            </w:tcBorders>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7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20" w:hanging="217"/>
        <w:spacing w:after="0"/>
        <w:tabs>
          <w:tab w:leader="none" w:pos="22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Amounts are included in interest expense, net (see Note 8).</w:t>
      </w:r>
    </w:p>
    <w:p>
      <w:pPr>
        <w:spacing w:after="0" w:line="140" w:lineRule="exact"/>
        <w:rPr>
          <w:rFonts w:ascii="Calibri" w:cs="Calibri" w:eastAsia="Calibri" w:hAnsi="Calibri"/>
          <w:sz w:val="17"/>
          <w:szCs w:val="17"/>
          <w:color w:val="auto"/>
        </w:rPr>
      </w:pPr>
    </w:p>
    <w:p>
      <w:pPr>
        <w:ind w:left="240" w:hanging="237"/>
        <w:spacing w:after="0"/>
        <w:tabs>
          <w:tab w:leader="none" w:pos="2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Amounts are included in the computaton of net periodic beneft cost (see Note 9).</w:t>
      </w:r>
    </w:p>
    <w:p>
      <w:pPr>
        <w:spacing w:after="0" w:line="127" w:lineRule="exact"/>
        <w:rPr>
          <w:rFonts w:ascii="Calibri" w:cs="Calibri" w:eastAsia="Calibri" w:hAnsi="Calibri"/>
          <w:sz w:val="17"/>
          <w:szCs w:val="17"/>
          <w:color w:val="auto"/>
        </w:rPr>
      </w:pPr>
    </w:p>
    <w:p>
      <w:pPr>
        <w:ind w:left="220" w:hanging="217"/>
        <w:spacing w:after="0"/>
        <w:tabs>
          <w:tab w:leader="none" w:pos="22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Amounts are included in cost of products sold (see Note 8).</w:t>
      </w:r>
    </w:p>
    <w:p>
      <w:pPr>
        <w:spacing w:after="0" w:line="140" w:lineRule="exact"/>
        <w:rPr>
          <w:rFonts w:ascii="Calibri" w:cs="Calibri" w:eastAsia="Calibri" w:hAnsi="Calibri"/>
          <w:sz w:val="17"/>
          <w:szCs w:val="17"/>
          <w:color w:val="auto"/>
        </w:rPr>
      </w:pPr>
    </w:p>
    <w:p>
      <w:pPr>
        <w:ind w:left="240" w:hanging="237"/>
        <w:spacing w:after="0"/>
        <w:tabs>
          <w:tab w:leader="none" w:pos="2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Amounts are included in net foreign exchange loss (gain) (see Note 8).</w:t>
      </w:r>
    </w:p>
    <w:p>
      <w:pPr>
        <w:spacing w:after="0" w:line="19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Note 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4"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The efectve tax rate was 25% for the three months and 28% for the nine months ended September 30, 2024 compared to 9% for the three months and 20% for the nine months ended September 30, 2023. The efectve tax rate in each period difered from the U.S. statutory tax rate of 21% principally due to the impact of foreign operatons which refects the impact of lower income tax rates in locatons outside the United States, changes in fair value of contngent consideraton and business development actvites, including ImmunoGen and Cerevel Therapeutcs acquisiton-related costs. The increase in the efectve tax rate for the three months ended September 30, 2024 over the prior year was primarily due to changes in fair value of contngent consideraton, impact of foreign operatons and business development actvites. The increase in the efectve tax rate for the nine months ended September 30, 2024 over the prior year was primarily due to the impact of foreign operatons and business development actvites.</w:t>
      </w:r>
    </w:p>
    <w:p>
      <w:pPr>
        <w:spacing w:after="0" w:line="132"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It is reasonably possible that the company’s gross unrecognized tax benefts balance may change within the next 12 months by up to $58 million in connecton with statute of limitaton expiratons. The company has various federal, state and foreign examinatons ongoing. Finalizing examinatons with the relevant taxing authorites can include formal administratve and legal proceedings, and as a result, we cannot reasonably estmate the tming of resoluton for certain unrecognized tax benefts.</w:t>
      </w:r>
    </w:p>
    <w:p>
      <w:pPr>
        <w:spacing w:after="0" w:line="144"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Subsequent to September 30, 2024, the company was notfed that the administratve proceeding related to its U.S. federal income tax examinaton for certain tax years was substantally completed. Final resoluton of examinaton of such years may occur in the fourth quarter of 2024. The company antcipates that fnal resoluton will result in a decrease in the gross amount of unrecognized tax benefts on the condensed consolidated balance sheets and recogniton of an income tax beneft in the condensed consolidated statement of earnings, which could be material. The Company does not antcipate that such resoluton will have a signifcant impact on its cash fows.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26</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8" w:name="page29"/>
    <w:bookmarkEnd w:id="28"/>
    <w:p>
      <w:pPr>
        <w:spacing w:after="0"/>
        <w:rPr>
          <w:sz w:val="20"/>
          <w:szCs w:val="20"/>
          <w:color w:val="auto"/>
        </w:rPr>
      </w:pPr>
      <w:r>
        <w:rPr>
          <w:rFonts w:ascii="Calibri" w:cs="Calibri" w:eastAsia="Calibri" w:hAnsi="Calibri"/>
          <w:sz w:val="20"/>
          <w:szCs w:val="20"/>
          <w:b w:val="1"/>
          <w:bCs w:val="1"/>
          <w:color w:val="444867"/>
        </w:rPr>
        <w:t>Note 12 Legal Proceedings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p>
      <w:pPr>
        <w:spacing w:after="0" w:line="174"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AbbVie is subject to contngencies, such as various claims, legal proceedings and investgatons regarding product liability, intellectual property, commercial, securites and other maters that arise in the normal course of business. Loss contngency provisions are recorded for probable losses at management’s best estmate of a loss, or when a best estmate cannot be made, a minimum loss contngency amount within a probable range is recorded. The recorded accrual balance for litgaton was approximately $2.4 billion as of September 30, 2024 and $2.0 billion as of December 31, 2023. For litgaton maters discussed below for which a loss is probable or reasonably possible, the company is unable to estmate the possible loss or range of loss, if any, beyond the amounts accrued. Initaton of new legal proceedings or a change in the status of existng proceedings may result in a change in the estmated loss accrued by AbbVie. While it is not feasible to predict the outcome of all proceedings and exposures with certainty, management believes that their ultmate dispositon should not have a material adverse efect on AbbVie’s consolidated fnancial positon, results of operatons or cash fows.</w:t>
      </w:r>
    </w:p>
    <w:p>
      <w:pPr>
        <w:spacing w:after="0" w:line="146" w:lineRule="exact"/>
        <w:rPr>
          <w:sz w:val="20"/>
          <w:szCs w:val="20"/>
          <w:color w:val="auto"/>
        </w:rPr>
      </w:pPr>
    </w:p>
    <w:p>
      <w:pPr>
        <w:ind w:right="100"/>
        <w:spacing w:after="0" w:line="238" w:lineRule="auto"/>
        <w:rPr>
          <w:sz w:val="20"/>
          <w:szCs w:val="20"/>
          <w:color w:val="auto"/>
        </w:rPr>
      </w:pPr>
      <w:r>
        <w:rPr>
          <w:rFonts w:ascii="Calibri" w:cs="Calibri" w:eastAsia="Calibri" w:hAnsi="Calibri"/>
          <w:sz w:val="17"/>
          <w:szCs w:val="17"/>
          <w:color w:val="auto"/>
        </w:rPr>
        <w:t>Subject to certain exceptons specifed in the separaton agreement by and between Abbot Laboratories (Abbot) and AbbVie, AbbVie assumed the liability for, and control of, all pending and threatened legal maters related to its business, including liabilites for any claims or legal proceedings related to products that had been part of its business, but were discontnued prior to the distributon, as well as assumed or retained liabilites, and will indemnify Abbot for any liability arising out of or resultng from such assumed legal maters.</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Anttrust Litgaton</w:t>
      </w:r>
    </w:p>
    <w:p>
      <w:pPr>
        <w:spacing w:after="0" w:line="143"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Lawsuits are pending against AbbVie and others generally alleging that the 2005 patent litgaton setlement involving Niaspan entered into between Kos Pharmaceutcals, Inc. (a company acquired by Abbot in 2006 and presently a subsidiary of AbbVie) and a generic company violated federal and state anttrust laws and state unfair and deceptve trade practces and unjust enrichment laws. Plaintfs generally seek monetary damages and/or injunctve relief and atorneys' fees. The lawsuits pending in federal court consist of six individual plaintf lawsuits and a certfed class acton by Niaspan direct purchasers. The cases are pending in the United States District Court for the Eastern District of Pennsylvania for coordinated or consolidated pre-trial proceedings under the federal mult-district litgaton (MDL) Rules as In re: Niaspan Anttrust Litgaton, MDL No. 2460. In October 2016, the Orange County, California District Atorney’s Ofce fled a lawsuit on behalf of the State of California regarding the Niaspan patent litgaton setlement in Orange County Superior Court, assertng a claim under the unfair competton provision of the California Business and Professions Code seeking injunctve relief, resttuton, civil penaltes and atorneys’ fees.</w:t>
      </w:r>
    </w:p>
    <w:p>
      <w:pPr>
        <w:spacing w:after="0" w:line="133"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In August 2019, direct purchasers of AndroGel fled a lawsuit, King Drug Co. of Florence, Inc., et al. v. AbbVie Inc., et al., against AbbVie and others in the United States District Court for the Eastern District of Pennsylvania, alleging that 2006 patent litgaton setlements and related agreements by Solvay Pharmaceutcals, Inc. (a company Abbot acquired in February 2010 and now known as AbbVie Products LLC) with three generic companies violated federal anttrust law, and also alleging that 2011 patent litgaton by Abbot with two generic companies regarding AndroGel was sham litgaton and the setlements of those litgatons violated federal anttrust law. In September 2024, AbbVie and plaintfs reached an agreement to resolve this lawsuit. In November 2022, the State of Oregon fled a lawsuit in the Multnomah County, Oregon Circuit Court making similar allegatons regarding the 2011 patent litgaton with one of the generic companies.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Government Proceedings</w:t>
      </w:r>
    </w:p>
    <w:p>
      <w:pPr>
        <w:spacing w:after="0" w:line="105"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Lawsuits are pending against Allergan and several other manufacturers generally alleging that they improperly promoted and sold prescripton opioid products. Approximately 440 lawsuits are pending against Allergan in federal and state courts. Most of the federal court lawsuits are consolidated for pre-trial purposes in the United States District Court for the Northern District of Ohio under the MDL rules as In re: Natonal Prescripton Opiate Litgaton, MDL No. 2804. Approximately 35 of the lawsuits are pending in various state courts. The plaintfs in these lawsuits, which include states, countes, cites, other municipal enttes, Natve American tribes, union trust funds and other third-party payors, private hospitals and personal injury claimants, generally seek compensatory and punitve damages. Of these approximately 440 lawsuits, approximately 30 of them are brought by states, countes, cites, and other municipal enttes, approximately 10 of which are in the process of being dismissed pursuant to the previously announced setlement. Another approximately 45 of the approximately 440 lawsuits are covered by a proposed class setlement between Allergan and a class of acute care hospitals, which is subject to court approval and other contngencies.</w:t>
      </w:r>
    </w:p>
    <w:p>
      <w:pPr>
        <w:spacing w:after="0" w:line="146"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In March 2023, AbbVie Inc. fled a petton in the United States Tax Court, AbbVie Inc. and Subsidiaries v. Commissioner of Internal Revenue. The petton disputes the Internal Revenue Service determinaton concerning a $572 million income tax beneft recorded in 2014 related to a payment made to a third party for the terminaton of a proposed business combinaton.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27</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7"/>
          <w:szCs w:val="17"/>
          <w:b w:val="1"/>
          <w:bCs w:val="1"/>
          <w:color w:val="444867"/>
        </w:rPr>
        <w:t>Shareholder and Securites Litgaton</w:t>
      </w:r>
    </w:p>
    <w:p>
      <w:pPr>
        <w:spacing w:after="0" w:line="130" w:lineRule="exact"/>
        <w:rPr>
          <w:sz w:val="20"/>
          <w:szCs w:val="20"/>
          <w:color w:val="auto"/>
        </w:rPr>
      </w:pPr>
    </w:p>
    <w:p>
      <w:pPr>
        <w:ind w:right="180"/>
        <w:spacing w:after="0" w:line="238" w:lineRule="auto"/>
        <w:rPr>
          <w:sz w:val="20"/>
          <w:szCs w:val="20"/>
          <w:color w:val="auto"/>
        </w:rPr>
      </w:pPr>
      <w:r>
        <w:rPr>
          <w:rFonts w:ascii="Calibri" w:cs="Calibri" w:eastAsia="Calibri" w:hAnsi="Calibri"/>
          <w:sz w:val="17"/>
          <w:szCs w:val="17"/>
          <w:color w:val="auto"/>
        </w:rPr>
        <w:t>In October 2018, a federal securites lawsuit, Holwill v. AbbVie Inc., et al., was fled in the United States District Court for the Northern District of Illinois against AbbVie, its chief executve ofcer and former chief fnancial ofcer, alleging that reasons stated for Humira sales growth in fnancial flings between 2013 and 2018 were misleading because they omited alleged misconduct in connecton with Humira patent and reimbursement support services and other services and items of value that allegedly induced Humira prescriptons. In September 2021, the court granted plaintfs' moton to certfy a class.</w:t>
      </w:r>
    </w:p>
    <w:p>
      <w:pPr>
        <w:spacing w:after="0" w:line="144" w:lineRule="exact"/>
        <w:rPr>
          <w:sz w:val="20"/>
          <w:szCs w:val="20"/>
          <w:color w:val="auto"/>
        </w:rPr>
      </w:pPr>
    </w:p>
    <w:p>
      <w:pPr>
        <w:ind w:right="240"/>
        <w:spacing w:after="0" w:line="238" w:lineRule="auto"/>
        <w:rPr>
          <w:sz w:val="20"/>
          <w:szCs w:val="20"/>
          <w:color w:val="auto"/>
        </w:rPr>
      </w:pPr>
      <w:r>
        <w:rPr>
          <w:rFonts w:ascii="Calibri" w:cs="Calibri" w:eastAsia="Calibri" w:hAnsi="Calibri"/>
          <w:sz w:val="17"/>
          <w:szCs w:val="17"/>
          <w:color w:val="auto"/>
        </w:rPr>
        <w:t>In May and July 2022, two shareholder derivatve lawsuits, Treppel Family Trust v. Gonzalez et al., and Katcher v. Gonzalez, et al., were fled in the United States District Court for the Northern District of Illinois, alleging that certain AbbVie directors and ofcers breached fduciary and other legal dutes in making or allowing alleged misstatements regarding the potental efect that safety informaton about another company’s product would have on the Food and Drug Administraton’s approval and labeling for AbbVie’s Rinvoq. In October 2024, the court granted defendants’ moton to dismiss without prejudice.</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Product Liability and General Litgaton</w:t>
      </w:r>
    </w:p>
    <w:p>
      <w:pPr>
        <w:spacing w:after="0" w:line="143"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In April 2023, a putatve class acton lawsuit, Camargo v. AbbVie Inc., was fled in the United States District Court for the Northern District of Illinois on behalf of Humira patents who paid for Humira based on its list price or who, afer losing insurance coverage, discontnued Humira because they could not pay based on its list price, alleging that Humira’s list price is excessive in violaton of multple states’ unfair and deceptve trade practces statutes. The plaintf generally seeks monetary damages, injunctve relief, and atorneys’ fees.</w:t>
      </w:r>
    </w:p>
    <w:p>
      <w:pPr>
        <w:spacing w:after="0" w:line="144" w:lineRule="exact"/>
        <w:rPr>
          <w:sz w:val="20"/>
          <w:szCs w:val="20"/>
          <w:color w:val="auto"/>
        </w:rPr>
      </w:pPr>
    </w:p>
    <w:p>
      <w:pPr>
        <w:ind w:right="180"/>
        <w:spacing w:after="0" w:line="238" w:lineRule="auto"/>
        <w:rPr>
          <w:sz w:val="20"/>
          <w:szCs w:val="20"/>
          <w:color w:val="auto"/>
        </w:rPr>
      </w:pPr>
      <w:r>
        <w:rPr>
          <w:rFonts w:ascii="Calibri" w:cs="Calibri" w:eastAsia="Calibri" w:hAnsi="Calibri"/>
          <w:sz w:val="17"/>
          <w:szCs w:val="17"/>
          <w:color w:val="auto"/>
        </w:rPr>
        <w:t>In 2018, a qui tam lawsuit, U.S. ex rel. Silbersher v. Allergan Inc., et al., was fled in the United States District Court for the Northern District of California against several Allergan enttes and others, alleging that their conduct before the U.S. Patent Ofce resulted in false claims for payment being made to federal and state healthcare payors for Namenda XR and Namzaric. The plaintf-relator sought damages and atorneys' fees under the federal False Claims Act and state law analogues. The federal government and state governments declined to intervene in the lawsuit. In March 2023, the court granted Allergan’s moton to dismiss, dismissing plaintf-relator’s federal law claims with prejudice and state law claims without prejudice. The plaintf-relator is appealing the court’s moton to dismiss ruling.</w:t>
      </w:r>
    </w:p>
    <w:p>
      <w:pPr>
        <w:spacing w:after="0" w:line="132"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Lawsuits are pending against various Allergan enttes in the United States and other countries including Brazil, Canada, South Korea, and the Netherlands, in which plaintfs generally allege that they developed, or may develop, breast implant-associated anaplastc large cell lymphoma (ALCL) or other injuries from Allergan’s Biocell® textured breast implants, which were voluntarily withdrawn from worldwide markets in 2019. Approximately 130 ALCL lawsuits and 1,000 other lawsuits are coordinated for pre-trial purposes in the United States District Court for the District of New Jersey under the MDL rules as In re: Allergan Biocell Textured Breast Implant Product Liability Litgaton, MDL No. 2921. Approximately 75 ALCL lawsuits and 460 other lawsuits are pending in various state courts. Approximately 50 ALCL and 800 other lawsuits are pending in other countries. Plaintfs generally seek monetary damages, medical monitoring, and atorneys’ fees.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Intellectual Property Litgaton</w:t>
      </w:r>
    </w:p>
    <w:p>
      <w:pPr>
        <w:spacing w:after="0" w:line="143" w:lineRule="exact"/>
        <w:rPr>
          <w:sz w:val="20"/>
          <w:szCs w:val="20"/>
          <w:color w:val="auto"/>
        </w:rPr>
      </w:pPr>
    </w:p>
    <w:p>
      <w:pPr>
        <w:ind w:right="220"/>
        <w:spacing w:after="0" w:line="238" w:lineRule="auto"/>
        <w:rPr>
          <w:sz w:val="20"/>
          <w:szCs w:val="20"/>
          <w:color w:val="auto"/>
        </w:rPr>
      </w:pPr>
      <w:r>
        <w:rPr>
          <w:rFonts w:ascii="Calibri" w:cs="Calibri" w:eastAsia="Calibri" w:hAnsi="Calibri"/>
          <w:sz w:val="17"/>
          <w:szCs w:val="17"/>
          <w:color w:val="auto"/>
        </w:rPr>
        <w:t>AbbVie Inc. is seeking to enforce patent rights relatng to venetoclax (a drug sold under the trademark Venclexta). Litgaton was fled in the United States District Court for the District of Delaware in July 2020 against Dr. Reddy’s Laboratories, Ltd. and Dr. Reddy’s Laboratories, Inc. AbbVie alleges defendants’ proposed generic venetoclax products infringe certain patents and seeks declaratory and injunctve relief. Genentech, Inc., which is in a global collaboraton with AbbVie concerning the development and marketng of Venclexta, is the co-plaintf in this suit.</w:t>
      </w:r>
    </w:p>
    <w:p>
      <w:pPr>
        <w:spacing w:after="0" w:line="131"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AbbVie Inc. is seeking to enforce patent rights relatng to upadacitnib (a drug sold under the trademark Rinvoq). Litgaton was fled in the United States District Court for the District of Delaware in November 2023 against Hetero USA, Inc., Hetero Labs Limited, Hetero Labs Limited Unit-V, Aurobindo Pharma USA, Inc., Aurobindo Pharma Ltd., Sandoz, Inc. Sandoz Private Limited, Sandoz GMBH, and Sun Pharmaceutcal Industries, Ltd. AbbVie alleges defendants’ proposed generic upadacitnib products infringe certain patents and seeks declaratory and injunctve relief.</w:t>
      </w:r>
    </w:p>
    <w:p>
      <w:pPr>
        <w:spacing w:after="0" w:line="144"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AbbVie Inc. is seeking to enforce patent rights related to ubrogepant (a drug sold under the trademark Ubrelvy). Litgaton was fled in the United States District Court for the District of New Jersey in March 2024 against Aurobindo Pharma U.S.A., Inc., Aurobindo Pharma Limited, and Apitoria Pharma Private Limited; Zydus Pharmaceutcals (USA) Inc. and Zydus Lifesciences Limited; MSN Pharmaceutcals Inc., MSN Laboratories Private Limited, and MSN Life Sciences Private Limited; and Hetero USA Inc., Hetero Labs Limited Unit-III, and Hetero Labs Limited. AbbVie alleges defendants’ proposed generic ubrogepant products infringe certain patents and seeks declaratory and injunctve relief. Merck Sharp &amp; Dohme LLC, which exclusively licenses certain patents to AbbVie, is a co-plaintf in the litgaton.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28</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0" w:name="page31"/>
    <w:bookmarkEnd w:id="30"/>
    <w:p>
      <w:pPr>
        <w:spacing w:after="0"/>
        <w:rPr>
          <w:sz w:val="20"/>
          <w:szCs w:val="20"/>
          <w:color w:val="auto"/>
        </w:rPr>
      </w:pPr>
      <w:r>
        <w:rPr>
          <w:rFonts w:ascii="Calibri" w:cs="Calibri" w:eastAsia="Calibri" w:hAnsi="Calibri"/>
          <w:sz w:val="21"/>
          <w:szCs w:val="21"/>
          <w:b w:val="1"/>
          <w:bCs w:val="1"/>
          <w:color w:val="444867"/>
        </w:rPr>
        <w:t>Note 13 Segment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4"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AbbVie operates as a single global business segment dedicated to the research and development, manufacturing, commercializaton and sale of innovatve medicines and therapies. This operatng structure enables the Chief Executve Ofcer, as chief operatng decision maker (CODM), to allocate resources and assess business performance on a global basis in order to achieve established long-term strategic goals. Consistent with this structure, a global research and development and supply chain organizaton is responsible for the discovery, manufacturing and supply of products. Commercial eforts that coordinate the marketng, sales and distributon of these products are organized by geographic region or therapeutc area. All of these actvites are supported by a global corporate administratve staf. The determinaton of a single business segment is consistent with the consolidated fnancial informaton regularly reviewed by the CODM for purposes of assessing performance, allocatng resources and planning and forecastng future periods.</w:t>
      </w:r>
    </w:p>
    <w:p>
      <w:pPr>
        <w:spacing w:after="0" w:line="143"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details AbbVie’s worldwide net revenues: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80" w:type="dxa"/>
            <w:vAlign w:val="bottom"/>
            <w:gridSpan w:val="3"/>
          </w:tcPr>
          <w:p>
            <w:pPr>
              <w:jc w:val="right"/>
              <w:ind w:right="203"/>
              <w:spacing w:after="0"/>
              <w:rPr>
                <w:sz w:val="20"/>
                <w:szCs w:val="20"/>
                <w:color w:val="auto"/>
              </w:rPr>
            </w:pPr>
            <w:r>
              <w:rPr>
                <w:rFonts w:ascii="Calibri" w:cs="Calibri" w:eastAsia="Calibri" w:hAnsi="Calibri"/>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683"/>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gridSpan w:val="2"/>
          </w:tcPr>
          <w:p>
            <w:pPr>
              <w:jc w:val="right"/>
              <w:ind w:right="363"/>
              <w:spacing w:after="0" w:line="164" w:lineRule="exact"/>
              <w:rPr>
                <w:sz w:val="20"/>
                <w:szCs w:val="20"/>
                <w:color w:val="auto"/>
              </w:rPr>
            </w:pPr>
            <w:r>
              <w:rPr>
                <w:rFonts w:ascii="Calibri" w:cs="Calibri" w:eastAsia="Calibri" w:hAnsi="Calibri"/>
                <w:sz w:val="14"/>
                <w:szCs w:val="14"/>
                <w:b w:val="1"/>
                <w:bCs w:val="1"/>
                <w:color w:val="auto"/>
              </w:rPr>
              <w:t>September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960" w:type="dxa"/>
            <w:vAlign w:val="bottom"/>
            <w:vMerge w:val="restart"/>
          </w:tcPr>
          <w:p>
            <w:pPr>
              <w:ind w:left="80"/>
              <w:spacing w:after="0"/>
              <w:rPr>
                <w:sz w:val="20"/>
                <w:szCs w:val="20"/>
                <w:color w:val="auto"/>
              </w:rPr>
            </w:pPr>
            <w:r>
              <w:rPr>
                <w:rFonts w:ascii="Calibri" w:cs="Calibri" w:eastAsia="Calibri" w:hAnsi="Calibri"/>
                <w:sz w:val="14"/>
                <w:szCs w:val="14"/>
                <w:b w:val="1"/>
                <w:bCs w:val="1"/>
                <w:color w:val="auto"/>
              </w:rPr>
              <w:t>(in millions)</w:t>
            </w:r>
          </w:p>
        </w:tc>
        <w:tc>
          <w:tcPr>
            <w:tcW w:w="38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388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48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43"/>
              <w:spacing w:after="0" w:line="156"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3"/>
                <w:szCs w:val="13"/>
                <w:color w:val="auto"/>
              </w:rPr>
            </w:pPr>
          </w:p>
        </w:tc>
        <w:tc>
          <w:tcPr>
            <w:tcW w:w="840" w:type="dxa"/>
            <w:vAlign w:val="bottom"/>
          </w:tcPr>
          <w:p>
            <w:pPr>
              <w:jc w:val="right"/>
              <w:ind w:right="423"/>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96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Immunology</w:t>
            </w:r>
          </w:p>
        </w:tc>
        <w:tc>
          <w:tcPr>
            <w:tcW w:w="3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9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Humira</w:t>
            </w: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United States</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1,765</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3,020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5,896</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9,420</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Pr>
          <w:p>
            <w:pPr>
              <w:spacing w:after="0"/>
              <w:rPr>
                <w:sz w:val="16"/>
                <w:szCs w:val="16"/>
                <w:color w:val="auto"/>
              </w:rPr>
            </w:pP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462</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527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1,415</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1,680</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2,227</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7,311</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11,100</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Skyrizi</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800" w:type="dxa"/>
            <w:vAlign w:val="bottom"/>
            <w:tcBorders>
              <w:top w:val="single" w:sz="8" w:color="auto"/>
            </w:tcBorders>
          </w:tcPr>
          <w:p>
            <w:pPr>
              <w:jc w:val="right"/>
              <w:ind w:right="643"/>
              <w:spacing w:after="0" w:line="177" w:lineRule="exact"/>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2,778</w:t>
            </w:r>
          </w:p>
        </w:tc>
        <w:tc>
          <w:tcPr>
            <w:tcW w:w="900" w:type="dxa"/>
            <w:vAlign w:val="bottom"/>
            <w:tcBorders>
              <w:top w:val="single" w:sz="8" w:color="auto"/>
            </w:tcBorders>
          </w:tcPr>
          <w:p>
            <w:pPr>
              <w:jc w:val="right"/>
              <w:ind w:right="643"/>
              <w:spacing w:after="0" w:line="177" w:lineRule="exact"/>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1,875</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6,774</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4,648</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427</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1,166</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721</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3,205</w:t>
            </w:r>
          </w:p>
        </w:tc>
        <w:tc>
          <w:tcPr>
            <w:tcW w:w="9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2,126</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7,940</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5,369</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Rinvoq</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800" w:type="dxa"/>
            <w:vAlign w:val="bottom"/>
            <w:tcBorders>
              <w:bottom w:val="single" w:sz="8" w:color="CCEEFF"/>
            </w:tcBorders>
            <w:shd w:val="clear" w:color="auto" w:fill="CCEEFF"/>
          </w:tcPr>
          <w:p>
            <w:pPr>
              <w:jc w:val="right"/>
              <w:ind w:right="643"/>
              <w:spacing w:after="0" w:line="177" w:lineRule="exact"/>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1,170</w:t>
            </w:r>
          </w:p>
        </w:tc>
        <w:tc>
          <w:tcPr>
            <w:tcW w:w="900" w:type="dxa"/>
            <w:vAlign w:val="bottom"/>
            <w:tcBorders>
              <w:bottom w:val="single" w:sz="8" w:color="CCEEFF"/>
            </w:tcBorders>
            <w:shd w:val="clear" w:color="auto" w:fill="CCEEFF"/>
          </w:tcPr>
          <w:p>
            <w:pPr>
              <w:jc w:val="right"/>
              <w:ind w:right="643"/>
              <w:spacing w:after="0" w:line="177" w:lineRule="exact"/>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801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2,912</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1,895</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Pr>
          <w:p>
            <w:pPr>
              <w:spacing w:after="0"/>
              <w:rPr>
                <w:sz w:val="16"/>
                <w:szCs w:val="16"/>
                <w:color w:val="auto"/>
              </w:rPr>
            </w:pP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444</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309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1,225</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819</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1,614</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4,137</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2,714</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b w:val="1"/>
                <w:bCs w:val="1"/>
                <w:color w:val="auto"/>
              </w:rPr>
              <w:t>Oncology</w:t>
            </w:r>
          </w:p>
        </w:tc>
        <w:tc>
          <w:tcPr>
            <w:tcW w:w="3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9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Imbruvica</w:t>
            </w: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United States</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618</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1,823</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1,982</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Collaboraton revenues</w:t>
            </w:r>
          </w:p>
        </w:tc>
        <w:tc>
          <w:tcPr>
            <w:tcW w:w="800" w:type="dxa"/>
            <w:vAlign w:val="bottom"/>
          </w:tcPr>
          <w:p>
            <w:pPr>
              <w:spacing w:after="0"/>
              <w:rPr>
                <w:sz w:val="16"/>
                <w:szCs w:val="16"/>
                <w:color w:val="auto"/>
              </w:rPr>
            </w:pP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210</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676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711</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828</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2,499</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2,693</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Venclexta</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800" w:type="dxa"/>
            <w:vAlign w:val="bottom"/>
            <w:tcBorders>
              <w:top w:val="single" w:sz="8" w:color="auto"/>
            </w:tcBorders>
          </w:tcPr>
          <w:p>
            <w:pPr>
              <w:jc w:val="right"/>
              <w:ind w:right="643"/>
              <w:spacing w:after="0" w:line="177" w:lineRule="exact"/>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340</w:t>
            </w:r>
          </w:p>
        </w:tc>
        <w:tc>
          <w:tcPr>
            <w:tcW w:w="900" w:type="dxa"/>
            <w:vAlign w:val="bottom"/>
            <w:tcBorders>
              <w:top w:val="single" w:sz="8" w:color="auto"/>
            </w:tcBorders>
          </w:tcPr>
          <w:p>
            <w:pPr>
              <w:jc w:val="right"/>
              <w:ind w:right="643"/>
              <w:spacing w:after="0" w:line="177" w:lineRule="exact"/>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281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921</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811</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337</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1,007</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888</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677</w:t>
            </w:r>
          </w:p>
        </w:tc>
        <w:tc>
          <w:tcPr>
            <w:tcW w:w="9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590</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1,928</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1,699</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960" w:type="dxa"/>
            <w:vAlign w:val="bottom"/>
            <w:tcBorders>
              <w:bottom w:val="single" w:sz="8" w:color="auto"/>
            </w:tcBorders>
            <w:shd w:val="clear" w:color="auto" w:fill="CCEEFF"/>
          </w:tcPr>
          <w:p>
            <w:pPr>
              <w:ind w:left="20"/>
              <w:spacing w:after="0" w:line="225" w:lineRule="exact"/>
              <w:rPr>
                <w:sz w:val="20"/>
                <w:szCs w:val="20"/>
                <w:color w:val="auto"/>
              </w:rPr>
            </w:pPr>
            <w:r>
              <w:rPr>
                <w:rFonts w:ascii="Calibri" w:cs="Calibri" w:eastAsia="Calibri" w:hAnsi="Calibri"/>
                <w:sz w:val="15"/>
                <w:szCs w:val="15"/>
                <w:color w:val="auto"/>
              </w:rPr>
              <w:t>Elahere</w:t>
            </w:r>
            <w:r>
              <w:rPr>
                <w:rFonts w:ascii="Calibri" w:cs="Calibri" w:eastAsia="Calibri" w:hAnsi="Calibri"/>
                <w:sz w:val="20"/>
                <w:szCs w:val="20"/>
                <w:color w:val="auto"/>
                <w:vertAlign w:val="superscript"/>
              </w:rPr>
              <w:t>(a)</w:t>
            </w:r>
          </w:p>
        </w:tc>
        <w:tc>
          <w:tcPr>
            <w:tcW w:w="3880" w:type="dxa"/>
            <w:vAlign w:val="bottom"/>
            <w:tcBorders>
              <w:bottom w:val="single" w:sz="8" w:color="auto"/>
            </w:tcBorders>
            <w:shd w:val="clear" w:color="auto" w:fill="CCEEFF"/>
          </w:tcPr>
          <w:p>
            <w:pPr>
              <w:ind w:left="660"/>
              <w:spacing w:after="0"/>
              <w:rPr>
                <w:sz w:val="20"/>
                <w:szCs w:val="20"/>
                <w:color w:val="auto"/>
              </w:rPr>
            </w:pPr>
            <w:r>
              <w:rPr>
                <w:rFonts w:ascii="Calibri" w:cs="Calibri" w:eastAsia="Calibri" w:hAnsi="Calibri"/>
                <w:sz w:val="15"/>
                <w:szCs w:val="15"/>
                <w:color w:val="auto"/>
              </w:rPr>
              <w:t>United States</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139</w:t>
            </w:r>
          </w:p>
        </w:tc>
        <w:tc>
          <w:tcPr>
            <w:tcW w:w="900" w:type="dxa"/>
            <w:vAlign w:val="bottom"/>
            <w:tcBorders>
              <w:bottom w:val="single" w:sz="8" w:color="auto"/>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Calibri" w:cs="Calibri" w:eastAsia="Calibri" w:hAnsi="Calibri"/>
                <w:sz w:val="15"/>
                <w:szCs w:val="15"/>
                <w:color w:val="auto"/>
              </w:rPr>
              <w:t>—</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331</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8"/>
        </w:trPr>
        <w:tc>
          <w:tcPr>
            <w:tcW w:w="1960" w:type="dxa"/>
            <w:vAlign w:val="bottom"/>
          </w:tcPr>
          <w:p>
            <w:pPr>
              <w:ind w:left="20"/>
              <w:spacing w:after="0"/>
              <w:rPr>
                <w:sz w:val="20"/>
                <w:szCs w:val="20"/>
                <w:color w:val="auto"/>
              </w:rPr>
            </w:pPr>
            <w:r>
              <w:rPr>
                <w:rFonts w:ascii="Calibri" w:cs="Calibri" w:eastAsia="Calibri" w:hAnsi="Calibri"/>
                <w:sz w:val="15"/>
                <w:szCs w:val="15"/>
                <w:color w:val="auto"/>
              </w:rPr>
              <w:t>Epkinly</w:t>
            </w:r>
          </w:p>
        </w:tc>
        <w:tc>
          <w:tcPr>
            <w:tcW w:w="3880" w:type="dxa"/>
            <w:vAlign w:val="bottom"/>
          </w:tcPr>
          <w:p>
            <w:pPr>
              <w:ind w:left="660"/>
              <w:spacing w:after="0"/>
              <w:rPr>
                <w:sz w:val="20"/>
                <w:szCs w:val="20"/>
                <w:color w:val="auto"/>
              </w:rPr>
            </w:pPr>
            <w:r>
              <w:rPr>
                <w:rFonts w:ascii="Calibri" w:cs="Calibri" w:eastAsia="Calibri" w:hAnsi="Calibri"/>
                <w:sz w:val="15"/>
                <w:szCs w:val="15"/>
                <w:color w:val="auto"/>
              </w:rPr>
              <w:t>Collaboraton Revenues</w:t>
            </w:r>
          </w:p>
        </w:tc>
        <w:tc>
          <w:tcPr>
            <w:tcW w:w="800" w:type="dxa"/>
            <w:vAlign w:val="bottom"/>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31</w:t>
            </w:r>
          </w:p>
        </w:tc>
        <w:tc>
          <w:tcPr>
            <w:tcW w:w="900" w:type="dxa"/>
            <w:vAlign w:val="bottom"/>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14</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82</w:t>
            </w:r>
          </w:p>
        </w:tc>
        <w:tc>
          <w:tcPr>
            <w:tcW w:w="520" w:type="dxa"/>
            <w:vAlign w:val="bottom"/>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14</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12</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24</w:t>
            </w: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43</w:t>
            </w:r>
          </w:p>
        </w:tc>
        <w:tc>
          <w:tcPr>
            <w:tcW w:w="9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106</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14</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b w:val="1"/>
                <w:bCs w:val="1"/>
                <w:color w:val="auto"/>
              </w:rPr>
              <w:t>Aesthetcs</w:t>
            </w:r>
          </w:p>
        </w:tc>
        <w:tc>
          <w:tcPr>
            <w:tcW w:w="38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tcPr>
          <w:p>
            <w:pPr>
              <w:ind w:left="20"/>
              <w:spacing w:after="0"/>
              <w:rPr>
                <w:sz w:val="20"/>
                <w:szCs w:val="20"/>
                <w:color w:val="auto"/>
              </w:rPr>
            </w:pPr>
            <w:r>
              <w:rPr>
                <w:rFonts w:ascii="Calibri" w:cs="Calibri" w:eastAsia="Calibri" w:hAnsi="Calibri"/>
                <w:sz w:val="15"/>
                <w:szCs w:val="15"/>
                <w:color w:val="auto"/>
              </w:rPr>
              <w:t>Botox Cosmetc</w:t>
            </w:r>
          </w:p>
        </w:tc>
        <w:tc>
          <w:tcPr>
            <w:tcW w:w="3880" w:type="dxa"/>
            <w:vAlign w:val="bottom"/>
          </w:tcPr>
          <w:p>
            <w:pPr>
              <w:ind w:left="660"/>
              <w:spacing w:after="0"/>
              <w:rPr>
                <w:sz w:val="20"/>
                <w:szCs w:val="20"/>
                <w:color w:val="auto"/>
              </w:rPr>
            </w:pPr>
            <w:r>
              <w:rPr>
                <w:rFonts w:ascii="Calibri" w:cs="Calibri" w:eastAsia="Calibri" w:hAnsi="Calibri"/>
                <w:sz w:val="15"/>
                <w:szCs w:val="15"/>
                <w:color w:val="auto"/>
              </w:rPr>
              <w:t>United States</w:t>
            </w:r>
          </w:p>
        </w:tc>
        <w:tc>
          <w:tcPr>
            <w:tcW w:w="800" w:type="dxa"/>
            <w:vAlign w:val="bottom"/>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414</w:t>
            </w:r>
          </w:p>
        </w:tc>
        <w:tc>
          <w:tcPr>
            <w:tcW w:w="900" w:type="dxa"/>
            <w:vAlign w:val="bottom"/>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388</w:t>
            </w:r>
          </w:p>
        </w:tc>
        <w:tc>
          <w:tcPr>
            <w:tcW w:w="10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1,253</w:t>
            </w:r>
          </w:p>
        </w:tc>
        <w:tc>
          <w:tcPr>
            <w:tcW w:w="520" w:type="dxa"/>
            <w:vAlign w:val="bottom"/>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1,217</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257</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780</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747</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671</w:t>
            </w:r>
          </w:p>
        </w:tc>
        <w:tc>
          <w:tcPr>
            <w:tcW w:w="9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620</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2,033</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1,964</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Juvederm Collecton</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800" w:type="dxa"/>
            <w:vAlign w:val="bottom"/>
            <w:tcBorders>
              <w:bottom w:val="single" w:sz="8" w:color="CCEEFF"/>
            </w:tcBorders>
            <w:shd w:val="clear" w:color="auto" w:fill="CCEEFF"/>
          </w:tcPr>
          <w:p>
            <w:pPr>
              <w:jc w:val="right"/>
              <w:ind w:right="643"/>
              <w:spacing w:after="0" w:line="177" w:lineRule="exact"/>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105</w:t>
            </w:r>
          </w:p>
        </w:tc>
        <w:tc>
          <w:tcPr>
            <w:tcW w:w="900" w:type="dxa"/>
            <w:vAlign w:val="bottom"/>
            <w:tcBorders>
              <w:bottom w:val="single" w:sz="8" w:color="CCEEFF"/>
            </w:tcBorders>
            <w:shd w:val="clear" w:color="auto" w:fill="CCEEFF"/>
          </w:tcPr>
          <w:p>
            <w:pPr>
              <w:jc w:val="right"/>
              <w:ind w:right="643"/>
              <w:spacing w:after="0" w:line="177" w:lineRule="exact"/>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349</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363</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Pr>
          <w:p>
            <w:pPr>
              <w:spacing w:after="0"/>
              <w:rPr>
                <w:sz w:val="16"/>
                <w:szCs w:val="16"/>
                <w:color w:val="auto"/>
              </w:rPr>
            </w:pP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153</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549</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681</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258</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898</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1,044</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Other Aesthetcs</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800" w:type="dxa"/>
            <w:vAlign w:val="bottom"/>
            <w:tcBorders>
              <w:top w:val="single" w:sz="8" w:color="auto"/>
            </w:tcBorders>
          </w:tcPr>
          <w:p>
            <w:pPr>
              <w:jc w:val="right"/>
              <w:ind w:right="643"/>
              <w:spacing w:after="0" w:line="177" w:lineRule="exact"/>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272</w:t>
            </w:r>
          </w:p>
        </w:tc>
        <w:tc>
          <w:tcPr>
            <w:tcW w:w="900" w:type="dxa"/>
            <w:vAlign w:val="bottom"/>
            <w:tcBorders>
              <w:top w:val="single" w:sz="8" w:color="auto"/>
            </w:tcBorders>
          </w:tcPr>
          <w:p>
            <w:pPr>
              <w:jc w:val="right"/>
              <w:ind w:right="643"/>
              <w:spacing w:after="0" w:line="177" w:lineRule="exact"/>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255</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828</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785</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38</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119</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130</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310</w:t>
            </w:r>
          </w:p>
        </w:tc>
        <w:tc>
          <w:tcPr>
            <w:tcW w:w="9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298</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947</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915</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b w:val="1"/>
                <w:bCs w:val="1"/>
                <w:color w:val="auto"/>
              </w:rPr>
              <w:t>Neuroscience</w:t>
            </w:r>
          </w:p>
        </w:tc>
        <w:tc>
          <w:tcPr>
            <w:tcW w:w="38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tcPr>
          <w:p>
            <w:pPr>
              <w:ind w:left="20"/>
              <w:spacing w:after="0"/>
              <w:rPr>
                <w:sz w:val="20"/>
                <w:szCs w:val="20"/>
                <w:color w:val="auto"/>
              </w:rPr>
            </w:pPr>
            <w:r>
              <w:rPr>
                <w:rFonts w:ascii="Calibri" w:cs="Calibri" w:eastAsia="Calibri" w:hAnsi="Calibri"/>
                <w:sz w:val="15"/>
                <w:szCs w:val="15"/>
                <w:color w:val="auto"/>
              </w:rPr>
              <w:t>Botox Therapeutc</w:t>
            </w:r>
          </w:p>
        </w:tc>
        <w:tc>
          <w:tcPr>
            <w:tcW w:w="3880" w:type="dxa"/>
            <w:vAlign w:val="bottom"/>
          </w:tcPr>
          <w:p>
            <w:pPr>
              <w:ind w:left="660"/>
              <w:spacing w:after="0"/>
              <w:rPr>
                <w:sz w:val="20"/>
                <w:szCs w:val="20"/>
                <w:color w:val="auto"/>
              </w:rPr>
            </w:pPr>
            <w:r>
              <w:rPr>
                <w:rFonts w:ascii="Calibri" w:cs="Calibri" w:eastAsia="Calibri" w:hAnsi="Calibri"/>
                <w:sz w:val="15"/>
                <w:szCs w:val="15"/>
                <w:color w:val="auto"/>
              </w:rPr>
              <w:t>United States</w:t>
            </w:r>
          </w:p>
        </w:tc>
        <w:tc>
          <w:tcPr>
            <w:tcW w:w="800" w:type="dxa"/>
            <w:vAlign w:val="bottom"/>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708</w:t>
            </w:r>
          </w:p>
        </w:tc>
        <w:tc>
          <w:tcPr>
            <w:tcW w:w="900" w:type="dxa"/>
            <w:vAlign w:val="bottom"/>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626</w:t>
            </w:r>
          </w:p>
        </w:tc>
        <w:tc>
          <w:tcPr>
            <w:tcW w:w="10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1,988</w:t>
            </w:r>
          </w:p>
        </w:tc>
        <w:tc>
          <w:tcPr>
            <w:tcW w:w="520" w:type="dxa"/>
            <w:vAlign w:val="bottom"/>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1,827</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140</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422</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388</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848</w:t>
            </w:r>
          </w:p>
        </w:tc>
        <w:tc>
          <w:tcPr>
            <w:tcW w:w="900" w:type="dxa"/>
            <w:vAlign w:val="bottom"/>
            <w:tcBorders>
              <w:top w:val="single" w:sz="8" w:color="auto"/>
            </w:tcBorders>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748</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2,410</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2,215</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Vraylar</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800" w:type="dxa"/>
            <w:vAlign w:val="bottom"/>
            <w:tcBorders>
              <w:bottom w:val="single" w:sz="8" w:color="CCEEFF"/>
            </w:tcBorders>
            <w:shd w:val="clear" w:color="auto" w:fill="CCEEFF"/>
          </w:tcPr>
          <w:p>
            <w:pPr>
              <w:jc w:val="right"/>
              <w:ind w:right="643"/>
              <w:spacing w:after="0" w:line="177" w:lineRule="exact"/>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873</w:t>
            </w:r>
          </w:p>
        </w:tc>
        <w:tc>
          <w:tcPr>
            <w:tcW w:w="900" w:type="dxa"/>
            <w:vAlign w:val="bottom"/>
            <w:tcBorders>
              <w:bottom w:val="single" w:sz="8" w:color="CCEEFF"/>
            </w:tcBorders>
            <w:shd w:val="clear" w:color="auto" w:fill="CCEEFF"/>
          </w:tcPr>
          <w:p>
            <w:pPr>
              <w:jc w:val="right"/>
              <w:ind w:right="643"/>
              <w:spacing w:after="0" w:line="177" w:lineRule="exact"/>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750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2,338</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1,967</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800" w:type="dxa"/>
            <w:vAlign w:val="bottom"/>
          </w:tcPr>
          <w:p>
            <w:pPr>
              <w:spacing w:after="0"/>
              <w:rPr>
                <w:sz w:val="16"/>
                <w:szCs w:val="16"/>
                <w:color w:val="auto"/>
              </w:rPr>
            </w:pPr>
          </w:p>
        </w:tc>
        <w:tc>
          <w:tcPr>
            <w:tcW w:w="480" w:type="dxa"/>
            <w:vAlign w:val="bottom"/>
          </w:tcPr>
          <w:p>
            <w:pPr>
              <w:jc w:val="right"/>
              <w:ind w:right="3"/>
              <w:spacing w:after="0"/>
              <w:rPr>
                <w:sz w:val="20"/>
                <w:szCs w:val="20"/>
                <w:color w:val="auto"/>
              </w:rPr>
            </w:pPr>
            <w:r>
              <w:rPr>
                <w:rFonts w:ascii="Calibri" w:cs="Calibri" w:eastAsia="Calibri" w:hAnsi="Calibri"/>
                <w:sz w:val="15"/>
                <w:szCs w:val="15"/>
                <w:color w:val="auto"/>
              </w:rPr>
              <w:t>2</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5</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3</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8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w w:val="78"/>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875</w:t>
            </w:r>
          </w:p>
        </w:tc>
        <w:tc>
          <w:tcPr>
            <w:tcW w:w="900" w:type="dxa"/>
            <w:vAlign w:val="bottom"/>
            <w:tcBorders>
              <w:bottom w:val="single" w:sz="8" w:color="CCEEFF"/>
            </w:tcBorders>
            <w:shd w:val="clear" w:color="auto" w:fill="CCEEFF"/>
          </w:tcPr>
          <w:p>
            <w:pPr>
              <w:jc w:val="right"/>
              <w:ind w:right="643"/>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2,343</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1,970</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8440"/>
        <w:spacing w:after="0"/>
        <w:rPr>
          <w:sz w:val="20"/>
          <w:szCs w:val="20"/>
          <w:color w:val="auto"/>
        </w:rPr>
      </w:pPr>
      <w:r>
        <w:rPr>
          <w:rFonts w:ascii="Calibri" w:cs="Calibri" w:eastAsia="Calibri" w:hAnsi="Calibri"/>
          <w:sz w:val="18"/>
          <w:szCs w:val="18"/>
          <w:i w:val="1"/>
          <w:iCs w:val="1"/>
          <w:color w:val="auto"/>
        </w:rPr>
        <w:t xml:space="preserve">2024 Form 10-Q </w:t>
      </w:r>
      <w:r>
        <w:rPr>
          <w:rFonts w:ascii="Calibri" w:cs="Calibri" w:eastAsia="Calibri" w:hAnsi="Calibri"/>
          <w:sz w:val="18"/>
          <w:szCs w:val="18"/>
          <w:b w:val="1"/>
          <w:bCs w:val="1"/>
          <w:color w:val="auto"/>
        </w:rPr>
        <w:t xml:space="preserve">| </w:t>
      </w:r>
      <w:r>
        <w:rPr>
          <w:sz w:val="1"/>
          <w:szCs w:val="1"/>
          <w:color w:val="auto"/>
        </w:rPr>
        <w:drawing>
          <wp:inline distT="0" distB="0" distL="0" distR="0">
            <wp:extent cx="491490" cy="9017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1490" cy="90170"/>
                    </a:xfrm>
                    <a:prstGeom prst="rect">
                      <a:avLst/>
                    </a:prstGeom>
                    <a:noFill/>
                    <a:ln>
                      <a:noFill/>
                    </a:ln>
                  </pic:spPr>
                </pic:pic>
              </a:graphicData>
            </a:graphic>
          </wp:inline>
        </w:drawing>
      </w:r>
      <w:r>
        <w:rPr>
          <w:rFonts w:ascii="Calibri" w:cs="Calibri" w:eastAsia="Calibri" w:hAnsi="Calibri"/>
          <w:sz w:val="33"/>
          <w:szCs w:val="33"/>
          <w:b w:val="1"/>
          <w:bCs w:val="1"/>
          <w:i w:val="1"/>
          <w:iCs w:val="1"/>
          <w:color w:val="auto"/>
          <w:vertAlign w:val="superscript"/>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40" w:type="dxa"/>
            <w:vAlign w:val="bottom"/>
            <w:gridSpan w:val="3"/>
          </w:tcPr>
          <w:p>
            <w:pPr>
              <w:jc w:val="right"/>
              <w:ind w:right="163"/>
              <w:spacing w:after="0"/>
              <w:rPr>
                <w:sz w:val="20"/>
                <w:szCs w:val="20"/>
                <w:color w:val="auto"/>
              </w:rPr>
            </w:pPr>
            <w:r>
              <w:rPr>
                <w:rFonts w:ascii="Calibri" w:cs="Calibri" w:eastAsia="Calibri" w:hAnsi="Calibri"/>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683"/>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2"/>
          </w:tcPr>
          <w:p>
            <w:pPr>
              <w:jc w:val="right"/>
              <w:ind w:right="323"/>
              <w:spacing w:after="0" w:line="164" w:lineRule="exact"/>
              <w:rPr>
                <w:sz w:val="20"/>
                <w:szCs w:val="20"/>
                <w:color w:val="auto"/>
              </w:rPr>
            </w:pPr>
            <w:r>
              <w:rPr>
                <w:rFonts w:ascii="Calibri" w:cs="Calibri" w:eastAsia="Calibri" w:hAnsi="Calibri"/>
                <w:sz w:val="14"/>
                <w:szCs w:val="14"/>
                <w:b w:val="1"/>
                <w:bCs w:val="1"/>
                <w:color w:val="auto"/>
              </w:rPr>
              <w:t>September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960" w:type="dxa"/>
            <w:vAlign w:val="bottom"/>
            <w:vMerge w:val="restart"/>
          </w:tcPr>
          <w:p>
            <w:pPr>
              <w:ind w:left="80"/>
              <w:spacing w:after="0"/>
              <w:rPr>
                <w:sz w:val="20"/>
                <w:szCs w:val="20"/>
                <w:color w:val="auto"/>
              </w:rPr>
            </w:pPr>
            <w:r>
              <w:rPr>
                <w:rFonts w:ascii="Calibri" w:cs="Calibri" w:eastAsia="Calibri" w:hAnsi="Calibri"/>
                <w:sz w:val="14"/>
                <w:szCs w:val="14"/>
                <w:b w:val="1"/>
                <w:bCs w:val="1"/>
                <w:color w:val="auto"/>
              </w:rPr>
              <w:t>(in millions)</w:t>
            </w:r>
          </w:p>
        </w:tc>
        <w:tc>
          <w:tcPr>
            <w:tcW w:w="38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38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43"/>
              <w:spacing w:after="0" w:line="156"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3"/>
                <w:szCs w:val="13"/>
                <w:color w:val="auto"/>
              </w:rPr>
            </w:pPr>
          </w:p>
        </w:tc>
        <w:tc>
          <w:tcPr>
            <w:tcW w:w="840" w:type="dxa"/>
            <w:vAlign w:val="bottom"/>
          </w:tcPr>
          <w:p>
            <w:pPr>
              <w:jc w:val="right"/>
              <w:ind w:right="423"/>
              <w:spacing w:after="0" w:line="156"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0"/>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960" w:type="dxa"/>
            <w:vAlign w:val="bottom"/>
          </w:tcPr>
          <w:p>
            <w:pPr>
              <w:ind w:left="20"/>
              <w:spacing w:after="0" w:line="177" w:lineRule="exact"/>
              <w:rPr>
                <w:sz w:val="20"/>
                <w:szCs w:val="20"/>
                <w:color w:val="auto"/>
              </w:rPr>
            </w:pPr>
            <w:r>
              <w:rPr>
                <w:rFonts w:ascii="Calibri" w:cs="Calibri" w:eastAsia="Calibri" w:hAnsi="Calibri"/>
                <w:sz w:val="15"/>
                <w:szCs w:val="15"/>
                <w:color w:val="auto"/>
              </w:rPr>
              <w:t>Duodopa</w:t>
            </w:r>
          </w:p>
        </w:tc>
        <w:tc>
          <w:tcPr>
            <w:tcW w:w="3880" w:type="dxa"/>
            <w:vAlign w:val="bottom"/>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Pr>
          <w:p>
            <w:pPr>
              <w:jc w:val="right"/>
              <w:ind w:right="3"/>
              <w:spacing w:after="0" w:line="177" w:lineRule="exact"/>
              <w:rPr>
                <w:sz w:val="20"/>
                <w:szCs w:val="20"/>
                <w:color w:val="auto"/>
              </w:rPr>
            </w:pPr>
            <w:r>
              <w:rPr>
                <w:rFonts w:ascii="Calibri" w:cs="Calibri" w:eastAsia="Calibri" w:hAnsi="Calibri"/>
                <w:sz w:val="15"/>
                <w:szCs w:val="15"/>
                <w:color w:val="auto"/>
              </w:rPr>
              <w:t>24</w:t>
            </w:r>
          </w:p>
        </w:tc>
        <w:tc>
          <w:tcPr>
            <w:tcW w:w="860" w:type="dxa"/>
            <w:vAlign w:val="bottom"/>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Pr>
          <w:p>
            <w:pPr>
              <w:jc w:val="right"/>
              <w:spacing w:after="0" w:line="177" w:lineRule="exact"/>
              <w:rPr>
                <w:sz w:val="20"/>
                <w:szCs w:val="20"/>
                <w:color w:val="auto"/>
              </w:rPr>
            </w:pPr>
            <w:r>
              <w:rPr>
                <w:rFonts w:ascii="Calibri" w:cs="Calibri" w:eastAsia="Calibri" w:hAnsi="Calibri"/>
                <w:sz w:val="15"/>
                <w:szCs w:val="15"/>
                <w:color w:val="auto"/>
              </w:rPr>
              <w:t>25</w:t>
            </w:r>
          </w:p>
        </w:tc>
        <w:tc>
          <w:tcPr>
            <w:tcW w:w="100" w:type="dxa"/>
            <w:vAlign w:val="bottom"/>
          </w:tcPr>
          <w:p>
            <w:pPr>
              <w:spacing w:after="0"/>
              <w:rPr>
                <w:sz w:val="15"/>
                <w:szCs w:val="15"/>
                <w:color w:val="auto"/>
              </w:rPr>
            </w:pPr>
          </w:p>
        </w:tc>
        <w:tc>
          <w:tcPr>
            <w:tcW w:w="300" w:type="dxa"/>
            <w:vAlign w:val="bottom"/>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Pr>
          <w:p>
            <w:pPr>
              <w:jc w:val="right"/>
              <w:ind w:right="3"/>
              <w:spacing w:after="0" w:line="177" w:lineRule="exact"/>
              <w:rPr>
                <w:sz w:val="20"/>
                <w:szCs w:val="20"/>
                <w:color w:val="auto"/>
              </w:rPr>
            </w:pPr>
            <w:r>
              <w:rPr>
                <w:rFonts w:ascii="Calibri" w:cs="Calibri" w:eastAsia="Calibri" w:hAnsi="Calibri"/>
                <w:sz w:val="15"/>
                <w:szCs w:val="15"/>
                <w:color w:val="auto"/>
              </w:rPr>
              <w:t>72</w:t>
            </w:r>
          </w:p>
        </w:tc>
        <w:tc>
          <w:tcPr>
            <w:tcW w:w="520" w:type="dxa"/>
            <w:vAlign w:val="bottom"/>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Pr>
          <w:p>
            <w:pPr>
              <w:jc w:val="right"/>
              <w:spacing w:after="0" w:line="177" w:lineRule="exact"/>
              <w:rPr>
                <w:sz w:val="20"/>
                <w:szCs w:val="20"/>
                <w:color w:val="auto"/>
              </w:rPr>
            </w:pPr>
            <w:r>
              <w:rPr>
                <w:rFonts w:ascii="Calibri" w:cs="Calibri" w:eastAsia="Calibri" w:hAnsi="Calibri"/>
                <w:sz w:val="15"/>
                <w:szCs w:val="15"/>
                <w:color w:val="auto"/>
              </w:rPr>
              <w:t>74</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87</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267</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279</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top w:val="single" w:sz="8" w:color="auto"/>
            </w:tcBorders>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111</w:t>
            </w:r>
          </w:p>
        </w:tc>
        <w:tc>
          <w:tcPr>
            <w:tcW w:w="860" w:type="dxa"/>
            <w:vAlign w:val="bottom"/>
            <w:tcBorders>
              <w:top w:val="single" w:sz="8" w:color="auto"/>
            </w:tcBorders>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118</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339</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353</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Ubrelvy</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261</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685</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574</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8</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18</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7</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269</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703</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581</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Qulipta</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168</w:t>
            </w:r>
          </w:p>
        </w:tc>
        <w:tc>
          <w:tcPr>
            <w:tcW w:w="8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442</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292</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8</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15</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Total</w:t>
            </w:r>
          </w:p>
        </w:tc>
        <w:tc>
          <w:tcPr>
            <w:tcW w:w="7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176</w:t>
            </w:r>
          </w:p>
        </w:tc>
        <w:tc>
          <w:tcPr>
            <w:tcW w:w="8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457</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294</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Other Neuroscience</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54</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172</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195</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30</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66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15</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84</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238</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210</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b w:val="1"/>
                <w:bCs w:val="1"/>
                <w:color w:val="auto"/>
              </w:rPr>
              <w:t>Eye Care</w:t>
            </w:r>
          </w:p>
        </w:tc>
        <w:tc>
          <w:tcPr>
            <w:tcW w:w="38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9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Ozurdex</w:t>
            </w: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33</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102</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107</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86</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272</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247</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119</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374</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354</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Lumigan/Ganfort</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58</w:t>
            </w:r>
          </w:p>
        </w:tc>
        <w:tc>
          <w:tcPr>
            <w:tcW w:w="8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28</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129</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142</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58</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181</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198</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top w:val="single" w:sz="8" w:color="auto"/>
            </w:tcBorders>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116</w:t>
            </w:r>
          </w:p>
        </w:tc>
        <w:tc>
          <w:tcPr>
            <w:tcW w:w="860" w:type="dxa"/>
            <w:vAlign w:val="bottom"/>
            <w:tcBorders>
              <w:top w:val="single" w:sz="8" w:color="auto"/>
            </w:tcBorders>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91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310</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340</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Alphagan/Combigan</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26</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54</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90</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36</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116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116</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62</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170</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206</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Restasis</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8</w:t>
            </w:r>
          </w:p>
        </w:tc>
        <w:tc>
          <w:tcPr>
            <w:tcW w:w="8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104</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70</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265</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13</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40</w:t>
            </w: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43</w:t>
            </w:r>
          </w:p>
        </w:tc>
        <w:tc>
          <w:tcPr>
            <w:tcW w:w="0" w:type="dxa"/>
            <w:vAlign w:val="bottom"/>
          </w:tcPr>
          <w:p>
            <w:pPr>
              <w:spacing w:after="0"/>
              <w:rPr>
                <w:sz w:val="1"/>
                <w:szCs w:val="1"/>
                <w:color w:val="auto"/>
              </w:rPr>
            </w:pPr>
          </w:p>
        </w:tc>
      </w:tr>
      <w:tr>
        <w:trPr>
          <w:trHeight w:val="198"/>
        </w:trPr>
        <w:tc>
          <w:tcPr>
            <w:tcW w:w="19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top w:val="single" w:sz="8" w:color="auto"/>
            </w:tcBorders>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21</w:t>
            </w:r>
          </w:p>
        </w:tc>
        <w:tc>
          <w:tcPr>
            <w:tcW w:w="860" w:type="dxa"/>
            <w:vAlign w:val="bottom"/>
            <w:tcBorders>
              <w:top w:val="single" w:sz="8" w:color="auto"/>
            </w:tcBorders>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117</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Calibri" w:cs="Calibri" w:eastAsia="Calibri" w:hAnsi="Calibri"/>
                <w:sz w:val="15"/>
                <w:szCs w:val="15"/>
                <w:color w:val="auto"/>
              </w:rPr>
              <w:t>110</w:t>
            </w:r>
          </w:p>
        </w:tc>
        <w:tc>
          <w:tcPr>
            <w:tcW w:w="520" w:type="dxa"/>
            <w:vAlign w:val="bottom"/>
            <w:tcBorders>
              <w:top w:val="single" w:sz="8" w:color="auto"/>
            </w:tcBorders>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308</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Other Eye Care</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115</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351</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334</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92</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281</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288</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207</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632</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622</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b w:val="1"/>
                <w:bCs w:val="1"/>
                <w:color w:val="auto"/>
              </w:rPr>
              <w:t>Other Key Products</w:t>
            </w:r>
          </w:p>
        </w:tc>
        <w:tc>
          <w:tcPr>
            <w:tcW w:w="38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9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Mavyret</w:t>
            </w: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147</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458</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531</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155</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203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562</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590</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302</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1,020</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1,121</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Creon</w:t>
            </w:r>
          </w:p>
        </w:tc>
        <w:tc>
          <w:tcPr>
            <w:tcW w:w="3880" w:type="dxa"/>
            <w:vAlign w:val="bottom"/>
            <w:tcBorders>
              <w:top w:val="single" w:sz="8" w:color="auto"/>
            </w:tcBorders>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338</w:t>
            </w:r>
          </w:p>
        </w:tc>
        <w:tc>
          <w:tcPr>
            <w:tcW w:w="8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305</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995</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892</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Linzess/Constella</w:t>
            </w:r>
          </w:p>
        </w:tc>
        <w:tc>
          <w:tcPr>
            <w:tcW w:w="3880" w:type="dxa"/>
            <w:vAlign w:val="bottom"/>
            <w:tcBorders>
              <w:bottom w:val="single" w:sz="8" w:color="CCEEFF"/>
            </w:tcBorders>
            <w:shd w:val="clear" w:color="auto" w:fill="CCEEFF"/>
          </w:tcPr>
          <w:p>
            <w:pPr>
              <w:ind w:left="660"/>
              <w:spacing w:after="0" w:line="177" w:lineRule="exact"/>
              <w:rPr>
                <w:sz w:val="20"/>
                <w:szCs w:val="20"/>
                <w:color w:val="auto"/>
              </w:rPr>
            </w:pPr>
            <w:r>
              <w:rPr>
                <w:rFonts w:ascii="Calibri" w:cs="Calibri" w:eastAsia="Calibri" w:hAnsi="Calibri"/>
                <w:sz w:val="15"/>
                <w:szCs w:val="15"/>
                <w:color w:val="auto"/>
              </w:rPr>
              <w:t>United States</w:t>
            </w: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225</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279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693</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799</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3880" w:type="dxa"/>
            <w:vAlign w:val="bottom"/>
          </w:tcPr>
          <w:p>
            <w:pPr>
              <w:ind w:left="660"/>
              <w:spacing w:after="0"/>
              <w:rPr>
                <w:sz w:val="20"/>
                <w:szCs w:val="20"/>
                <w:color w:val="auto"/>
              </w:rPr>
            </w:pPr>
            <w:r>
              <w:rPr>
                <w:rFonts w:ascii="Calibri" w:cs="Calibri" w:eastAsia="Calibri" w:hAnsi="Calibri"/>
                <w:sz w:val="15"/>
                <w:szCs w:val="15"/>
                <w:color w:val="auto"/>
              </w:rPr>
              <w:t>Internatonal</w:t>
            </w:r>
          </w:p>
        </w:tc>
        <w:tc>
          <w:tcPr>
            <w:tcW w:w="76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Calibri" w:cs="Calibri" w:eastAsia="Calibri" w:hAnsi="Calibri"/>
                <w:sz w:val="15"/>
                <w:szCs w:val="15"/>
                <w:color w:val="auto"/>
              </w:rPr>
              <w:t>9</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Calibri" w:cs="Calibri" w:eastAsia="Calibri" w:hAnsi="Calibri"/>
                <w:sz w:val="15"/>
                <w:szCs w:val="15"/>
                <w:color w:val="auto"/>
              </w:rPr>
              <w:t>28</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26</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234</w:t>
            </w:r>
          </w:p>
        </w:tc>
        <w:tc>
          <w:tcPr>
            <w:tcW w:w="860" w:type="dxa"/>
            <w:vAlign w:val="bottom"/>
            <w:tcBorders>
              <w:bottom w:val="single" w:sz="8" w:color="CCEEFF"/>
            </w:tcBorders>
            <w:shd w:val="clear" w:color="auto" w:fill="CCEEFF"/>
          </w:tcPr>
          <w:p>
            <w:pPr>
              <w:jc w:val="right"/>
              <w:ind w:right="603"/>
              <w:spacing w:after="0"/>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721</w:t>
            </w:r>
          </w:p>
        </w:tc>
        <w:tc>
          <w:tcPr>
            <w:tcW w:w="520" w:type="dxa"/>
            <w:vAlign w:val="bottom"/>
            <w:tcBorders>
              <w:bottom w:val="single" w:sz="8" w:color="CCEEFF"/>
            </w:tcBorders>
            <w:shd w:val="clear" w:color="auto" w:fill="CCEEFF"/>
          </w:tcPr>
          <w:p>
            <w:pPr>
              <w:jc w:val="right"/>
              <w:ind w:right="263"/>
              <w:spacing w:after="0"/>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825</w:t>
            </w:r>
          </w:p>
        </w:tc>
        <w:tc>
          <w:tcPr>
            <w:tcW w:w="0" w:type="dxa"/>
            <w:vAlign w:val="bottom"/>
          </w:tcPr>
          <w:p>
            <w:pPr>
              <w:spacing w:after="0"/>
              <w:rPr>
                <w:sz w:val="1"/>
                <w:szCs w:val="1"/>
                <w:color w:val="auto"/>
              </w:rPr>
            </w:pPr>
          </w:p>
        </w:tc>
      </w:tr>
      <w:tr>
        <w:trPr>
          <w:trHeight w:val="177"/>
        </w:trPr>
        <w:tc>
          <w:tcPr>
            <w:tcW w:w="19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All other</w:t>
            </w:r>
          </w:p>
        </w:tc>
        <w:tc>
          <w:tcPr>
            <w:tcW w:w="38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726</w:t>
            </w:r>
          </w:p>
        </w:tc>
        <w:tc>
          <w:tcPr>
            <w:tcW w:w="86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782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2,280</w:t>
            </w:r>
          </w:p>
        </w:tc>
        <w:tc>
          <w:tcPr>
            <w:tcW w:w="520" w:type="dxa"/>
            <w:vAlign w:val="bottom"/>
            <w:tcBorders>
              <w:top w:val="single" w:sz="8" w:color="auto"/>
            </w:tcBorders>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2,214</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960" w:type="dxa"/>
            <w:vAlign w:val="bottom"/>
            <w:tcBorders>
              <w:bottom w:val="single" w:sz="8" w:color="CCEEFF"/>
            </w:tcBorders>
            <w:shd w:val="clear" w:color="auto" w:fill="CCEEFF"/>
          </w:tcPr>
          <w:p>
            <w:pPr>
              <w:ind w:left="20"/>
              <w:spacing w:after="0" w:line="177" w:lineRule="exact"/>
              <w:rPr>
                <w:sz w:val="20"/>
                <w:szCs w:val="20"/>
                <w:color w:val="auto"/>
              </w:rPr>
            </w:pPr>
            <w:r>
              <w:rPr>
                <w:rFonts w:ascii="Calibri" w:cs="Calibri" w:eastAsia="Calibri" w:hAnsi="Calibri"/>
                <w:sz w:val="15"/>
                <w:szCs w:val="15"/>
                <w:color w:val="auto"/>
              </w:rPr>
              <w:t>Total net revenues</w:t>
            </w:r>
          </w:p>
        </w:tc>
        <w:tc>
          <w:tcPr>
            <w:tcW w:w="38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w w:val="78"/>
              </w:rPr>
              <w:t>$</w:t>
            </w:r>
          </w:p>
        </w:tc>
        <w:tc>
          <w:tcPr>
            <w:tcW w:w="5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14,460</w:t>
            </w:r>
          </w:p>
        </w:tc>
        <w:tc>
          <w:tcPr>
            <w:tcW w:w="860" w:type="dxa"/>
            <w:vAlign w:val="bottom"/>
            <w:tcBorders>
              <w:bottom w:val="single" w:sz="8" w:color="CCEEFF"/>
            </w:tcBorders>
            <w:shd w:val="clear" w:color="auto" w:fill="CCEEFF"/>
          </w:tcPr>
          <w:p>
            <w:pPr>
              <w:jc w:val="right"/>
              <w:ind w:right="603"/>
              <w:spacing w:after="0" w:line="177"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13,927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41,232</w:t>
            </w:r>
          </w:p>
        </w:tc>
        <w:tc>
          <w:tcPr>
            <w:tcW w:w="520" w:type="dxa"/>
            <w:vAlign w:val="bottom"/>
            <w:tcBorders>
              <w:bottom w:val="single" w:sz="8" w:color="CCEEFF"/>
            </w:tcBorders>
            <w:shd w:val="clear" w:color="auto" w:fill="CCEEFF"/>
          </w:tcPr>
          <w:p>
            <w:pPr>
              <w:jc w:val="right"/>
              <w:ind w:right="26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40,017</w:t>
            </w:r>
          </w:p>
        </w:tc>
        <w:tc>
          <w:tcPr>
            <w:tcW w:w="0" w:type="dxa"/>
            <w:vAlign w:val="bottom"/>
          </w:tcPr>
          <w:p>
            <w:pPr>
              <w:spacing w:after="0"/>
              <w:rPr>
                <w:sz w:val="1"/>
                <w:szCs w:val="1"/>
                <w:color w:val="auto"/>
              </w:rPr>
            </w:pP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18"/>
        <w:spacing w:after="0"/>
        <w:tabs>
          <w:tab w:leader="none" w:pos="460" w:val="left"/>
        </w:tabs>
        <w:numPr>
          <w:ilvl w:val="0"/>
          <w:numId w:val="6"/>
        </w:numPr>
        <w:rPr>
          <w:rFonts w:ascii="Calibri" w:cs="Calibri" w:eastAsia="Calibri" w:hAnsi="Calibri"/>
          <w:sz w:val="15"/>
          <w:szCs w:val="15"/>
          <w:color w:val="auto"/>
        </w:rPr>
      </w:pPr>
      <w:r>
        <w:rPr>
          <w:rFonts w:ascii="Calibri" w:cs="Calibri" w:eastAsia="Calibri" w:hAnsi="Calibri"/>
          <w:sz w:val="15"/>
          <w:szCs w:val="15"/>
          <w:color w:val="auto"/>
        </w:rPr>
        <w:t>Net revenues include ImmunoGen product revenues afer the acquisiton closing date of February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459740</wp:posOffset>
            </wp:positionV>
            <wp:extent cx="491490" cy="901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30</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2" w:name="page33"/>
    <w:bookmarkEnd w:id="32"/>
    <w:p>
      <w:pPr>
        <w:spacing w:after="0"/>
        <w:rPr>
          <w:sz w:val="20"/>
          <w:szCs w:val="20"/>
          <w:color w:val="auto"/>
        </w:rPr>
      </w:pPr>
      <w:r>
        <w:rPr>
          <w:rFonts w:ascii="Calibri" w:cs="Calibri" w:eastAsia="Calibri" w:hAnsi="Calibri"/>
          <w:sz w:val="20"/>
          <w:szCs w:val="20"/>
          <w:b w:val="1"/>
          <w:bCs w:val="1"/>
          <w:color w:val="444867"/>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p>
      <w:pPr>
        <w:spacing w:after="0" w:line="316"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The following is a discussion and analysis of the fnancial conditon of AbbVie Inc. (AbbVie or the company) as of September 30, 2024 and December 31, 2023 and the results of operatons for the three and nine months ended September 30, 2024 and 2023. This commentary should be read in conjuncton with the Condensed Consolidated Financial Statements and accompanying notes appearing in Item 1, “Financial Statements and Supplementary Data.”</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EXECUTIVE OVERVIEW</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Company Overview</w:t>
      </w:r>
    </w:p>
    <w:p>
      <w:pPr>
        <w:spacing w:after="0" w:line="143" w:lineRule="exact"/>
        <w:rPr>
          <w:sz w:val="20"/>
          <w:szCs w:val="20"/>
          <w:color w:val="auto"/>
        </w:rPr>
      </w:pPr>
    </w:p>
    <w:p>
      <w:pPr>
        <w:ind w:right="300"/>
        <w:spacing w:after="0" w:line="238" w:lineRule="auto"/>
        <w:rPr>
          <w:sz w:val="20"/>
          <w:szCs w:val="20"/>
          <w:color w:val="auto"/>
        </w:rPr>
      </w:pPr>
      <w:r>
        <w:rPr>
          <w:rFonts w:ascii="Calibri" w:cs="Calibri" w:eastAsia="Calibri" w:hAnsi="Calibri"/>
          <w:sz w:val="17"/>
          <w:szCs w:val="17"/>
          <w:color w:val="auto"/>
        </w:rPr>
        <w:t>AbbVie is a global, diversifed research-based biopharmaceutcal company positoned for success with a comprehensive product portolio that has leadership positons across immunology, oncology, aesthetcs, neuroscience and eye care. AbbVie uses its expertse, dedicated people and unique approach to innovaton to develop and market advanced therapies that address some of the world’s most complex and serious diseases.</w:t>
      </w:r>
    </w:p>
    <w:p>
      <w:pPr>
        <w:spacing w:after="0" w:line="130"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On August 1, 2024, AbbVie completed the acquisiton of Cerevel Therapeutcs Holdings, Inc. (Cerevel Therapeutcs). The acquisiton complements AbbVie’s neuroscience portolio, adding a wide range of potentally best-in-class assets that may transform standards of care across psychiatric and neurological disorders where signifcant unmet needs remain for patents. See Note 4 to the Condensed Consolidated Financial Statements for additonal informaton on the acquisiton. Subsequent to the acquisiton date, AbbVie's consolidated fnancial statements include the assets, liabilites, operatng results and cash fows of Cerevel Therapeutcs.</w:t>
      </w:r>
    </w:p>
    <w:p>
      <w:pPr>
        <w:spacing w:after="0" w:line="144" w:lineRule="exact"/>
        <w:rPr>
          <w:sz w:val="20"/>
          <w:szCs w:val="20"/>
          <w:color w:val="auto"/>
        </w:rPr>
      </w:pPr>
    </w:p>
    <w:p>
      <w:pPr>
        <w:jc w:val="both"/>
        <w:ind w:right="60"/>
        <w:spacing w:after="0" w:line="259" w:lineRule="auto"/>
        <w:rPr>
          <w:sz w:val="20"/>
          <w:szCs w:val="20"/>
          <w:color w:val="auto"/>
        </w:rPr>
      </w:pPr>
      <w:r>
        <w:rPr>
          <w:rFonts w:ascii="Calibri" w:cs="Calibri" w:eastAsia="Calibri" w:hAnsi="Calibri"/>
          <w:sz w:val="16"/>
          <w:szCs w:val="16"/>
          <w:color w:val="auto"/>
        </w:rPr>
        <w:t>On July 1, 2024, AbbVie announced Robert A. Michael, AbbVie's former president and chief operatng ofcer, succeeded Richard A. Gonzalez as the company's chief executve ofcer (CEO). Mr. Gonzalez, who has served as CEO since the company's formaton in 2013, retred from the role of CEO and became executve chairman of the board of directors, efectve July 1, 2024. Additonally, the board has appointed Mr. Michael as a member of the board of directors efectve July 1, 2024.</w:t>
      </w:r>
    </w:p>
    <w:p>
      <w:pPr>
        <w:spacing w:after="0" w:line="128" w:lineRule="exact"/>
        <w:rPr>
          <w:sz w:val="20"/>
          <w:szCs w:val="20"/>
          <w:color w:val="auto"/>
        </w:rPr>
      </w:pPr>
    </w:p>
    <w:p>
      <w:pPr>
        <w:ind w:right="80"/>
        <w:spacing w:after="0" w:line="256" w:lineRule="auto"/>
        <w:rPr>
          <w:sz w:val="20"/>
          <w:szCs w:val="20"/>
          <w:color w:val="auto"/>
        </w:rPr>
      </w:pPr>
      <w:r>
        <w:rPr>
          <w:rFonts w:ascii="Calibri" w:cs="Calibri" w:eastAsia="Calibri" w:hAnsi="Calibri"/>
          <w:sz w:val="16"/>
          <w:szCs w:val="16"/>
          <w:color w:val="auto"/>
        </w:rPr>
        <w:t>On February 12, 2024, AbbVie completed the acquisiton of ImmunoGen, Inc. (ImmunoGen). The acquisiton of ImmunoGen further builds on AbbVie's existng solid tumor pipeline of novel targeted therapies and next-generaton immuno-oncology assets, which have the potental to create new treatment possibilites across multple solid tumors and hematologic malignancies. AbbVie and ImmunoGen's combined capabilites represent an opportunity to deliver potentally transformatve antbody-drug conjugate (ADC) therapies to patents. See Note 4 to the Condensed Consolidated Financial Statements for additonal informaton on the acquisiton. Subsequent to the acquisiton date, AbbVie's consolidated fnancial statements include the assets, liabilites, operatng results and cash fows of ImmunoGen.</w:t>
      </w:r>
    </w:p>
    <w:p>
      <w:pPr>
        <w:spacing w:after="0" w:line="119" w:lineRule="exact"/>
        <w:rPr>
          <w:sz w:val="20"/>
          <w:szCs w:val="20"/>
          <w:color w:val="auto"/>
        </w:rPr>
      </w:pPr>
    </w:p>
    <w:p>
      <w:pPr>
        <w:ind w:right="220"/>
        <w:spacing w:after="0" w:line="238" w:lineRule="auto"/>
        <w:rPr>
          <w:sz w:val="20"/>
          <w:szCs w:val="20"/>
          <w:color w:val="auto"/>
        </w:rPr>
      </w:pPr>
      <w:r>
        <w:rPr>
          <w:rFonts w:ascii="Calibri" w:cs="Calibri" w:eastAsia="Calibri" w:hAnsi="Calibri"/>
          <w:sz w:val="17"/>
          <w:szCs w:val="17"/>
          <w:color w:val="auto"/>
        </w:rPr>
        <w:t>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In the United States, AbbVie distributes pharmaceutcal products principally through independent wholesale distributors, with some sales directly to retailers, pharmacies, patents or other customers. Outside the United States, AbbVie sells products primarily to wholesalers or through distributors, and depending on the market works through largely centralized natonal payers system to agree on reimbursement terms. Certain products are co-marketed or co-promoted with other companies. AbbVie operates as a single global business segment and has approximately 50,000 employees.</w:t>
      </w:r>
    </w:p>
    <w:p>
      <w:pPr>
        <w:spacing w:after="0" w:line="14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2024 Strategic Objectves</w:t>
      </w:r>
    </w:p>
    <w:p>
      <w:pPr>
        <w:spacing w:after="0" w:line="143" w:lineRule="exact"/>
        <w:rPr>
          <w:sz w:val="20"/>
          <w:szCs w:val="20"/>
          <w:color w:val="auto"/>
        </w:rPr>
      </w:pPr>
    </w:p>
    <w:p>
      <w:pPr>
        <w:ind w:right="100"/>
        <w:spacing w:after="0" w:line="253" w:lineRule="auto"/>
        <w:rPr>
          <w:sz w:val="20"/>
          <w:szCs w:val="20"/>
          <w:color w:val="auto"/>
        </w:rPr>
      </w:pPr>
      <w:r>
        <w:rPr>
          <w:rFonts w:ascii="Calibri" w:cs="Calibri" w:eastAsia="Calibri" w:hAnsi="Calibri"/>
          <w:sz w:val="16"/>
          <w:szCs w:val="16"/>
          <w:color w:val="auto"/>
        </w:rPr>
        <w:t>AbbVie's mission is to discover and develop innovatve medicines and products that solve serious health issues today and address the medical challenges of tomorrow while achieving top-ter fnancial performance through outstanding executon. AbbVie intends to execute its strategy and advance its mission in a number of ways, including: (i) maximizing the benefts of a diversifed revenue base with multple long-term growth drivers; (ii) leveraging AbbVie's commercial strength and internatonal infrastructure across therapeutc areas and ensuring strong commercial executon of new product launches; (iii) contnuing to invest in and expand its pipeline in support of opportunites in immunology, oncology, aesthetcs, neuroscience and eye care as well as contnued investment in key on-market products;</w:t>
      </w:r>
    </w:p>
    <w:p>
      <w:pPr>
        <w:spacing w:after="0" w:line="2" w:lineRule="exact"/>
        <w:rPr>
          <w:sz w:val="20"/>
          <w:szCs w:val="20"/>
          <w:color w:val="auto"/>
        </w:rPr>
      </w:pPr>
    </w:p>
    <w:p>
      <w:pPr>
        <w:ind w:right="140" w:firstLine="3"/>
        <w:spacing w:after="0" w:line="238" w:lineRule="auto"/>
        <w:tabs>
          <w:tab w:leader="none" w:pos="254"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generatng substantal operatng cash fows to support investment in innovatve research and development, and return cash to shareholders via a strong and growing dividend while also contnuing to repay debt. In additon, AbbVie antcipates several regulatory submissions and data readouts from key clinical trials in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31</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7"/>
          <w:szCs w:val="17"/>
          <w:b w:val="1"/>
          <w:bCs w:val="1"/>
          <w:color w:val="444867"/>
        </w:rPr>
        <w:t>Financial Results</w:t>
      </w:r>
    </w:p>
    <w:p>
      <w:pPr>
        <w:spacing w:after="0" w:line="130" w:lineRule="exact"/>
        <w:rPr>
          <w:sz w:val="20"/>
          <w:szCs w:val="20"/>
          <w:color w:val="auto"/>
        </w:rPr>
      </w:pPr>
    </w:p>
    <w:p>
      <w:pPr>
        <w:spacing w:after="0" w:line="228" w:lineRule="auto"/>
        <w:rPr>
          <w:sz w:val="20"/>
          <w:szCs w:val="20"/>
          <w:color w:val="auto"/>
        </w:rPr>
      </w:pPr>
      <w:r>
        <w:rPr>
          <w:rFonts w:ascii="Calibri" w:cs="Calibri" w:eastAsia="Calibri" w:hAnsi="Calibri"/>
          <w:sz w:val="17"/>
          <w:szCs w:val="17"/>
          <w:color w:val="auto"/>
        </w:rPr>
        <w:t>The company's fnancial performance for the nine months ended September 30, 2024 included delivering worldwide net revenues of $41.2 billion, operatng earnings of $10.6 billion, diluted earnings per share of $2.41 and cash fows from operatons of $11.8 billion. Worldwide net revenues increased 3% on a reported basis and 4% on a constant currency basis.</w:t>
      </w:r>
    </w:p>
    <w:p>
      <w:pPr>
        <w:spacing w:after="0" w:line="131" w:lineRule="exact"/>
        <w:rPr>
          <w:sz w:val="20"/>
          <w:szCs w:val="20"/>
          <w:color w:val="auto"/>
        </w:rPr>
      </w:pPr>
    </w:p>
    <w:p>
      <w:pPr>
        <w:ind w:right="280"/>
        <w:spacing w:after="0" w:line="238" w:lineRule="auto"/>
        <w:rPr>
          <w:sz w:val="20"/>
          <w:szCs w:val="20"/>
          <w:color w:val="auto"/>
        </w:rPr>
      </w:pPr>
      <w:r>
        <w:rPr>
          <w:rFonts w:ascii="Calibri" w:cs="Calibri" w:eastAsia="Calibri" w:hAnsi="Calibri"/>
          <w:sz w:val="17"/>
          <w:szCs w:val="17"/>
          <w:color w:val="auto"/>
        </w:rPr>
        <w:t>Diluted earnings per share was $2.41 for the nine months ended September 30, 2024 and included the following afer-tax costs: (i) $4.9 billion related to the amortzaton of intangible assets; (ii) $3.4 billion for the change in fair value of contngent consideraton liabilites; (iii) $894 million of acquisiton and integraton expenses; and (iv) $585 million for charges related to litgaton maters. Additonally, fnancial results refected contnued funding to support all stages of AbbVie’s pipeline assets and contnued investment in AbbVie’s on-market brands.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Research and Development</w:t>
      </w:r>
    </w:p>
    <w:p>
      <w:pPr>
        <w:spacing w:after="0" w:line="130"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Research and innovaton are the cornerstones of AbbVie’s business as a global biopharmaceutcal company. AbbVie’s long-term success depends to a great extent on its ability to contnue to discover and develop innovatve products and acquire or collaborate on compounds currently in development by other biotechnology or pharmaceutcal companies.</w:t>
      </w:r>
    </w:p>
    <w:p>
      <w:pPr>
        <w:spacing w:after="0" w:line="143" w:lineRule="exact"/>
        <w:rPr>
          <w:sz w:val="20"/>
          <w:szCs w:val="20"/>
          <w:color w:val="auto"/>
        </w:rPr>
      </w:pPr>
    </w:p>
    <w:p>
      <w:pPr>
        <w:jc w:val="both"/>
        <w:ind w:right="180"/>
        <w:spacing w:after="0" w:line="238" w:lineRule="auto"/>
        <w:rPr>
          <w:sz w:val="20"/>
          <w:szCs w:val="20"/>
          <w:color w:val="auto"/>
        </w:rPr>
      </w:pPr>
      <w:r>
        <w:rPr>
          <w:rFonts w:ascii="Calibri" w:cs="Calibri" w:eastAsia="Calibri" w:hAnsi="Calibri"/>
          <w:sz w:val="17"/>
          <w:szCs w:val="17"/>
          <w:color w:val="auto"/>
        </w:rPr>
        <w:t>AbbVie’s pipeline currently includes approximately 90 compounds, devices or indicatons in development individually or under collaboraton or license agreements and is focused on such important specialtes as immunology, oncology, aesthetcs, neuroscience and eye care. Of these programs, approximately 50 are in mid- and late-stage development.</w:t>
      </w:r>
    </w:p>
    <w:p>
      <w:pPr>
        <w:spacing w:after="0" w:line="143" w:lineRule="exact"/>
        <w:rPr>
          <w:sz w:val="20"/>
          <w:szCs w:val="20"/>
          <w:color w:val="auto"/>
        </w:rPr>
      </w:pPr>
    </w:p>
    <w:p>
      <w:pPr>
        <w:jc w:val="both"/>
        <w:ind w:right="180"/>
        <w:spacing w:after="0" w:line="237" w:lineRule="auto"/>
        <w:rPr>
          <w:sz w:val="20"/>
          <w:szCs w:val="20"/>
          <w:color w:val="auto"/>
        </w:rPr>
      </w:pPr>
      <w:r>
        <w:rPr>
          <w:rFonts w:ascii="Calibri" w:cs="Calibri" w:eastAsia="Calibri" w:hAnsi="Calibri"/>
          <w:sz w:val="17"/>
          <w:szCs w:val="17"/>
          <w:color w:val="auto"/>
        </w:rPr>
        <w:t>The following sectons summarize transitons of signifcant programs from mid-stage development to late-stage development as well as developments in signifcant late-stage and registraton programs. AbbVie expects multple mid-stage programs to transiton into late-stage programs in the next 12 months.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444867"/>
        </w:rPr>
        <w:t>Signifcant Programs and Developments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Immunology</w:t>
      </w:r>
    </w:p>
    <w:p>
      <w:pPr>
        <w:spacing w:after="0" w:line="141"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Rinvoq</w:t>
      </w:r>
    </w:p>
    <w:p>
      <w:pPr>
        <w:spacing w:after="0" w:line="117" w:lineRule="exact"/>
        <w:rPr>
          <w:sz w:val="20"/>
          <w:szCs w:val="20"/>
          <w:color w:val="auto"/>
        </w:rPr>
      </w:pPr>
    </w:p>
    <w:p>
      <w:pPr>
        <w:ind w:left="940" w:right="280" w:hanging="318"/>
        <w:spacing w:after="0" w:line="230" w:lineRule="auto"/>
        <w:tabs>
          <w:tab w:leader="none" w:pos="93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January 2024, AbbVie initated a Phase 3 clinical trial to evaluate Rinvoq in adults and adolescents with non-segmental vitligo who are eligible for systemic therapy.</w:t>
      </w:r>
    </w:p>
    <w:p>
      <w:pPr>
        <w:spacing w:after="0" w:line="130" w:lineRule="exact"/>
        <w:rPr>
          <w:rFonts w:ascii="Calibri" w:cs="Calibri" w:eastAsia="Calibri" w:hAnsi="Calibri"/>
          <w:sz w:val="17"/>
          <w:szCs w:val="17"/>
          <w:color w:val="auto"/>
        </w:rPr>
      </w:pPr>
    </w:p>
    <w:p>
      <w:pPr>
        <w:ind w:left="940" w:right="380" w:hanging="318"/>
        <w:spacing w:after="0" w:line="230" w:lineRule="auto"/>
        <w:tabs>
          <w:tab w:leader="none" w:pos="93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April 2024, AbbVie announced positve top-line results from its Phase 3 SELECT-GCA trial for Rinvoq in combinaton with a 26-week steroid taper regimen in patents with giant cell arterits (GCA) achieved its primary endpoint.</w:t>
      </w:r>
    </w:p>
    <w:p>
      <w:pPr>
        <w:spacing w:after="0" w:line="117" w:lineRule="exact"/>
        <w:rPr>
          <w:rFonts w:ascii="Calibri" w:cs="Calibri" w:eastAsia="Calibri" w:hAnsi="Calibri"/>
          <w:sz w:val="17"/>
          <w:szCs w:val="17"/>
          <w:color w:val="auto"/>
        </w:rPr>
      </w:pPr>
    </w:p>
    <w:p>
      <w:pPr>
        <w:ind w:left="940" w:right="20" w:hanging="318"/>
        <w:spacing w:after="0" w:line="228" w:lineRule="auto"/>
        <w:tabs>
          <w:tab w:leader="none" w:pos="93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April 2024, AbbVie announced positve top-line results from the head-to-head Phase 3b/4 Level-Up trial evaluatng Rinvoq compared to dupilumab in adolescent and adult patents with moderate to severe atopic dermatts. In the study, Rinvoq demonstrated superiority to dupilumab on the primary endpoint and all ranked secondary endpoints.</w:t>
      </w:r>
    </w:p>
    <w:p>
      <w:pPr>
        <w:spacing w:after="0" w:line="130" w:lineRule="exact"/>
        <w:rPr>
          <w:rFonts w:ascii="Calibri" w:cs="Calibri" w:eastAsia="Calibri" w:hAnsi="Calibri"/>
          <w:sz w:val="17"/>
          <w:szCs w:val="17"/>
          <w:color w:val="auto"/>
        </w:rPr>
      </w:pPr>
    </w:p>
    <w:p>
      <w:pPr>
        <w:ind w:left="940" w:right="320" w:hanging="318"/>
        <w:spacing w:after="0" w:line="228" w:lineRule="auto"/>
        <w:tabs>
          <w:tab w:leader="none" w:pos="93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June 2024, AbbVie announced that the U.S. Food and Drug Administraton (FDA) has approved Rinvoq for the treatment of pediatric patents two years of age and older with actve polyartcular juvenile idiopathic arthrits (pJIA) as well as psoriatc arthrits (PsA), provided they have had an inadequate response or intolerance to one or more tumor necrosis factor (TNF) blockers.</w:t>
      </w:r>
    </w:p>
    <w:p>
      <w:pPr>
        <w:spacing w:after="0" w:line="117" w:lineRule="exact"/>
        <w:rPr>
          <w:rFonts w:ascii="Calibri" w:cs="Calibri" w:eastAsia="Calibri" w:hAnsi="Calibri"/>
          <w:sz w:val="17"/>
          <w:szCs w:val="17"/>
          <w:color w:val="auto"/>
        </w:rPr>
      </w:pPr>
    </w:p>
    <w:p>
      <w:pPr>
        <w:ind w:left="940" w:hanging="318"/>
        <w:spacing w:after="0" w:line="230" w:lineRule="auto"/>
        <w:tabs>
          <w:tab w:leader="none" w:pos="93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July 2024, AbbVie announced that it has submited applicatons for a new indicaton to the FDA and European Medicines Agency (EMA) for Rinvoq for the treatment of adult patents with GCA.</w:t>
      </w:r>
    </w:p>
    <w:p>
      <w:pPr>
        <w:spacing w:after="0" w:line="128"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Skyrizi</w:t>
      </w:r>
    </w:p>
    <w:p>
      <w:pPr>
        <w:spacing w:after="0" w:line="128" w:lineRule="exact"/>
        <w:rPr>
          <w:sz w:val="20"/>
          <w:szCs w:val="20"/>
          <w:color w:val="auto"/>
        </w:rPr>
      </w:pPr>
    </w:p>
    <w:p>
      <w:pPr>
        <w:ind w:left="920" w:hanging="298"/>
        <w:spacing w:after="0"/>
        <w:tabs>
          <w:tab w:leader="none" w:pos="92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In June 2024, AbbVie announced that the FDA has approved Skyrizi for adults with moderately to severely actve ulceratve colits (UC).</w:t>
      </w:r>
    </w:p>
    <w:p>
      <w:pPr>
        <w:spacing w:after="0" w:line="130" w:lineRule="exact"/>
        <w:rPr>
          <w:rFonts w:ascii="Calibri" w:cs="Calibri" w:eastAsia="Calibri" w:hAnsi="Calibri"/>
          <w:sz w:val="17"/>
          <w:szCs w:val="17"/>
          <w:color w:val="auto"/>
        </w:rPr>
      </w:pPr>
    </w:p>
    <w:p>
      <w:pPr>
        <w:ind w:left="940" w:right="540" w:hanging="318"/>
        <w:spacing w:after="0" w:line="265" w:lineRule="auto"/>
        <w:tabs>
          <w:tab w:leader="none" w:pos="933"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In July 2024, AbbVie announced that the European Commission (EC) has approved Skyrizi for the treatment of adult patents with moderately to severely actve UC who have had an inadequate response to, lost response to, or were intolerant to conventonal therapy or a biologic therapy.</w:t>
      </w:r>
    </w:p>
    <w:p>
      <w:pPr>
        <w:spacing w:after="0" w:line="95"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Lutkizumab</w:t>
      </w:r>
    </w:p>
    <w:p>
      <w:pPr>
        <w:spacing w:after="0" w:line="130" w:lineRule="exact"/>
        <w:rPr>
          <w:sz w:val="20"/>
          <w:szCs w:val="20"/>
          <w:color w:val="auto"/>
        </w:rPr>
      </w:pPr>
    </w:p>
    <w:p>
      <w:pPr>
        <w:ind w:left="940" w:right="200" w:hanging="318"/>
        <w:spacing w:after="0" w:line="228" w:lineRule="auto"/>
        <w:tabs>
          <w:tab w:leader="none" w:pos="933"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In January 2024, AbbVie announced Phase 2 results showing adults with moderate to severe hidradenits suppuratva (HS) who had previously failed ant-TNF therapy who received lutkizumab achieved higher response rates than placebo in the primary endpoint of achieving HS Clinical Response at week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32</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4" w:name="page35"/>
    <w:bookmarkEnd w:id="34"/>
    <w:p>
      <w:pPr>
        <w:ind w:left="920" w:hanging="298"/>
        <w:spacing w:after="0"/>
        <w:tabs>
          <w:tab w:leader="none" w:pos="920"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In July 2024, AbbVie initated a Phase 3 clinical trial to evaluate lutkizumab in adult and adolescent patents with moderate to severe HS.</w:t>
      </w:r>
    </w:p>
    <w:p>
      <w:pPr>
        <w:spacing w:after="0" w:line="115"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Oncology</w:t>
      </w:r>
    </w:p>
    <w:p>
      <w:pPr>
        <w:spacing w:after="0" w:line="128"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Epkinly</w:t>
      </w:r>
    </w:p>
    <w:p>
      <w:pPr>
        <w:spacing w:after="0" w:line="117" w:lineRule="exact"/>
        <w:rPr>
          <w:sz w:val="20"/>
          <w:szCs w:val="20"/>
          <w:color w:val="auto"/>
        </w:rPr>
      </w:pPr>
    </w:p>
    <w:p>
      <w:pPr>
        <w:ind w:left="940" w:right="200" w:hanging="318"/>
        <w:spacing w:after="0" w:line="230" w:lineRule="auto"/>
        <w:tabs>
          <w:tab w:leader="none" w:pos="933"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In March 2024, AbbVie initated a Phase 3 clinical trial to evaluate Epkinly in combinaton with rituximab and lenalidomide in patents with previously untreated follicular lymphoma (FL).</w:t>
      </w:r>
    </w:p>
    <w:p>
      <w:pPr>
        <w:spacing w:after="0" w:line="130" w:lineRule="exact"/>
        <w:rPr>
          <w:rFonts w:ascii="Calibri" w:cs="Calibri" w:eastAsia="Calibri" w:hAnsi="Calibri"/>
          <w:sz w:val="17"/>
          <w:szCs w:val="17"/>
          <w:color w:val="auto"/>
        </w:rPr>
      </w:pPr>
    </w:p>
    <w:p>
      <w:pPr>
        <w:ind w:left="940" w:right="60" w:hanging="318"/>
        <w:spacing w:after="0" w:line="243" w:lineRule="auto"/>
        <w:tabs>
          <w:tab w:leader="none" w:pos="933" w:val="left"/>
        </w:tabs>
        <w:numPr>
          <w:ilvl w:val="0"/>
          <w:numId w:val="12"/>
        </w:numPr>
        <w:rPr>
          <w:rFonts w:ascii="Calibri" w:cs="Calibri" w:eastAsia="Calibri" w:hAnsi="Calibri"/>
          <w:sz w:val="16"/>
          <w:szCs w:val="16"/>
          <w:color w:val="auto"/>
        </w:rPr>
      </w:pPr>
      <w:r>
        <w:rPr>
          <w:rFonts w:ascii="Calibri" w:cs="Calibri" w:eastAsia="Calibri" w:hAnsi="Calibri"/>
          <w:sz w:val="16"/>
          <w:szCs w:val="16"/>
          <w:color w:val="auto"/>
        </w:rPr>
        <w:t>In June 2024, AbbVie announced that the FDA has approved Epkinly for the treatment of adults with relapsed or refractory (R/R) FL afer two or more lines of prior therapy. This indicaton is approved under the FDA's Accelerated Approval program based on overall response rate (ORR) and durability of response. Contnued approval for this indicaton may be contngent upon verifcaton and descripton of clinical beneft in a confrmatory trial.</w:t>
      </w:r>
    </w:p>
    <w:p>
      <w:pPr>
        <w:spacing w:after="0" w:line="115" w:lineRule="exact"/>
        <w:rPr>
          <w:rFonts w:ascii="Calibri" w:cs="Calibri" w:eastAsia="Calibri" w:hAnsi="Calibri"/>
          <w:sz w:val="16"/>
          <w:szCs w:val="16"/>
          <w:color w:val="auto"/>
        </w:rPr>
      </w:pPr>
    </w:p>
    <w:p>
      <w:pPr>
        <w:ind w:left="940" w:right="260" w:hanging="318"/>
        <w:spacing w:after="0" w:line="249" w:lineRule="auto"/>
        <w:tabs>
          <w:tab w:leader="none" w:pos="933" w:val="left"/>
        </w:tabs>
        <w:numPr>
          <w:ilvl w:val="0"/>
          <w:numId w:val="12"/>
        </w:numPr>
        <w:rPr>
          <w:rFonts w:ascii="Calibri" w:cs="Calibri" w:eastAsia="Calibri" w:hAnsi="Calibri"/>
          <w:sz w:val="16"/>
          <w:szCs w:val="16"/>
          <w:color w:val="auto"/>
        </w:rPr>
      </w:pPr>
      <w:r>
        <w:rPr>
          <w:rFonts w:ascii="Calibri" w:cs="Calibri" w:eastAsia="Calibri" w:hAnsi="Calibri"/>
          <w:sz w:val="16"/>
          <w:szCs w:val="16"/>
          <w:color w:val="auto"/>
        </w:rPr>
        <w:t>In June 2024, AbbVie announced that the EMA Commitee for Medicinal Products for Human Use has adopted a positve opinion recommending the conditonal marketng authorizaton of Tepkinly as a monotherapy for the treatment of adult patents with R/R FL afer two or more prior therapies.</w:t>
      </w:r>
    </w:p>
    <w:p>
      <w:pPr>
        <w:spacing w:after="0" w:line="123" w:lineRule="exact"/>
        <w:rPr>
          <w:rFonts w:ascii="Calibri" w:cs="Calibri" w:eastAsia="Calibri" w:hAnsi="Calibri"/>
          <w:sz w:val="16"/>
          <w:szCs w:val="16"/>
          <w:color w:val="auto"/>
        </w:rPr>
      </w:pPr>
    </w:p>
    <w:p>
      <w:pPr>
        <w:ind w:left="940" w:right="340" w:hanging="318"/>
        <w:spacing w:after="0" w:line="230" w:lineRule="auto"/>
        <w:tabs>
          <w:tab w:leader="none" w:pos="933"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In August 2024, AbbVie announced that the EC has granted conditonal marketng authorizaton for Tepkinly as a monotherapy for the treatment of adult patents with R/R FL afer two or more lines of prior therapy.</w:t>
      </w:r>
    </w:p>
    <w:p>
      <w:pPr>
        <w:spacing w:after="0" w:line="115"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Elahere</w:t>
      </w:r>
    </w:p>
    <w:p>
      <w:pPr>
        <w:spacing w:after="0" w:line="130" w:lineRule="exact"/>
        <w:rPr>
          <w:sz w:val="20"/>
          <w:szCs w:val="20"/>
          <w:color w:val="auto"/>
        </w:rPr>
      </w:pPr>
    </w:p>
    <w:p>
      <w:pPr>
        <w:ind w:left="940" w:right="240" w:hanging="318"/>
        <w:spacing w:after="0" w:line="230" w:lineRule="auto"/>
        <w:tabs>
          <w:tab w:leader="none" w:pos="933"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In March 2024, AbbVie announced that the FDA granted full approval for Elahere for the treatment of folate receptor alpha (FRα)-positve, platnum-resistant epithelial ovarian, fallopian tube or primary peritoneal adult cancer patents treated with up to three prior therapies.</w:t>
      </w:r>
    </w:p>
    <w:p>
      <w:pPr>
        <w:spacing w:after="0" w:line="117" w:lineRule="exact"/>
        <w:rPr>
          <w:rFonts w:ascii="Calibri" w:cs="Calibri" w:eastAsia="Calibri" w:hAnsi="Calibri"/>
          <w:sz w:val="17"/>
          <w:szCs w:val="17"/>
          <w:color w:val="auto"/>
        </w:rPr>
      </w:pPr>
    </w:p>
    <w:p>
      <w:pPr>
        <w:ind w:left="940" w:right="40" w:hanging="318"/>
        <w:spacing w:after="0" w:line="230" w:lineRule="auto"/>
        <w:tabs>
          <w:tab w:leader="none" w:pos="933"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In June 2024, AbbVie announced positve topline results from the Phase 2 PICCOLO trial evaluatng Elahere monotherapy in heavily pre-treated patents with FRα-positve, platnum-sensitve ovarian cancer. The study met its primary endpoint and no new safety concerns were identfed.</w:t>
      </w:r>
    </w:p>
    <w:p>
      <w:pPr>
        <w:spacing w:after="0" w:line="130" w:lineRule="exact"/>
        <w:rPr>
          <w:rFonts w:ascii="Calibri" w:cs="Calibri" w:eastAsia="Calibri" w:hAnsi="Calibri"/>
          <w:sz w:val="17"/>
          <w:szCs w:val="17"/>
          <w:color w:val="auto"/>
        </w:rPr>
      </w:pPr>
    </w:p>
    <w:p>
      <w:pPr>
        <w:ind w:left="940" w:right="80" w:hanging="318"/>
        <w:spacing w:after="0" w:line="228" w:lineRule="auto"/>
        <w:tabs>
          <w:tab w:leader="none" w:pos="933"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In September 2024, AbbVie announced that the EMA Commitee for Medicinal Products for Human Use has adopted a positve opinion recommending the marketng authorizaton of Elahere for the treatment of adult patents with FRα-positve, platnum-resistant and high-grade serous epithelial ovarian, fallopian tube or primary peritoneal cancer who have received one to three prior treatment regimens.</w:t>
      </w:r>
    </w:p>
    <w:p>
      <w:pPr>
        <w:spacing w:after="0" w:line="115"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Navitoclax</w:t>
      </w:r>
    </w:p>
    <w:p>
      <w:pPr>
        <w:spacing w:after="0" w:line="130" w:lineRule="exact"/>
        <w:rPr>
          <w:sz w:val="20"/>
          <w:szCs w:val="20"/>
          <w:color w:val="auto"/>
        </w:rPr>
      </w:pPr>
    </w:p>
    <w:p>
      <w:pPr>
        <w:ind w:left="940" w:right="440" w:hanging="318"/>
        <w:spacing w:after="0" w:line="228" w:lineRule="auto"/>
        <w:tabs>
          <w:tab w:leader="none" w:pos="933"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In April 2024, AbbVie announced its decision to discontnue the Phase 3 TRANSFORM-2 study evaluatng navitoclax, a BCL-XL/BCL-2 inhibitor, plus ruxolitnib in patents with R/R myelofbrosis following evaluaton of the totality of data from the Phase 3 TRANSFORM-1 trial and feedback from regulators.</w:t>
      </w:r>
    </w:p>
    <w:p>
      <w:pPr>
        <w:spacing w:after="0" w:line="115"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ABBV-383</w:t>
      </w:r>
    </w:p>
    <w:p>
      <w:pPr>
        <w:spacing w:after="0" w:line="130" w:lineRule="exact"/>
        <w:rPr>
          <w:sz w:val="20"/>
          <w:szCs w:val="20"/>
          <w:color w:val="auto"/>
        </w:rPr>
      </w:pPr>
    </w:p>
    <w:p>
      <w:pPr>
        <w:ind w:left="940" w:right="340" w:hanging="318"/>
        <w:spacing w:after="0" w:line="230" w:lineRule="auto"/>
        <w:tabs>
          <w:tab w:leader="none" w:pos="933"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In June 2024, AbbVie initated the CERVINO Phase 3 clinical trial to evaluate ABBV-383 monotherapy compared with standard available therapies in adult patents with R/R multple myeloma who have received at least two lines of prior therapy.</w:t>
      </w:r>
    </w:p>
    <w:p>
      <w:pPr>
        <w:spacing w:after="0" w:line="218"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Teliso-V</w:t>
      </w:r>
    </w:p>
    <w:p>
      <w:pPr>
        <w:spacing w:after="0" w:line="221" w:lineRule="exact"/>
        <w:rPr>
          <w:sz w:val="20"/>
          <w:szCs w:val="20"/>
          <w:color w:val="auto"/>
        </w:rPr>
      </w:pPr>
    </w:p>
    <w:p>
      <w:pPr>
        <w:jc w:val="both"/>
        <w:ind w:left="940" w:right="240" w:hanging="318"/>
        <w:spacing w:after="0" w:line="228" w:lineRule="auto"/>
        <w:tabs>
          <w:tab w:leader="none" w:pos="933"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In September 2024, AbbVie announced submission of a Biologics License Applicaton to the FDA for accelerated approval of Teliso-V in adult patents with previously treated, locally advanced or metastatc epidermal growth factor receptor (EGFR) wild type, nonsquamous non-small cell lung cancer (NSCLC) with c-Met protein overexpression.</w:t>
      </w:r>
    </w:p>
    <w:p>
      <w:pPr>
        <w:spacing w:after="0" w:line="205"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Aesthetcs</w:t>
      </w:r>
    </w:p>
    <w:p>
      <w:pPr>
        <w:spacing w:after="0" w:line="218"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Juvederm Collecton</w:t>
      </w:r>
    </w:p>
    <w:p>
      <w:pPr>
        <w:spacing w:after="0" w:line="221" w:lineRule="exact"/>
        <w:rPr>
          <w:sz w:val="20"/>
          <w:szCs w:val="20"/>
          <w:color w:val="auto"/>
        </w:rPr>
      </w:pPr>
    </w:p>
    <w:p>
      <w:pPr>
        <w:ind w:left="940" w:right="160" w:hanging="318"/>
        <w:spacing w:after="0" w:line="230" w:lineRule="auto"/>
        <w:tabs>
          <w:tab w:leader="none" w:pos="933"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In March 2024, AbbVie announced the FDA approval of Juvederm Voluma XC for injecton in the temple region to improve moderate to severe temple hollowing in adults over the age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374650</wp:posOffset>
            </wp:positionV>
            <wp:extent cx="491490" cy="901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33</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35" w:name="page36"/>
    <w:bookmarkEnd w:id="35"/>
    <w:p>
      <w:pPr>
        <w:ind w:left="460"/>
        <w:spacing w:after="0"/>
        <w:rPr>
          <w:sz w:val="20"/>
          <w:szCs w:val="20"/>
          <w:color w:val="auto"/>
        </w:rPr>
      </w:pPr>
      <w:r>
        <w:rPr>
          <w:rFonts w:ascii="Calibri" w:cs="Calibri" w:eastAsia="Calibri" w:hAnsi="Calibri"/>
          <w:sz w:val="17"/>
          <w:szCs w:val="17"/>
          <w:u w:val="single" w:color="auto"/>
          <w:color w:val="auto"/>
        </w:rPr>
        <w:t>Botox Cosmetc</w:t>
      </w:r>
    </w:p>
    <w:p>
      <w:pPr>
        <w:spacing w:after="0" w:line="115" w:lineRule="exact"/>
        <w:rPr>
          <w:sz w:val="20"/>
          <w:szCs w:val="20"/>
          <w:color w:val="auto"/>
        </w:rPr>
      </w:pPr>
    </w:p>
    <w:p>
      <w:pPr>
        <w:ind w:left="920" w:hanging="298"/>
        <w:spacing w:after="0"/>
        <w:tabs>
          <w:tab w:leader="none" w:pos="92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In September 2024, AbbVie announced that Botox Cosmetc is now available for the treatment of masseter muscle prominence (MMP) in China.</w:t>
      </w:r>
    </w:p>
    <w:p>
      <w:pPr>
        <w:spacing w:after="0" w:line="130" w:lineRule="exact"/>
        <w:rPr>
          <w:rFonts w:ascii="Calibri" w:cs="Calibri" w:eastAsia="Calibri" w:hAnsi="Calibri"/>
          <w:sz w:val="17"/>
          <w:szCs w:val="17"/>
          <w:color w:val="auto"/>
        </w:rPr>
      </w:pPr>
    </w:p>
    <w:p>
      <w:pPr>
        <w:ind w:left="940" w:right="140" w:hanging="318"/>
        <w:spacing w:after="0" w:line="233" w:lineRule="auto"/>
        <w:tabs>
          <w:tab w:leader="none" w:pos="933"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In October 2024, AbbVie announced that the FDA has approved Botox Cosmetc for temporary improvement in the appearance of moderate to severe vertcal bands connectng the jaw and neck (platysma bands) in adults</w:t>
      </w:r>
      <w:r>
        <w:rPr>
          <w:rFonts w:ascii="Calibri" w:cs="Calibri" w:eastAsia="Calibri" w:hAnsi="Calibri"/>
          <w:sz w:val="18"/>
          <w:szCs w:val="18"/>
          <w:color w:val="auto"/>
        </w:rPr>
        <w:t>.</w:t>
      </w:r>
    </w:p>
    <w:p>
      <w:pPr>
        <w:spacing w:after="0" w:line="124"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Neuroscience</w:t>
      </w:r>
    </w:p>
    <w:p>
      <w:pPr>
        <w:spacing w:after="0" w:line="115"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Vyalev</w:t>
      </w:r>
    </w:p>
    <w:p>
      <w:pPr>
        <w:spacing w:after="0" w:line="130" w:lineRule="exact"/>
        <w:rPr>
          <w:sz w:val="20"/>
          <w:szCs w:val="20"/>
          <w:color w:val="auto"/>
        </w:rPr>
      </w:pPr>
    </w:p>
    <w:p>
      <w:pPr>
        <w:ind w:left="940" w:right="240" w:hanging="318"/>
        <w:spacing w:after="0" w:line="228" w:lineRule="auto"/>
        <w:tabs>
          <w:tab w:leader="none" w:pos="93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In January 2024, AbbVie announced the launch of Produodopa (ABBV-951) in the European Union for the treatment of advanced Parkinson's disease with severe motor fuctuatons and hyperkinesia (excessive movement) or dyskinesia (involuntary movement), and when available combinatons of Parkinson's medicinal products have not given satsfactory results.</w:t>
      </w:r>
    </w:p>
    <w:p>
      <w:pPr>
        <w:spacing w:after="0" w:line="117" w:lineRule="exact"/>
        <w:rPr>
          <w:rFonts w:ascii="Calibri" w:cs="Calibri" w:eastAsia="Calibri" w:hAnsi="Calibri"/>
          <w:sz w:val="17"/>
          <w:szCs w:val="17"/>
          <w:color w:val="auto"/>
        </w:rPr>
      </w:pPr>
    </w:p>
    <w:p>
      <w:pPr>
        <w:ind w:left="940" w:right="160" w:hanging="318"/>
        <w:spacing w:after="0" w:line="226" w:lineRule="auto"/>
        <w:tabs>
          <w:tab w:leader="none" w:pos="93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In June 2024, AbbVie announced it received a Complete Response Leter (CRL) from the FDA for the New Drug Applicaton (NDA) for ABBV-951 for the treatment of motor fuctuatons in adults with advanced Parkinson's disease. In its leter, the FDA cited observatons that were identfed during inspecton of a third-party manufacturer listed in the NDA. The CRL did not identfy any issues related to the safety, efcacy or labeling of ABBV-951, including the device, and does not request that AbbVie conduct additonal efcacy or safety trials related to the drug or device-related testng.</w:t>
      </w:r>
    </w:p>
    <w:p>
      <w:pPr>
        <w:spacing w:after="0" w:line="146" w:lineRule="exact"/>
        <w:rPr>
          <w:rFonts w:ascii="Calibri" w:cs="Calibri" w:eastAsia="Calibri" w:hAnsi="Calibri"/>
          <w:sz w:val="17"/>
          <w:szCs w:val="17"/>
          <w:color w:val="auto"/>
        </w:rPr>
      </w:pPr>
    </w:p>
    <w:p>
      <w:pPr>
        <w:ind w:left="940" w:right="280" w:hanging="318"/>
        <w:spacing w:after="0" w:line="237" w:lineRule="auto"/>
        <w:tabs>
          <w:tab w:leader="none" w:pos="93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In October 2024, AbbVie announced that the FDA has approved Vyalev (ABBV-951) as the frst and only subcutaneous 24-hour infusion of levodopa-based therapy for the treatment of motor fuctuatons in adults with advanced Parkinson's disease.</w:t>
      </w:r>
    </w:p>
    <w:p>
      <w:pPr>
        <w:spacing w:after="0" w:line="129" w:lineRule="exact"/>
        <w:rPr>
          <w:sz w:val="20"/>
          <w:szCs w:val="20"/>
          <w:color w:val="auto"/>
        </w:rPr>
      </w:pPr>
    </w:p>
    <w:p>
      <w:pPr>
        <w:ind w:left="460"/>
        <w:spacing w:after="0"/>
        <w:rPr>
          <w:sz w:val="20"/>
          <w:szCs w:val="20"/>
          <w:color w:val="auto"/>
        </w:rPr>
      </w:pPr>
      <w:r>
        <w:rPr>
          <w:rFonts w:ascii="Calibri" w:cs="Calibri" w:eastAsia="Calibri" w:hAnsi="Calibri"/>
          <w:sz w:val="17"/>
          <w:szCs w:val="17"/>
          <w:u w:val="single" w:color="auto"/>
          <w:color w:val="auto"/>
        </w:rPr>
        <w:t>Tavapadon</w:t>
      </w:r>
    </w:p>
    <w:p>
      <w:pPr>
        <w:spacing w:after="0" w:line="143" w:lineRule="exact"/>
        <w:rPr>
          <w:sz w:val="20"/>
          <w:szCs w:val="20"/>
          <w:color w:val="auto"/>
        </w:rPr>
      </w:pPr>
    </w:p>
    <w:p>
      <w:pPr>
        <w:ind w:left="940" w:right="340" w:hanging="318"/>
        <w:spacing w:after="0" w:line="237" w:lineRule="auto"/>
        <w:tabs>
          <w:tab w:leader="none" w:pos="933"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In September 2024, AbbVie announced positve topline results from its Phase 3 TEMPO-1 trial for Tavapadon as a monotherapy in early Parkinson's disease.</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color w:val="auto"/>
        </w:rPr>
        <w:t>For a more comprehensive discussion of AbbVie’s products and pipeline, see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464185</wp:posOffset>
            </wp:positionV>
            <wp:extent cx="491490" cy="90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34</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36" w:name="page37"/>
    <w:bookmarkEnd w:id="36"/>
    <w:p>
      <w:pPr>
        <w:spacing w:after="0"/>
        <w:rPr>
          <w:sz w:val="20"/>
          <w:szCs w:val="20"/>
          <w:color w:val="auto"/>
        </w:rPr>
      </w:pPr>
      <w:r>
        <w:rPr>
          <w:rFonts w:ascii="Calibri" w:cs="Calibri" w:eastAsia="Calibri" w:hAnsi="Calibri"/>
          <w:sz w:val="17"/>
          <w:szCs w:val="17"/>
          <w:b w:val="1"/>
          <w:bCs w:val="1"/>
          <w:color w:val="444867"/>
        </w:rPr>
        <w:t>RESULTS OF OPERATIONS</w:t>
      </w:r>
    </w:p>
    <w:p>
      <w:pPr>
        <w:spacing w:after="0" w:line="5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Net Revenues</w:t>
      </w:r>
    </w:p>
    <w:p>
      <w:pPr>
        <w:spacing w:after="0" w:line="143" w:lineRule="exact"/>
        <w:rPr>
          <w:sz w:val="20"/>
          <w:szCs w:val="20"/>
          <w:color w:val="auto"/>
        </w:rPr>
      </w:pPr>
    </w:p>
    <w:p>
      <w:pPr>
        <w:ind w:right="120"/>
        <w:spacing w:after="0" w:line="238" w:lineRule="auto"/>
        <w:rPr>
          <w:sz w:val="20"/>
          <w:szCs w:val="20"/>
          <w:color w:val="auto"/>
        </w:rPr>
      </w:pPr>
      <w:r>
        <w:rPr>
          <w:rFonts w:ascii="Calibri" w:cs="Calibri" w:eastAsia="Calibri" w:hAnsi="Calibri"/>
          <w:sz w:val="17"/>
          <w:szCs w:val="17"/>
          <w:color w:val="auto"/>
        </w:rPr>
        <w:t>The comparisons presented at constant currency rates refect comparatve local currency net revenues at the prior year’s foreign exchange rates. This measure provides informaton on the change in net revenues assuming that foreign currency exchange rates had not changed between the prior and current periods. AbbVie believes that the non-GAAP measure of change in net revenues at constant currency rates, when used in conjuncton with the GAAP measure of change in net revenues at actual currency rates, may provide a more complete understanding of the company’s operatons and can facilitate analysis of the company’s results of operatons, partcularly in evaluatng performance from one period to another.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vMerge w:val="restart"/>
          </w:tcPr>
          <w:p>
            <w:pPr>
              <w:jc w:val="center"/>
              <w:ind w:right="300"/>
              <w:spacing w:after="0"/>
              <w:rPr>
                <w:sz w:val="20"/>
                <w:szCs w:val="20"/>
                <w:color w:val="auto"/>
              </w:rPr>
            </w:pPr>
            <w:r>
              <w:rPr>
                <w:rFonts w:ascii="Calibri" w:cs="Calibri" w:eastAsia="Calibri" w:hAnsi="Calibri"/>
                <w:sz w:val="14"/>
                <w:szCs w:val="14"/>
                <w:b w:val="1"/>
                <w:bCs w:val="1"/>
                <w:color w:val="auto"/>
                <w:w w:val="97"/>
              </w:rPr>
              <w:t>Three months ended</w:t>
            </w:r>
          </w:p>
        </w:tc>
        <w:tc>
          <w:tcPr>
            <w:tcW w:w="2620" w:type="dxa"/>
            <w:vAlign w:val="bottom"/>
            <w:gridSpan w:val="3"/>
          </w:tcPr>
          <w:p>
            <w:pPr>
              <w:ind w:left="82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720" w:type="dxa"/>
            <w:vAlign w:val="bottom"/>
            <w:gridSpan w:val="4"/>
            <w:vMerge w:val="restart"/>
          </w:tcPr>
          <w:p>
            <w:pPr>
              <w:jc w:val="center"/>
              <w:ind w:right="280"/>
              <w:spacing w:after="0"/>
              <w:rPr>
                <w:sz w:val="20"/>
                <w:szCs w:val="20"/>
                <w:color w:val="auto"/>
              </w:rPr>
            </w:pPr>
            <w:r>
              <w:rPr>
                <w:rFonts w:ascii="Calibri" w:cs="Calibri" w:eastAsia="Calibri" w:hAnsi="Calibri"/>
                <w:sz w:val="14"/>
                <w:szCs w:val="14"/>
                <w:b w:val="1"/>
                <w:bCs w:val="1"/>
                <w:color w:val="auto"/>
                <w:w w:val="97"/>
              </w:rPr>
              <w:t>Nine months ended</w:t>
            </w:r>
          </w:p>
        </w:tc>
        <w:tc>
          <w:tcPr>
            <w:tcW w:w="2520" w:type="dxa"/>
            <w:vAlign w:val="bottom"/>
            <w:gridSpan w:val="2"/>
          </w:tcPr>
          <w:p>
            <w:pPr>
              <w:jc w:val="right"/>
              <w:ind w:right="751"/>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3"/>
        </w:trPr>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4"/>
            <w:vMerge w:val="continue"/>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4"/>
            <w:vMerge w:val="continue"/>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30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180" w:type="dxa"/>
            <w:vAlign w:val="bottom"/>
          </w:tcPr>
          <w:p>
            <w:pPr>
              <w:spacing w:after="0"/>
              <w:rPr>
                <w:sz w:val="12"/>
                <w:szCs w:val="12"/>
                <w:color w:val="auto"/>
              </w:rPr>
            </w:pPr>
          </w:p>
        </w:tc>
        <w:tc>
          <w:tcPr>
            <w:tcW w:w="1720" w:type="dxa"/>
            <w:vAlign w:val="bottom"/>
            <w:gridSpan w:val="4"/>
          </w:tcPr>
          <w:p>
            <w:pPr>
              <w:jc w:val="center"/>
              <w:ind w:right="300"/>
              <w:spacing w:after="0" w:line="143" w:lineRule="exact"/>
              <w:rPr>
                <w:sz w:val="20"/>
                <w:szCs w:val="20"/>
                <w:color w:val="auto"/>
              </w:rPr>
            </w:pPr>
            <w:r>
              <w:rPr>
                <w:rFonts w:ascii="Calibri" w:cs="Calibri" w:eastAsia="Calibri" w:hAnsi="Calibri"/>
                <w:sz w:val="14"/>
                <w:szCs w:val="14"/>
                <w:b w:val="1"/>
                <w:bCs w:val="1"/>
                <w:color w:val="auto"/>
                <w:w w:val="96"/>
              </w:rPr>
              <w:t>September 30,</w:t>
            </w:r>
          </w:p>
        </w:tc>
        <w:tc>
          <w:tcPr>
            <w:tcW w:w="1340" w:type="dxa"/>
            <w:vAlign w:val="bottom"/>
            <w:vMerge w:val="restart"/>
          </w:tcPr>
          <w:p>
            <w:pPr>
              <w:jc w:val="right"/>
              <w:ind w:right="431"/>
              <w:spacing w:after="0" w:line="161" w:lineRule="exact"/>
              <w:rPr>
                <w:sz w:val="20"/>
                <w:szCs w:val="20"/>
                <w:color w:val="auto"/>
              </w:rPr>
            </w:pPr>
            <w:r>
              <w:rPr>
                <w:rFonts w:ascii="Calibri" w:cs="Calibri" w:eastAsia="Calibri" w:hAnsi="Calibri"/>
                <w:sz w:val="14"/>
                <w:szCs w:val="14"/>
                <w:b w:val="1"/>
                <w:bCs w:val="1"/>
                <w:color w:val="auto"/>
              </w:rPr>
              <w:t>At actual</w:t>
            </w:r>
          </w:p>
        </w:tc>
        <w:tc>
          <w:tcPr>
            <w:tcW w:w="1280" w:type="dxa"/>
            <w:vAlign w:val="bottom"/>
            <w:gridSpan w:val="2"/>
            <w:vMerge w:val="restart"/>
          </w:tcPr>
          <w:p>
            <w:pPr>
              <w:jc w:val="center"/>
              <w:ind w:right="180"/>
              <w:spacing w:after="0" w:line="161" w:lineRule="exact"/>
              <w:rPr>
                <w:sz w:val="20"/>
                <w:szCs w:val="20"/>
                <w:color w:val="auto"/>
              </w:rPr>
            </w:pPr>
            <w:r>
              <w:rPr>
                <w:rFonts w:ascii="Calibri" w:cs="Calibri" w:eastAsia="Calibri" w:hAnsi="Calibri"/>
                <w:sz w:val="14"/>
                <w:szCs w:val="14"/>
                <w:b w:val="1"/>
                <w:bCs w:val="1"/>
                <w:color w:val="auto"/>
                <w:w w:val="98"/>
              </w:rPr>
              <w:t>At constant</w:t>
            </w:r>
          </w:p>
        </w:tc>
        <w:tc>
          <w:tcPr>
            <w:tcW w:w="180" w:type="dxa"/>
            <w:vAlign w:val="bottom"/>
          </w:tcPr>
          <w:p>
            <w:pPr>
              <w:spacing w:after="0"/>
              <w:rPr>
                <w:sz w:val="12"/>
                <w:szCs w:val="12"/>
                <w:color w:val="auto"/>
              </w:rPr>
            </w:pPr>
          </w:p>
        </w:tc>
        <w:tc>
          <w:tcPr>
            <w:tcW w:w="1720" w:type="dxa"/>
            <w:vAlign w:val="bottom"/>
            <w:gridSpan w:val="4"/>
          </w:tcPr>
          <w:p>
            <w:pPr>
              <w:jc w:val="center"/>
              <w:ind w:right="300"/>
              <w:spacing w:after="0" w:line="143" w:lineRule="exact"/>
              <w:rPr>
                <w:sz w:val="20"/>
                <w:szCs w:val="20"/>
                <w:color w:val="auto"/>
              </w:rPr>
            </w:pPr>
            <w:r>
              <w:rPr>
                <w:rFonts w:ascii="Calibri" w:cs="Calibri" w:eastAsia="Calibri" w:hAnsi="Calibri"/>
                <w:sz w:val="14"/>
                <w:szCs w:val="14"/>
                <w:b w:val="1"/>
                <w:bCs w:val="1"/>
                <w:color w:val="auto"/>
                <w:w w:val="96"/>
              </w:rPr>
              <w:t>September 30,</w:t>
            </w:r>
          </w:p>
        </w:tc>
        <w:tc>
          <w:tcPr>
            <w:tcW w:w="1360" w:type="dxa"/>
            <w:vAlign w:val="bottom"/>
            <w:vMerge w:val="restart"/>
          </w:tcPr>
          <w:p>
            <w:pPr>
              <w:jc w:val="right"/>
              <w:ind w:right="451"/>
              <w:spacing w:after="0" w:line="161" w:lineRule="exact"/>
              <w:rPr>
                <w:sz w:val="20"/>
                <w:szCs w:val="20"/>
                <w:color w:val="auto"/>
              </w:rPr>
            </w:pPr>
            <w:r>
              <w:rPr>
                <w:rFonts w:ascii="Calibri" w:cs="Calibri" w:eastAsia="Calibri" w:hAnsi="Calibri"/>
                <w:sz w:val="14"/>
                <w:szCs w:val="14"/>
                <w:b w:val="1"/>
                <w:bCs w:val="1"/>
                <w:color w:val="auto"/>
              </w:rPr>
              <w:t>At actual</w:t>
            </w:r>
          </w:p>
        </w:tc>
        <w:tc>
          <w:tcPr>
            <w:tcW w:w="1160" w:type="dxa"/>
            <w:vAlign w:val="bottom"/>
            <w:vMerge w:val="restart"/>
          </w:tcPr>
          <w:p>
            <w:pPr>
              <w:jc w:val="right"/>
              <w:ind w:right="211"/>
              <w:spacing w:after="0" w:line="161" w:lineRule="exact"/>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30"/>
        </w:trPr>
        <w:tc>
          <w:tcPr>
            <w:tcW w:w="230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1"/>
              <w:spacing w:after="0" w:line="156"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3"/>
                <w:szCs w:val="13"/>
                <w:color w:val="auto"/>
              </w:rPr>
            </w:pPr>
          </w:p>
        </w:tc>
        <w:tc>
          <w:tcPr>
            <w:tcW w:w="660" w:type="dxa"/>
            <w:vAlign w:val="bottom"/>
          </w:tcPr>
          <w:p>
            <w:pPr>
              <w:jc w:val="right"/>
              <w:ind w:right="211"/>
              <w:spacing w:after="0" w:line="156"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3"/>
                <w:szCs w:val="13"/>
                <w:color w:val="auto"/>
              </w:rPr>
            </w:pPr>
          </w:p>
        </w:tc>
        <w:tc>
          <w:tcPr>
            <w:tcW w:w="1340" w:type="dxa"/>
            <w:vAlign w:val="bottom"/>
          </w:tcPr>
          <w:p>
            <w:pPr>
              <w:jc w:val="right"/>
              <w:ind w:right="271"/>
              <w:spacing w:after="0" w:line="156" w:lineRule="exact"/>
              <w:rPr>
                <w:sz w:val="20"/>
                <w:szCs w:val="20"/>
                <w:color w:val="auto"/>
              </w:rPr>
            </w:pPr>
            <w:r>
              <w:rPr>
                <w:rFonts w:ascii="Calibri" w:cs="Calibri" w:eastAsia="Calibri" w:hAnsi="Calibri"/>
                <w:sz w:val="14"/>
                <w:szCs w:val="14"/>
                <w:b w:val="1"/>
                <w:bCs w:val="1"/>
                <w:color w:val="auto"/>
              </w:rPr>
              <w:t>currency rates</w:t>
            </w:r>
          </w:p>
        </w:tc>
        <w:tc>
          <w:tcPr>
            <w:tcW w:w="1280" w:type="dxa"/>
            <w:vAlign w:val="bottom"/>
            <w:gridSpan w:val="2"/>
          </w:tcPr>
          <w:p>
            <w:pPr>
              <w:jc w:val="center"/>
              <w:ind w:right="140"/>
              <w:spacing w:after="0" w:line="156" w:lineRule="exact"/>
              <w:rPr>
                <w:sz w:val="20"/>
                <w:szCs w:val="20"/>
                <w:color w:val="auto"/>
              </w:rPr>
            </w:pPr>
            <w:r>
              <w:rPr>
                <w:rFonts w:ascii="Calibri" w:cs="Calibri" w:eastAsia="Calibri" w:hAnsi="Calibri"/>
                <w:sz w:val="14"/>
                <w:szCs w:val="14"/>
                <w:b w:val="1"/>
                <w:bCs w:val="1"/>
                <w:color w:val="auto"/>
                <w:w w:val="98"/>
              </w:rPr>
              <w:t>currency rates</w:t>
            </w:r>
          </w:p>
        </w:tc>
        <w:tc>
          <w:tcPr>
            <w:tcW w:w="180" w:type="dxa"/>
            <w:vAlign w:val="bottom"/>
          </w:tcPr>
          <w:p>
            <w:pPr>
              <w:spacing w:after="0"/>
              <w:rPr>
                <w:sz w:val="13"/>
                <w:szCs w:val="13"/>
                <w:color w:val="auto"/>
              </w:rPr>
            </w:pPr>
          </w:p>
        </w:tc>
        <w:tc>
          <w:tcPr>
            <w:tcW w:w="700" w:type="dxa"/>
            <w:vAlign w:val="bottom"/>
          </w:tcPr>
          <w:p>
            <w:pPr>
              <w:jc w:val="right"/>
              <w:ind w:right="251"/>
              <w:spacing w:after="0" w:line="156"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3"/>
                <w:szCs w:val="13"/>
                <w:color w:val="auto"/>
              </w:rPr>
            </w:pPr>
          </w:p>
        </w:tc>
        <w:tc>
          <w:tcPr>
            <w:tcW w:w="660" w:type="dxa"/>
            <w:vAlign w:val="bottom"/>
          </w:tcPr>
          <w:p>
            <w:pPr>
              <w:jc w:val="right"/>
              <w:ind w:right="231"/>
              <w:spacing w:after="0" w:line="156"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3"/>
                <w:szCs w:val="13"/>
                <w:color w:val="auto"/>
              </w:rPr>
            </w:pPr>
          </w:p>
        </w:tc>
        <w:tc>
          <w:tcPr>
            <w:tcW w:w="1360" w:type="dxa"/>
            <w:vAlign w:val="bottom"/>
          </w:tcPr>
          <w:p>
            <w:pPr>
              <w:jc w:val="right"/>
              <w:ind w:right="271"/>
              <w:spacing w:after="0" w:line="156" w:lineRule="exact"/>
              <w:rPr>
                <w:sz w:val="20"/>
                <w:szCs w:val="20"/>
                <w:color w:val="auto"/>
              </w:rPr>
            </w:pPr>
            <w:r>
              <w:rPr>
                <w:rFonts w:ascii="Calibri" w:cs="Calibri" w:eastAsia="Calibri" w:hAnsi="Calibri"/>
                <w:sz w:val="14"/>
                <w:szCs w:val="14"/>
                <w:b w:val="1"/>
                <w:bCs w:val="1"/>
                <w:color w:val="auto"/>
              </w:rPr>
              <w:t>currency rates</w:t>
            </w:r>
          </w:p>
        </w:tc>
        <w:tc>
          <w:tcPr>
            <w:tcW w:w="1160" w:type="dxa"/>
            <w:vAlign w:val="bottom"/>
          </w:tcPr>
          <w:p>
            <w:pPr>
              <w:jc w:val="right"/>
              <w:ind w:right="131"/>
              <w:spacing w:after="0" w:line="156" w:lineRule="exact"/>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30"/>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300" w:type="dxa"/>
            <w:vAlign w:val="bottom"/>
            <w:tcBorders>
              <w:bottom w:val="single" w:sz="8" w:color="CCEEFF"/>
            </w:tcBorders>
            <w:shd w:val="clear" w:color="auto" w:fill="CCEEFF"/>
          </w:tcPr>
          <w:p>
            <w:pPr>
              <w:ind w:left="26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11,148</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10,852</w:t>
            </w: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2.7 %</w:t>
            </w:r>
          </w:p>
        </w:tc>
        <w:tc>
          <w:tcPr>
            <w:tcW w:w="1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2.7 %</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31,295</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30,773</w:t>
            </w: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1.7 %</w:t>
            </w:r>
          </w:p>
        </w:tc>
        <w:tc>
          <w:tcPr>
            <w:tcW w:w="1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1.7 %</w:t>
            </w:r>
          </w:p>
        </w:tc>
        <w:tc>
          <w:tcPr>
            <w:tcW w:w="0" w:type="dxa"/>
            <w:vAlign w:val="bottom"/>
          </w:tcPr>
          <w:p>
            <w:pPr>
              <w:spacing w:after="0"/>
              <w:rPr>
                <w:sz w:val="1"/>
                <w:szCs w:val="1"/>
                <w:color w:val="auto"/>
              </w:rPr>
            </w:pPr>
          </w:p>
        </w:tc>
      </w:tr>
      <w:tr>
        <w:trPr>
          <w:trHeight w:val="163"/>
        </w:trPr>
        <w:tc>
          <w:tcPr>
            <w:tcW w:w="2300" w:type="dxa"/>
            <w:vAlign w:val="bottom"/>
          </w:tcPr>
          <w:p>
            <w:pPr>
              <w:ind w:left="26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3,312</w:t>
            </w:r>
          </w:p>
        </w:tc>
        <w:tc>
          <w:tcPr>
            <w:tcW w:w="26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Calibri" w:cs="Calibri" w:eastAsia="Calibri" w:hAnsi="Calibri"/>
                <w:sz w:val="14"/>
                <w:szCs w:val="14"/>
                <w:color w:val="auto"/>
              </w:rPr>
              <w:t>3,075</w:t>
            </w:r>
          </w:p>
        </w:tc>
        <w:tc>
          <w:tcPr>
            <w:tcW w:w="120" w:type="dxa"/>
            <w:vAlign w:val="bottom"/>
          </w:tcPr>
          <w:p>
            <w:pPr>
              <w:spacing w:after="0"/>
              <w:rPr>
                <w:sz w:val="14"/>
                <w:szCs w:val="14"/>
                <w:color w:val="auto"/>
              </w:rPr>
            </w:pPr>
          </w:p>
        </w:tc>
        <w:tc>
          <w:tcPr>
            <w:tcW w:w="134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7.7 %</w:t>
            </w:r>
          </w:p>
        </w:tc>
        <w:tc>
          <w:tcPr>
            <w:tcW w:w="1160" w:type="dxa"/>
            <w:vAlign w:val="bottom"/>
          </w:tcPr>
          <w:p>
            <w:pPr>
              <w:jc w:val="right"/>
              <w:spacing w:after="0" w:line="164" w:lineRule="exact"/>
              <w:rPr>
                <w:sz w:val="20"/>
                <w:szCs w:val="20"/>
                <w:color w:val="auto"/>
              </w:rPr>
            </w:pPr>
            <w:r>
              <w:rPr>
                <w:rFonts w:ascii="Calibri" w:cs="Calibri" w:eastAsia="Calibri" w:hAnsi="Calibri"/>
                <w:sz w:val="14"/>
                <w:szCs w:val="14"/>
                <w:color w:val="auto"/>
              </w:rPr>
              <w:t>12.4 %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9,937</w:t>
            </w:r>
          </w:p>
        </w:tc>
        <w:tc>
          <w:tcPr>
            <w:tcW w:w="26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Calibri" w:cs="Calibri" w:eastAsia="Calibri" w:hAnsi="Calibri"/>
                <w:sz w:val="14"/>
                <w:szCs w:val="14"/>
                <w:color w:val="auto"/>
              </w:rPr>
              <w:t>9,244</w:t>
            </w:r>
          </w:p>
        </w:tc>
        <w:tc>
          <w:tcPr>
            <w:tcW w:w="100" w:type="dxa"/>
            <w:vAlign w:val="bottom"/>
          </w:tcPr>
          <w:p>
            <w:pPr>
              <w:spacing w:after="0"/>
              <w:rPr>
                <w:sz w:val="14"/>
                <w:szCs w:val="14"/>
                <w:color w:val="auto"/>
              </w:rPr>
            </w:pPr>
          </w:p>
        </w:tc>
        <w:tc>
          <w:tcPr>
            <w:tcW w:w="136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7.5 %</w:t>
            </w:r>
          </w:p>
        </w:tc>
        <w:tc>
          <w:tcPr>
            <w:tcW w:w="1160" w:type="dxa"/>
            <w:vAlign w:val="bottom"/>
          </w:tcPr>
          <w:p>
            <w:pPr>
              <w:jc w:val="right"/>
              <w:spacing w:after="0" w:line="164" w:lineRule="exact"/>
              <w:rPr>
                <w:sz w:val="20"/>
                <w:szCs w:val="20"/>
                <w:color w:val="auto"/>
              </w:rPr>
            </w:pPr>
            <w:r>
              <w:rPr>
                <w:rFonts w:ascii="Calibri" w:cs="Calibri" w:eastAsia="Calibri" w:hAnsi="Calibri"/>
                <w:sz w:val="14"/>
                <w:szCs w:val="14"/>
                <w:color w:val="auto"/>
              </w:rPr>
              <w:t>12.2 %</w:t>
            </w:r>
          </w:p>
        </w:tc>
        <w:tc>
          <w:tcPr>
            <w:tcW w:w="0" w:type="dxa"/>
            <w:vAlign w:val="bottom"/>
          </w:tcPr>
          <w:p>
            <w:pPr>
              <w:spacing w:after="0"/>
              <w:rPr>
                <w:sz w:val="1"/>
                <w:szCs w:val="1"/>
                <w:color w:val="auto"/>
              </w:rPr>
            </w:pPr>
          </w:p>
        </w:tc>
      </w:tr>
      <w:tr>
        <w:trPr>
          <w:trHeight w:val="30"/>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300" w:type="dxa"/>
            <w:vAlign w:val="bottom"/>
            <w:tcBorders>
              <w:bottom w:val="single" w:sz="8" w:color="CCEEFF"/>
            </w:tcBorders>
            <w:shd w:val="clear" w:color="auto" w:fill="CCEEFF"/>
          </w:tcPr>
          <w:p>
            <w:pPr>
              <w:ind w:left="260"/>
              <w:spacing w:after="0" w:line="156" w:lineRule="exact"/>
              <w:rPr>
                <w:sz w:val="20"/>
                <w:szCs w:val="20"/>
                <w:color w:val="auto"/>
              </w:rPr>
            </w:pPr>
            <w:r>
              <w:rPr>
                <w:rFonts w:ascii="Calibri" w:cs="Calibri" w:eastAsia="Calibri" w:hAnsi="Calibri"/>
                <w:sz w:val="14"/>
                <w:szCs w:val="14"/>
                <w:color w:val="auto"/>
              </w:rPr>
              <w:t>Net revenues</w:t>
            </w:r>
          </w:p>
        </w:tc>
        <w:tc>
          <w:tcPr>
            <w:tcW w:w="1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14,460</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13,927</w:t>
            </w: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3.8 %</w:t>
            </w:r>
          </w:p>
        </w:tc>
        <w:tc>
          <w:tcPr>
            <w:tcW w:w="1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4.9 %</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41,232</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40,017</w:t>
            </w: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3.0 %</w:t>
            </w:r>
          </w:p>
        </w:tc>
        <w:tc>
          <w:tcPr>
            <w:tcW w:w="116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4.1 %</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450215</wp:posOffset>
            </wp:positionV>
            <wp:extent cx="491490" cy="901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35</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37" w:name="page38"/>
    <w:bookmarkEnd w:id="37"/>
    <w:p>
      <w:pPr>
        <w:spacing w:after="0"/>
        <w:rPr>
          <w:sz w:val="20"/>
          <w:szCs w:val="20"/>
          <w:color w:val="auto"/>
        </w:rPr>
      </w:pPr>
      <w:r>
        <w:rPr>
          <w:rFonts w:ascii="Calibri" w:cs="Calibri" w:eastAsia="Calibri" w:hAnsi="Calibri"/>
          <w:sz w:val="17"/>
          <w:szCs w:val="17"/>
          <w:color w:val="auto"/>
        </w:rPr>
        <w:t>The following table details AbbVie’s worldwide net revenues: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vMerge w:val="restart"/>
          </w:tcPr>
          <w:p>
            <w:pPr>
              <w:jc w:val="right"/>
              <w:ind w:right="271"/>
              <w:spacing w:after="0"/>
              <w:rPr>
                <w:sz w:val="20"/>
                <w:szCs w:val="20"/>
                <w:color w:val="auto"/>
              </w:rPr>
            </w:pPr>
            <w:r>
              <w:rPr>
                <w:rFonts w:ascii="Calibri" w:cs="Calibri" w:eastAsia="Calibri" w:hAnsi="Calibri"/>
                <w:sz w:val="14"/>
                <w:szCs w:val="14"/>
                <w:b w:val="1"/>
                <w:bCs w:val="1"/>
                <w:color w:val="auto"/>
              </w:rPr>
              <w:t>Three months ended</w:t>
            </w:r>
          </w:p>
        </w:tc>
        <w:tc>
          <w:tcPr>
            <w:tcW w:w="212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620" w:type="dxa"/>
            <w:vAlign w:val="bottom"/>
            <w:gridSpan w:val="3"/>
            <w:vMerge w:val="restart"/>
          </w:tcPr>
          <w:p>
            <w:pPr>
              <w:jc w:val="right"/>
              <w:ind w:right="311"/>
              <w:spacing w:after="0"/>
              <w:rPr>
                <w:sz w:val="20"/>
                <w:szCs w:val="20"/>
                <w:color w:val="auto"/>
              </w:rPr>
            </w:pPr>
            <w:r>
              <w:rPr>
                <w:rFonts w:ascii="Calibri" w:cs="Calibri" w:eastAsia="Calibri" w:hAnsi="Calibri"/>
                <w:sz w:val="14"/>
                <w:szCs w:val="14"/>
                <w:b w:val="1"/>
                <w:bCs w:val="1"/>
                <w:color w:val="auto"/>
              </w:rPr>
              <w:t>Nine months ended</w:t>
            </w:r>
          </w:p>
        </w:tc>
        <w:tc>
          <w:tcPr>
            <w:tcW w:w="2020" w:type="dxa"/>
            <w:vAlign w:val="bottom"/>
            <w:gridSpan w:val="2"/>
          </w:tcPr>
          <w:p>
            <w:pPr>
              <w:jc w:val="right"/>
              <w:ind w:right="511"/>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62"/>
        </w:trPr>
        <w:tc>
          <w:tcPr>
            <w:tcW w:w="14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right"/>
              <w:ind w:right="451"/>
              <w:spacing w:after="0" w:line="164" w:lineRule="exact"/>
              <w:rPr>
                <w:sz w:val="20"/>
                <w:szCs w:val="20"/>
                <w:color w:val="auto"/>
              </w:rPr>
            </w:pPr>
            <w:r>
              <w:rPr>
                <w:rFonts w:ascii="Calibri" w:cs="Calibri" w:eastAsia="Calibri" w:hAnsi="Calibri"/>
                <w:sz w:val="14"/>
                <w:szCs w:val="14"/>
                <w:b w:val="1"/>
                <w:bCs w:val="1"/>
                <w:color w:val="auto"/>
              </w:rPr>
              <w:t>September 30,</w:t>
            </w:r>
          </w:p>
        </w:tc>
        <w:tc>
          <w:tcPr>
            <w:tcW w:w="1020" w:type="dxa"/>
            <w:vAlign w:val="bottom"/>
            <w:vMerge w:val="restart"/>
          </w:tcPr>
          <w:p>
            <w:pPr>
              <w:jc w:val="right"/>
              <w:ind w:right="251"/>
              <w:spacing w:after="0"/>
              <w:rPr>
                <w:sz w:val="20"/>
                <w:szCs w:val="20"/>
                <w:color w:val="auto"/>
              </w:rPr>
            </w:pPr>
            <w:r>
              <w:rPr>
                <w:rFonts w:ascii="Calibri" w:cs="Calibri" w:eastAsia="Calibri" w:hAnsi="Calibri"/>
                <w:sz w:val="14"/>
                <w:szCs w:val="14"/>
                <w:b w:val="1"/>
                <w:bCs w:val="1"/>
                <w:color w:val="auto"/>
              </w:rPr>
              <w:t>At actual</w:t>
            </w:r>
          </w:p>
        </w:tc>
        <w:tc>
          <w:tcPr>
            <w:tcW w:w="1100" w:type="dxa"/>
            <w:vAlign w:val="bottom"/>
            <w:gridSpan w:val="2"/>
            <w:vMerge w:val="restart"/>
          </w:tcPr>
          <w:p>
            <w:pPr>
              <w:jc w:val="center"/>
              <w:ind w:right="120"/>
              <w:spacing w:after="0"/>
              <w:rPr>
                <w:sz w:val="20"/>
                <w:szCs w:val="20"/>
                <w:color w:val="auto"/>
              </w:rPr>
            </w:pPr>
            <w:r>
              <w:rPr>
                <w:rFonts w:ascii="Calibri" w:cs="Calibri" w:eastAsia="Calibri" w:hAnsi="Calibri"/>
                <w:sz w:val="14"/>
                <w:szCs w:val="14"/>
                <w:b w:val="1"/>
                <w:bCs w:val="1"/>
                <w:color w:val="auto"/>
                <w:w w:val="98"/>
              </w:rPr>
              <w:t>At constant</w:t>
            </w:r>
          </w:p>
        </w:tc>
        <w:tc>
          <w:tcPr>
            <w:tcW w:w="180" w:type="dxa"/>
            <w:vAlign w:val="bottom"/>
          </w:tcPr>
          <w:p>
            <w:pPr>
              <w:spacing w:after="0"/>
              <w:rPr>
                <w:sz w:val="14"/>
                <w:szCs w:val="14"/>
                <w:color w:val="auto"/>
              </w:rPr>
            </w:pPr>
          </w:p>
        </w:tc>
        <w:tc>
          <w:tcPr>
            <w:tcW w:w="1620" w:type="dxa"/>
            <w:vAlign w:val="bottom"/>
            <w:gridSpan w:val="3"/>
          </w:tcPr>
          <w:p>
            <w:pPr>
              <w:jc w:val="right"/>
              <w:ind w:right="471"/>
              <w:spacing w:after="0" w:line="164" w:lineRule="exact"/>
              <w:rPr>
                <w:sz w:val="20"/>
                <w:szCs w:val="20"/>
                <w:color w:val="auto"/>
              </w:rPr>
            </w:pPr>
            <w:r>
              <w:rPr>
                <w:rFonts w:ascii="Calibri" w:cs="Calibri" w:eastAsia="Calibri" w:hAnsi="Calibri"/>
                <w:sz w:val="14"/>
                <w:szCs w:val="14"/>
                <w:b w:val="1"/>
                <w:bCs w:val="1"/>
                <w:color w:val="auto"/>
              </w:rPr>
              <w:t>September 30,</w:t>
            </w:r>
          </w:p>
        </w:tc>
        <w:tc>
          <w:tcPr>
            <w:tcW w:w="1020" w:type="dxa"/>
            <w:vAlign w:val="bottom"/>
            <w:vMerge w:val="restart"/>
          </w:tcPr>
          <w:p>
            <w:pPr>
              <w:jc w:val="right"/>
              <w:ind w:right="251"/>
              <w:spacing w:after="0"/>
              <w:rPr>
                <w:sz w:val="20"/>
                <w:szCs w:val="20"/>
                <w:color w:val="auto"/>
              </w:rPr>
            </w:pPr>
            <w:r>
              <w:rPr>
                <w:rFonts w:ascii="Calibri" w:cs="Calibri" w:eastAsia="Calibri" w:hAnsi="Calibri"/>
                <w:sz w:val="14"/>
                <w:szCs w:val="14"/>
                <w:b w:val="1"/>
                <w:bCs w:val="1"/>
                <w:color w:val="auto"/>
              </w:rPr>
              <w:t>At actual</w:t>
            </w:r>
          </w:p>
        </w:tc>
        <w:tc>
          <w:tcPr>
            <w:tcW w:w="1000" w:type="dxa"/>
            <w:vAlign w:val="bottom"/>
            <w:vMerge w:val="restart"/>
          </w:tcPr>
          <w:p>
            <w:pPr>
              <w:jc w:val="right"/>
              <w:ind w:right="111"/>
              <w:spacing w:after="0"/>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43"/>
        </w:trPr>
        <w:tc>
          <w:tcPr>
            <w:tcW w:w="14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420" w:type="dxa"/>
            <w:vAlign w:val="bottom"/>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11"/>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Calibri" w:cs="Calibri" w:eastAsia="Calibri" w:hAnsi="Calibri"/>
                <w:sz w:val="14"/>
                <w:szCs w:val="14"/>
                <w:b w:val="1"/>
                <w:bCs w:val="1"/>
                <w:color w:val="auto"/>
              </w:rPr>
              <w:t>2023</w:t>
            </w:r>
          </w:p>
        </w:tc>
        <w:tc>
          <w:tcPr>
            <w:tcW w:w="1020" w:type="dxa"/>
            <w:vAlign w:val="bottom"/>
          </w:tcPr>
          <w:p>
            <w:pPr>
              <w:jc w:val="right"/>
              <w:ind w:right="91"/>
              <w:spacing w:after="0"/>
              <w:rPr>
                <w:sz w:val="20"/>
                <w:szCs w:val="20"/>
                <w:color w:val="auto"/>
              </w:rPr>
            </w:pPr>
            <w:r>
              <w:rPr>
                <w:rFonts w:ascii="Calibri" w:cs="Calibri" w:eastAsia="Calibri" w:hAnsi="Calibri"/>
                <w:sz w:val="14"/>
                <w:szCs w:val="14"/>
                <w:b w:val="1"/>
                <w:bCs w:val="1"/>
                <w:color w:val="auto"/>
              </w:rPr>
              <w:t>currency rates</w:t>
            </w:r>
          </w:p>
        </w:tc>
        <w:tc>
          <w:tcPr>
            <w:tcW w:w="110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w w:val="98"/>
              </w:rPr>
              <w:t>currency rates</w:t>
            </w:r>
          </w:p>
        </w:tc>
        <w:tc>
          <w:tcPr>
            <w:tcW w:w="180" w:type="dxa"/>
            <w:vAlign w:val="bottom"/>
          </w:tcPr>
          <w:p>
            <w:pPr>
              <w:spacing w:after="0"/>
              <w:rPr>
                <w:sz w:val="15"/>
                <w:szCs w:val="15"/>
                <w:color w:val="auto"/>
              </w:rPr>
            </w:pPr>
          </w:p>
        </w:tc>
        <w:tc>
          <w:tcPr>
            <w:tcW w:w="640" w:type="dxa"/>
            <w:vAlign w:val="bottom"/>
          </w:tcPr>
          <w:p>
            <w:pPr>
              <w:jc w:val="right"/>
              <w:ind w:right="211"/>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Calibri" w:cs="Calibri" w:eastAsia="Calibri" w:hAnsi="Calibri"/>
                <w:sz w:val="14"/>
                <w:szCs w:val="14"/>
                <w:b w:val="1"/>
                <w:bCs w:val="1"/>
                <w:color w:val="auto"/>
              </w:rPr>
              <w:t>2023</w:t>
            </w:r>
          </w:p>
        </w:tc>
        <w:tc>
          <w:tcPr>
            <w:tcW w:w="1020" w:type="dxa"/>
            <w:vAlign w:val="bottom"/>
          </w:tcPr>
          <w:p>
            <w:pPr>
              <w:jc w:val="right"/>
              <w:ind w:right="91"/>
              <w:spacing w:after="0"/>
              <w:rPr>
                <w:sz w:val="20"/>
                <w:szCs w:val="20"/>
                <w:color w:val="auto"/>
              </w:rPr>
            </w:pPr>
            <w:r>
              <w:rPr>
                <w:rFonts w:ascii="Calibri" w:cs="Calibri" w:eastAsia="Calibri" w:hAnsi="Calibri"/>
                <w:sz w:val="14"/>
                <w:szCs w:val="14"/>
                <w:b w:val="1"/>
                <w:bCs w:val="1"/>
                <w:color w:val="auto"/>
              </w:rPr>
              <w:t>currency rates</w:t>
            </w:r>
          </w:p>
        </w:tc>
        <w:tc>
          <w:tcPr>
            <w:tcW w:w="1000" w:type="dxa"/>
            <w:vAlign w:val="bottom"/>
          </w:tcPr>
          <w:p>
            <w:pPr>
              <w:jc w:val="right"/>
              <w:ind w:right="11"/>
              <w:spacing w:after="0"/>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Calibri" w:cs="Calibri" w:eastAsia="Calibri" w:hAnsi="Calibri"/>
                <w:sz w:val="14"/>
                <w:szCs w:val="14"/>
                <w:b w:val="1"/>
                <w:bCs w:val="1"/>
                <w:color w:val="auto"/>
              </w:rPr>
              <w:t>Immunology</w:t>
            </w: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4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Humira</w:t>
            </w: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1,765</w:t>
            </w:r>
          </w:p>
        </w:tc>
        <w:tc>
          <w:tcPr>
            <w:tcW w:w="2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3,020</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(41.6)%</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(41.6)%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5,896</w:t>
            </w:r>
          </w:p>
        </w:tc>
        <w:tc>
          <w:tcPr>
            <w:tcW w:w="26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9,420</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(37.4)%</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(37.4)%</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462</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527</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(12.4)%</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1,415</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1,680</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(15.8)%</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(10.8)%</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2,227</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3,547</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(37.2)%</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7,311</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11,100</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(34.1)%</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(33.3)%</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Skyrizi</w:t>
            </w: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2,778</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1,875</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48.3 %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48.3 %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6,774</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4,648</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45.8 %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45.8 %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427</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251</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70.0 %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75.7 %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1,166</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721</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61.8 %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66.6 %</w:t>
            </w: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3,205</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2,126</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50.8 %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51.5 %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7,940</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5,369</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47.9 %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48.5 %</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Rinvoq</w:t>
            </w:r>
          </w:p>
        </w:tc>
        <w:tc>
          <w:tcPr>
            <w:tcW w:w="2100" w:type="dxa"/>
            <w:vAlign w:val="bottom"/>
            <w:tcBorders>
              <w:bottom w:val="single" w:sz="8" w:color="CCEEFF"/>
            </w:tcBorders>
            <w:shd w:val="clear" w:color="auto" w:fill="CCEEFF"/>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1,170</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801</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45.9 %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45.9 %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2,912</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1,895</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53.6 %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53.6 %</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444</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309</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44.0 %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51.6 %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1,225</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819</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49.6 %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58.5 %</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1,614</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1,110</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45.3 %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47.4 %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4,137</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2,714</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52.4 %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55.1 %</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b w:val="1"/>
                <w:bCs w:val="1"/>
                <w:color w:val="auto"/>
              </w:rPr>
              <w:t>Oncology</w:t>
            </w:r>
          </w:p>
        </w:tc>
        <w:tc>
          <w:tcPr>
            <w:tcW w:w="2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4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Imbruvica</w:t>
            </w: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618</w:t>
            </w:r>
          </w:p>
        </w:tc>
        <w:tc>
          <w:tcPr>
            <w:tcW w:w="2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678</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(8.9)%</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1,823</w:t>
            </w:r>
          </w:p>
        </w:tc>
        <w:tc>
          <w:tcPr>
            <w:tcW w:w="26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1,982</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(8.0)%</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(8.0)%</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Collaboraton revenues</w:t>
            </w:r>
          </w:p>
        </w:tc>
        <w:tc>
          <w:tcPr>
            <w:tcW w:w="160" w:type="dxa"/>
            <w:vAlign w:val="bottom"/>
          </w:tcPr>
          <w:p>
            <w:pPr>
              <w:spacing w:after="0"/>
              <w:rPr>
                <w:sz w:val="14"/>
                <w:szCs w:val="14"/>
                <w:color w:val="auto"/>
              </w:rPr>
            </w:pP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210</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230</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(8.4)%</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676</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711</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(4.9)%</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(4.9)%</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828</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908</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(8.8)%</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2,499</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2,693</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(7.2)%</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(7.2)%</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Venclexta</w:t>
            </w: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340</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281</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21.5 %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21.5 %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921</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811</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13.6 %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13.6 %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337</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309</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8.9 %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15.4 %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1,007</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888</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13.4 %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19.7 %</w:t>
            </w: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677</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590</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14.8 %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18.2 %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1,928</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1,699</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13.5 %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16.8 %</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20" w:type="dxa"/>
            <w:vAlign w:val="bottom"/>
            <w:tcBorders>
              <w:bottom w:val="single" w:sz="8" w:color="auto"/>
            </w:tcBorders>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Elahere</w:t>
            </w:r>
            <w:r>
              <w:rPr>
                <w:rFonts w:ascii="Calibri" w:cs="Calibri" w:eastAsia="Calibri" w:hAnsi="Calibri"/>
                <w:sz w:val="17"/>
                <w:szCs w:val="17"/>
                <w:color w:val="auto"/>
                <w:vertAlign w:val="superscript"/>
              </w:rPr>
              <w:t>(a)</w:t>
            </w:r>
          </w:p>
        </w:tc>
        <w:tc>
          <w:tcPr>
            <w:tcW w:w="2100" w:type="dxa"/>
            <w:vAlign w:val="bottom"/>
            <w:tcBorders>
              <w:bottom w:val="single" w:sz="8" w:color="auto"/>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auto"/>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auto"/>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139</w:t>
            </w:r>
          </w:p>
        </w:tc>
        <w:tc>
          <w:tcPr>
            <w:tcW w:w="240" w:type="dxa"/>
            <w:vAlign w:val="bottom"/>
            <w:tcBorders>
              <w:bottom w:val="single" w:sz="8" w:color="auto"/>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auto"/>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n/m</w:t>
            </w:r>
          </w:p>
        </w:tc>
        <w:tc>
          <w:tcPr>
            <w:tcW w:w="1100" w:type="dxa"/>
            <w:vAlign w:val="bottom"/>
            <w:tcBorders>
              <w:bottom w:val="single" w:sz="8" w:color="auto"/>
            </w:tcBorders>
            <w:gridSpan w:val="2"/>
            <w:shd w:val="clear" w:color="auto" w:fill="CCEEFF"/>
          </w:tcPr>
          <w:p>
            <w:pPr>
              <w:ind w:left="760"/>
              <w:spacing w:after="0" w:line="164" w:lineRule="exact"/>
              <w:rPr>
                <w:sz w:val="20"/>
                <w:szCs w:val="20"/>
                <w:color w:val="auto"/>
              </w:rPr>
            </w:pPr>
            <w:r>
              <w:rPr>
                <w:rFonts w:ascii="Calibri" w:cs="Calibri" w:eastAsia="Calibri" w:hAnsi="Calibri"/>
                <w:sz w:val="14"/>
                <w:szCs w:val="14"/>
                <w:color w:val="auto"/>
              </w:rPr>
              <w:t>n/m</w:t>
            </w:r>
          </w:p>
        </w:tc>
        <w:tc>
          <w:tcPr>
            <w:tcW w:w="180" w:type="dxa"/>
            <w:vAlign w:val="bottom"/>
            <w:tcBorders>
              <w:bottom w:val="single" w:sz="8" w:color="auto"/>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auto"/>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331</w:t>
            </w:r>
          </w:p>
        </w:tc>
        <w:tc>
          <w:tcPr>
            <w:tcW w:w="260" w:type="dxa"/>
            <w:vAlign w:val="bottom"/>
            <w:tcBorders>
              <w:bottom w:val="single" w:sz="8" w:color="auto"/>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auto"/>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n/m</w:t>
            </w:r>
          </w:p>
        </w:tc>
        <w:tc>
          <w:tcPr>
            <w:tcW w:w="1000" w:type="dxa"/>
            <w:vAlign w:val="bottom"/>
            <w:tcBorders>
              <w:bottom w:val="single" w:sz="8" w:color="auto"/>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n/m</w:t>
            </w: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Calibri" w:cs="Calibri" w:eastAsia="Calibri" w:hAnsi="Calibri"/>
                <w:sz w:val="14"/>
                <w:szCs w:val="14"/>
                <w:color w:val="auto"/>
              </w:rPr>
              <w:t>Epkinly</w:t>
            </w:r>
          </w:p>
        </w:tc>
        <w:tc>
          <w:tcPr>
            <w:tcW w:w="2100" w:type="dxa"/>
            <w:vAlign w:val="bottom"/>
          </w:tcPr>
          <w:p>
            <w:pPr>
              <w:ind w:left="280"/>
              <w:spacing w:after="0" w:line="156" w:lineRule="exact"/>
              <w:rPr>
                <w:sz w:val="20"/>
                <w:szCs w:val="20"/>
                <w:color w:val="auto"/>
              </w:rPr>
            </w:pPr>
            <w:r>
              <w:rPr>
                <w:rFonts w:ascii="Calibri" w:cs="Calibri" w:eastAsia="Calibri" w:hAnsi="Calibri"/>
                <w:sz w:val="14"/>
                <w:szCs w:val="14"/>
                <w:color w:val="auto"/>
              </w:rPr>
              <w:t>Collaboraton revenues</w:t>
            </w:r>
          </w:p>
        </w:tc>
        <w:tc>
          <w:tcPr>
            <w:tcW w:w="160" w:type="dxa"/>
            <w:vAlign w:val="bottom"/>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11"/>
              <w:spacing w:after="0" w:line="156" w:lineRule="exact"/>
              <w:rPr>
                <w:sz w:val="20"/>
                <w:szCs w:val="20"/>
                <w:color w:val="auto"/>
              </w:rPr>
            </w:pPr>
            <w:r>
              <w:rPr>
                <w:rFonts w:ascii="Calibri" w:cs="Calibri" w:eastAsia="Calibri" w:hAnsi="Calibri"/>
                <w:sz w:val="14"/>
                <w:szCs w:val="14"/>
                <w:color w:val="auto"/>
              </w:rPr>
              <w:t>31</w:t>
            </w:r>
          </w:p>
        </w:tc>
        <w:tc>
          <w:tcPr>
            <w:tcW w:w="240" w:type="dxa"/>
            <w:vAlign w:val="bottom"/>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91"/>
              <w:spacing w:after="0" w:line="156" w:lineRule="exact"/>
              <w:rPr>
                <w:sz w:val="20"/>
                <w:szCs w:val="20"/>
                <w:color w:val="auto"/>
              </w:rPr>
            </w:pPr>
            <w:r>
              <w:rPr>
                <w:rFonts w:ascii="Calibri" w:cs="Calibri" w:eastAsia="Calibri" w:hAnsi="Calibri"/>
                <w:sz w:val="14"/>
                <w:szCs w:val="14"/>
                <w:color w:val="auto"/>
              </w:rPr>
              <w:t>14</w:t>
            </w:r>
          </w:p>
        </w:tc>
        <w:tc>
          <w:tcPr>
            <w:tcW w:w="1020" w:type="dxa"/>
            <w:vAlign w:val="bottom"/>
          </w:tcPr>
          <w:p>
            <w:pPr>
              <w:jc w:val="right"/>
              <w:ind w:right="31"/>
              <w:spacing w:after="0" w:line="156" w:lineRule="exact"/>
              <w:rPr>
                <w:sz w:val="20"/>
                <w:szCs w:val="20"/>
                <w:color w:val="auto"/>
              </w:rPr>
            </w:pPr>
            <w:r>
              <w:rPr>
                <w:rFonts w:ascii="Calibri" w:cs="Calibri" w:eastAsia="Calibri" w:hAnsi="Calibri"/>
                <w:sz w:val="14"/>
                <w:szCs w:val="14"/>
                <w:color w:val="auto"/>
              </w:rPr>
              <w:t>&gt;100.0 %</w:t>
            </w:r>
          </w:p>
        </w:tc>
        <w:tc>
          <w:tcPr>
            <w:tcW w:w="1000" w:type="dxa"/>
            <w:vAlign w:val="bottom"/>
          </w:tcPr>
          <w:p>
            <w:pPr>
              <w:jc w:val="right"/>
              <w:spacing w:after="0" w:line="156" w:lineRule="exact"/>
              <w:rPr>
                <w:sz w:val="20"/>
                <w:szCs w:val="20"/>
                <w:color w:val="auto"/>
              </w:rPr>
            </w:pPr>
            <w:r>
              <w:rPr>
                <w:rFonts w:ascii="Calibri" w:cs="Calibri" w:eastAsia="Calibri" w:hAnsi="Calibri"/>
                <w:sz w:val="14"/>
                <w:szCs w:val="14"/>
                <w:color w:val="auto"/>
              </w:rPr>
              <w:t>&gt;100.0 %</w:t>
            </w:r>
          </w:p>
        </w:tc>
        <w:tc>
          <w:tcPr>
            <w:tcW w:w="100" w:type="dxa"/>
            <w:vAlign w:val="bottom"/>
          </w:tcPr>
          <w:p>
            <w:pPr>
              <w:spacing w:after="0"/>
              <w:rPr>
                <w:sz w:val="13"/>
                <w:szCs w:val="13"/>
                <w:color w:val="auto"/>
              </w:rPr>
            </w:pPr>
          </w:p>
        </w:tc>
        <w:tc>
          <w:tcPr>
            <w:tcW w:w="180" w:type="dxa"/>
            <w:vAlign w:val="bottom"/>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Pr>
          <w:p>
            <w:pPr>
              <w:jc w:val="right"/>
              <w:ind w:right="11"/>
              <w:spacing w:after="0" w:line="156" w:lineRule="exact"/>
              <w:rPr>
                <w:sz w:val="20"/>
                <w:szCs w:val="20"/>
                <w:color w:val="auto"/>
              </w:rPr>
            </w:pPr>
            <w:r>
              <w:rPr>
                <w:rFonts w:ascii="Calibri" w:cs="Calibri" w:eastAsia="Calibri" w:hAnsi="Calibri"/>
                <w:sz w:val="14"/>
                <w:szCs w:val="14"/>
                <w:color w:val="auto"/>
              </w:rPr>
              <w:t>82</w:t>
            </w:r>
          </w:p>
        </w:tc>
        <w:tc>
          <w:tcPr>
            <w:tcW w:w="260" w:type="dxa"/>
            <w:vAlign w:val="bottom"/>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91"/>
              <w:spacing w:after="0" w:line="156" w:lineRule="exact"/>
              <w:rPr>
                <w:sz w:val="20"/>
                <w:szCs w:val="20"/>
                <w:color w:val="auto"/>
              </w:rPr>
            </w:pPr>
            <w:r>
              <w:rPr>
                <w:rFonts w:ascii="Calibri" w:cs="Calibri" w:eastAsia="Calibri" w:hAnsi="Calibri"/>
                <w:sz w:val="14"/>
                <w:szCs w:val="14"/>
                <w:color w:val="auto"/>
              </w:rPr>
              <w:t>14</w:t>
            </w:r>
          </w:p>
        </w:tc>
        <w:tc>
          <w:tcPr>
            <w:tcW w:w="1020" w:type="dxa"/>
            <w:vAlign w:val="bottom"/>
          </w:tcPr>
          <w:p>
            <w:pPr>
              <w:jc w:val="right"/>
              <w:ind w:right="31"/>
              <w:spacing w:after="0" w:line="156" w:lineRule="exact"/>
              <w:rPr>
                <w:sz w:val="20"/>
                <w:szCs w:val="20"/>
                <w:color w:val="auto"/>
              </w:rPr>
            </w:pPr>
            <w:r>
              <w:rPr>
                <w:rFonts w:ascii="Calibri" w:cs="Calibri" w:eastAsia="Calibri" w:hAnsi="Calibri"/>
                <w:sz w:val="14"/>
                <w:szCs w:val="14"/>
                <w:color w:val="auto"/>
              </w:rPr>
              <w:t>&gt;100.0 %</w:t>
            </w:r>
          </w:p>
        </w:tc>
        <w:tc>
          <w:tcPr>
            <w:tcW w:w="1000" w:type="dxa"/>
            <w:vAlign w:val="bottom"/>
          </w:tcPr>
          <w:p>
            <w:pPr>
              <w:jc w:val="right"/>
              <w:spacing w:after="0" w:line="156"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12</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24</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43</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14</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&gt;100.0 %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&gt;100.0 %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106</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14</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&gt;100.0 %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4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b w:val="1"/>
                <w:bCs w:val="1"/>
                <w:color w:val="auto"/>
              </w:rPr>
              <w:t>Aesthetcs</w:t>
            </w:r>
          </w:p>
        </w:tc>
        <w:tc>
          <w:tcPr>
            <w:tcW w:w="2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20" w:type="dxa"/>
            <w:vAlign w:val="bottom"/>
          </w:tcPr>
          <w:p>
            <w:pPr>
              <w:ind w:left="20"/>
              <w:spacing w:after="0" w:line="164" w:lineRule="exact"/>
              <w:rPr>
                <w:sz w:val="20"/>
                <w:szCs w:val="20"/>
                <w:color w:val="auto"/>
              </w:rPr>
            </w:pPr>
            <w:r>
              <w:rPr>
                <w:rFonts w:ascii="Calibri" w:cs="Calibri" w:eastAsia="Calibri" w:hAnsi="Calibri"/>
                <w:sz w:val="14"/>
                <w:szCs w:val="14"/>
                <w:color w:val="auto"/>
              </w:rPr>
              <w:t>Botox Cosmetc</w:t>
            </w: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414</w:t>
            </w:r>
          </w:p>
        </w:tc>
        <w:tc>
          <w:tcPr>
            <w:tcW w:w="2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388</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6.5 %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6.5 %</w:t>
            </w:r>
          </w:p>
        </w:tc>
        <w:tc>
          <w:tcPr>
            <w:tcW w:w="100" w:type="dxa"/>
            <w:vAlign w:val="bottom"/>
          </w:tcPr>
          <w:p>
            <w:pPr>
              <w:spacing w:after="0"/>
              <w:rPr>
                <w:sz w:val="14"/>
                <w:szCs w:val="14"/>
                <w:color w:val="auto"/>
              </w:rPr>
            </w:pPr>
          </w:p>
        </w:tc>
        <w:tc>
          <w:tcPr>
            <w:tcW w:w="1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1,253</w:t>
            </w:r>
          </w:p>
        </w:tc>
        <w:tc>
          <w:tcPr>
            <w:tcW w:w="26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1,217</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2.9 %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2.9 %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257</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232</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10.9 %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15.5 %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780</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747</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4.5 %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9.1 %</w:t>
            </w: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671</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620</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8.2 %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9.9 %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2,033</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1,964</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3.5 %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5.3 %</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Juvederm Collecton</w:t>
            </w:r>
          </w:p>
        </w:tc>
        <w:tc>
          <w:tcPr>
            <w:tcW w:w="2100" w:type="dxa"/>
            <w:vAlign w:val="bottom"/>
            <w:tcBorders>
              <w:bottom w:val="single" w:sz="8" w:color="CCEEFF"/>
            </w:tcBorders>
            <w:shd w:val="clear" w:color="auto" w:fill="CCEEFF"/>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105</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116</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(10.2)%</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(10.2)%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349</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363</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(4.1)%</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(4.1)%</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153</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205</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(25.1)%</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549</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681</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(19.3)%</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(14.6)%</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258</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321</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(19.7)%</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898</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1,044</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(14.0)%</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(10.9)%</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Other Aesthetcs</w:t>
            </w: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272</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255</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6.4 %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6.4 %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828</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785</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5.6 %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5.6 %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38</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43</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(10.0)%</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119</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130</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(8.7)%</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(1.8)%</w:t>
            </w: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310</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298</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4.0 %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5.1 %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947</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915</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3.5 %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4.5 %</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b w:val="1"/>
                <w:bCs w:val="1"/>
                <w:color w:val="auto"/>
              </w:rPr>
              <w:t>Neuroscience</w:t>
            </w:r>
          </w:p>
        </w:tc>
        <w:tc>
          <w:tcPr>
            <w:tcW w:w="2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20" w:type="dxa"/>
            <w:vAlign w:val="bottom"/>
          </w:tcPr>
          <w:p>
            <w:pPr>
              <w:ind w:left="20"/>
              <w:spacing w:after="0" w:line="164" w:lineRule="exact"/>
              <w:rPr>
                <w:sz w:val="20"/>
                <w:szCs w:val="20"/>
                <w:color w:val="auto"/>
              </w:rPr>
            </w:pPr>
            <w:r>
              <w:rPr>
                <w:rFonts w:ascii="Calibri" w:cs="Calibri" w:eastAsia="Calibri" w:hAnsi="Calibri"/>
                <w:sz w:val="14"/>
                <w:szCs w:val="14"/>
                <w:color w:val="auto"/>
              </w:rPr>
              <w:t>Botox Therapeutc</w:t>
            </w: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708</w:t>
            </w:r>
          </w:p>
        </w:tc>
        <w:tc>
          <w:tcPr>
            <w:tcW w:w="2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626</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13.1 %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13.1 %</w:t>
            </w:r>
          </w:p>
        </w:tc>
        <w:tc>
          <w:tcPr>
            <w:tcW w:w="100" w:type="dxa"/>
            <w:vAlign w:val="bottom"/>
          </w:tcPr>
          <w:p>
            <w:pPr>
              <w:spacing w:after="0"/>
              <w:rPr>
                <w:sz w:val="14"/>
                <w:szCs w:val="14"/>
                <w:color w:val="auto"/>
              </w:rPr>
            </w:pPr>
          </w:p>
        </w:tc>
        <w:tc>
          <w:tcPr>
            <w:tcW w:w="18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1,988</w:t>
            </w:r>
          </w:p>
        </w:tc>
        <w:tc>
          <w:tcPr>
            <w:tcW w:w="26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1,827</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8.8 %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8.8 %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140</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122</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14.6 %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20.7 %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422</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388</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8.6 %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13.1 %</w:t>
            </w: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848</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748</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13.4 %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14.4 %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2,410</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2,215</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8.8 %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9.6 %</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Vraylar</w:t>
            </w:r>
          </w:p>
        </w:tc>
        <w:tc>
          <w:tcPr>
            <w:tcW w:w="2100" w:type="dxa"/>
            <w:vAlign w:val="bottom"/>
            <w:tcBorders>
              <w:bottom w:val="single" w:sz="8" w:color="CCEEFF"/>
            </w:tcBorders>
            <w:shd w:val="clear" w:color="auto" w:fill="CCEEFF"/>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873</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750</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16.5 %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16.5 %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2,338</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1,967</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18.9 %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18.9 %</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2</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1</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49.3 %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51.9 %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5</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3</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76.0 %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76.9 %</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875</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751</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16.6 %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16.6 %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2,343</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1,970</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18.9 %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18.9 %</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Duodopa</w:t>
            </w: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24</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25</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(4.7)%</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(4.7)%</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72</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74</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(3.3)%</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(3.3)%</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87</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93</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(7.1)%</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267</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279</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(4.4)%</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(4.0)%</w:t>
            </w: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111</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118</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(6.6)%</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(6.0)%</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339</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353</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(4.1)%</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(3.8)%</w:t>
            </w:r>
          </w:p>
        </w:tc>
        <w:tc>
          <w:tcPr>
            <w:tcW w:w="0" w:type="dxa"/>
            <w:vAlign w:val="bottom"/>
          </w:tcPr>
          <w:p>
            <w:pPr>
              <w:spacing w:after="0"/>
              <w:rPr>
                <w:sz w:val="1"/>
                <w:szCs w:val="1"/>
                <w:color w:val="auto"/>
              </w:rPr>
            </w:pPr>
          </w:p>
        </w:tc>
      </w:tr>
      <w:tr>
        <w:trPr>
          <w:trHeight w:val="43"/>
        </w:trPr>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Ubrelvy</w:t>
            </w:r>
          </w:p>
        </w:tc>
        <w:tc>
          <w:tcPr>
            <w:tcW w:w="2100" w:type="dxa"/>
            <w:vAlign w:val="bottom"/>
            <w:tcBorders>
              <w:bottom w:val="single" w:sz="8" w:color="CCEEFF"/>
            </w:tcBorders>
            <w:shd w:val="clear" w:color="auto" w:fill="CCEEFF"/>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261</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230</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13.6 %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13.6 %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685</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574</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19.3 %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19.3 %</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2100" w:type="dxa"/>
            <w:vAlign w:val="bottom"/>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8</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3</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18</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7</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269</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233</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15.3 %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15.3 %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703</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581</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20.9 %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20.9 %</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Qulipta</w:t>
            </w: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168</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131</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28.3 %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28.3 %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442</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292</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51.3 %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51.3 %</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8</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15</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2</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ind w:left="280"/>
              <w:spacing w:after="0" w:line="156"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176</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132</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33.6 %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33.6 %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457</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294</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55.5 %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55.5 %</w:t>
            </w: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499110</wp:posOffset>
            </wp:positionV>
            <wp:extent cx="491490" cy="90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36</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vMerge w:val="restart"/>
          </w:tcPr>
          <w:p>
            <w:pPr>
              <w:jc w:val="right"/>
              <w:ind w:right="271"/>
              <w:spacing w:after="0"/>
              <w:rPr>
                <w:sz w:val="20"/>
                <w:szCs w:val="20"/>
                <w:color w:val="auto"/>
              </w:rPr>
            </w:pPr>
            <w:r>
              <w:rPr>
                <w:rFonts w:ascii="Calibri" w:cs="Calibri" w:eastAsia="Calibri" w:hAnsi="Calibri"/>
                <w:sz w:val="14"/>
                <w:szCs w:val="14"/>
                <w:b w:val="1"/>
                <w:bCs w:val="1"/>
                <w:color w:val="auto"/>
              </w:rPr>
              <w:t>Three months ended</w:t>
            </w:r>
          </w:p>
        </w:tc>
        <w:tc>
          <w:tcPr>
            <w:tcW w:w="210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620" w:type="dxa"/>
            <w:vAlign w:val="bottom"/>
            <w:gridSpan w:val="3"/>
            <w:vMerge w:val="restart"/>
          </w:tcPr>
          <w:p>
            <w:pPr>
              <w:jc w:val="right"/>
              <w:ind w:right="311"/>
              <w:spacing w:after="0"/>
              <w:rPr>
                <w:sz w:val="20"/>
                <w:szCs w:val="20"/>
                <w:color w:val="auto"/>
              </w:rPr>
            </w:pPr>
            <w:r>
              <w:rPr>
                <w:rFonts w:ascii="Calibri" w:cs="Calibri" w:eastAsia="Calibri" w:hAnsi="Calibri"/>
                <w:sz w:val="14"/>
                <w:szCs w:val="14"/>
                <w:b w:val="1"/>
                <w:bCs w:val="1"/>
                <w:color w:val="auto"/>
              </w:rPr>
              <w:t>Nine months ended</w:t>
            </w:r>
          </w:p>
        </w:tc>
        <w:tc>
          <w:tcPr>
            <w:tcW w:w="2020" w:type="dxa"/>
            <w:vAlign w:val="bottom"/>
            <w:gridSpan w:val="2"/>
          </w:tcPr>
          <w:p>
            <w:pPr>
              <w:jc w:val="right"/>
              <w:ind w:right="511"/>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62"/>
        </w:trPr>
        <w:tc>
          <w:tcPr>
            <w:tcW w:w="1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ind w:right="451"/>
              <w:spacing w:after="0" w:line="164" w:lineRule="exact"/>
              <w:rPr>
                <w:sz w:val="20"/>
                <w:szCs w:val="20"/>
                <w:color w:val="auto"/>
              </w:rPr>
            </w:pPr>
            <w:r>
              <w:rPr>
                <w:rFonts w:ascii="Calibri" w:cs="Calibri" w:eastAsia="Calibri" w:hAnsi="Calibri"/>
                <w:sz w:val="14"/>
                <w:szCs w:val="14"/>
                <w:b w:val="1"/>
                <w:bCs w:val="1"/>
                <w:color w:val="auto"/>
              </w:rPr>
              <w:t>September 30,</w:t>
            </w:r>
          </w:p>
        </w:tc>
        <w:tc>
          <w:tcPr>
            <w:tcW w:w="1000" w:type="dxa"/>
            <w:vAlign w:val="bottom"/>
            <w:vMerge w:val="restart"/>
          </w:tcPr>
          <w:p>
            <w:pPr>
              <w:jc w:val="right"/>
              <w:ind w:right="231"/>
              <w:spacing w:after="0"/>
              <w:rPr>
                <w:sz w:val="20"/>
                <w:szCs w:val="20"/>
                <w:color w:val="auto"/>
              </w:rPr>
            </w:pPr>
            <w:r>
              <w:rPr>
                <w:rFonts w:ascii="Calibri" w:cs="Calibri" w:eastAsia="Calibri" w:hAnsi="Calibri"/>
                <w:sz w:val="14"/>
                <w:szCs w:val="14"/>
                <w:b w:val="1"/>
                <w:bCs w:val="1"/>
                <w:color w:val="auto"/>
              </w:rPr>
              <w:t>At actual</w:t>
            </w:r>
          </w:p>
        </w:tc>
        <w:tc>
          <w:tcPr>
            <w:tcW w:w="1100" w:type="dxa"/>
            <w:vAlign w:val="bottom"/>
            <w:gridSpan w:val="2"/>
            <w:vMerge w:val="restart"/>
          </w:tcPr>
          <w:p>
            <w:pPr>
              <w:jc w:val="center"/>
              <w:ind w:right="100"/>
              <w:spacing w:after="0"/>
              <w:rPr>
                <w:sz w:val="20"/>
                <w:szCs w:val="20"/>
                <w:color w:val="auto"/>
              </w:rPr>
            </w:pPr>
            <w:r>
              <w:rPr>
                <w:rFonts w:ascii="Calibri" w:cs="Calibri" w:eastAsia="Calibri" w:hAnsi="Calibri"/>
                <w:sz w:val="14"/>
                <w:szCs w:val="14"/>
                <w:b w:val="1"/>
                <w:bCs w:val="1"/>
                <w:color w:val="auto"/>
                <w:w w:val="95"/>
              </w:rPr>
              <w:t>At constant</w:t>
            </w:r>
          </w:p>
        </w:tc>
        <w:tc>
          <w:tcPr>
            <w:tcW w:w="180" w:type="dxa"/>
            <w:vAlign w:val="bottom"/>
          </w:tcPr>
          <w:p>
            <w:pPr>
              <w:spacing w:after="0"/>
              <w:rPr>
                <w:sz w:val="14"/>
                <w:szCs w:val="14"/>
                <w:color w:val="auto"/>
              </w:rPr>
            </w:pPr>
          </w:p>
        </w:tc>
        <w:tc>
          <w:tcPr>
            <w:tcW w:w="1620" w:type="dxa"/>
            <w:vAlign w:val="bottom"/>
            <w:gridSpan w:val="3"/>
          </w:tcPr>
          <w:p>
            <w:pPr>
              <w:jc w:val="right"/>
              <w:ind w:right="471"/>
              <w:spacing w:after="0" w:line="164" w:lineRule="exact"/>
              <w:rPr>
                <w:sz w:val="20"/>
                <w:szCs w:val="20"/>
                <w:color w:val="auto"/>
              </w:rPr>
            </w:pPr>
            <w:r>
              <w:rPr>
                <w:rFonts w:ascii="Calibri" w:cs="Calibri" w:eastAsia="Calibri" w:hAnsi="Calibri"/>
                <w:sz w:val="14"/>
                <w:szCs w:val="14"/>
                <w:b w:val="1"/>
                <w:bCs w:val="1"/>
                <w:color w:val="auto"/>
              </w:rPr>
              <w:t>September 30,</w:t>
            </w:r>
          </w:p>
        </w:tc>
        <w:tc>
          <w:tcPr>
            <w:tcW w:w="1020" w:type="dxa"/>
            <w:vAlign w:val="bottom"/>
            <w:vMerge w:val="restart"/>
          </w:tcPr>
          <w:p>
            <w:pPr>
              <w:jc w:val="right"/>
              <w:ind w:right="251"/>
              <w:spacing w:after="0"/>
              <w:rPr>
                <w:sz w:val="20"/>
                <w:szCs w:val="20"/>
                <w:color w:val="auto"/>
              </w:rPr>
            </w:pPr>
            <w:r>
              <w:rPr>
                <w:rFonts w:ascii="Calibri" w:cs="Calibri" w:eastAsia="Calibri" w:hAnsi="Calibri"/>
                <w:sz w:val="14"/>
                <w:szCs w:val="14"/>
                <w:b w:val="1"/>
                <w:bCs w:val="1"/>
                <w:color w:val="auto"/>
              </w:rPr>
              <w:t>At actual</w:t>
            </w:r>
          </w:p>
        </w:tc>
        <w:tc>
          <w:tcPr>
            <w:tcW w:w="1000" w:type="dxa"/>
            <w:vAlign w:val="bottom"/>
            <w:vMerge w:val="restart"/>
          </w:tcPr>
          <w:p>
            <w:pPr>
              <w:jc w:val="right"/>
              <w:ind w:right="111"/>
              <w:spacing w:after="0"/>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43"/>
        </w:trPr>
        <w:tc>
          <w:tcPr>
            <w:tcW w:w="14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11"/>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5"/>
                <w:szCs w:val="15"/>
                <w:color w:val="auto"/>
              </w:rPr>
            </w:pPr>
          </w:p>
        </w:tc>
        <w:tc>
          <w:tcPr>
            <w:tcW w:w="720" w:type="dxa"/>
            <w:vAlign w:val="bottom"/>
          </w:tcPr>
          <w:p>
            <w:pPr>
              <w:jc w:val="right"/>
              <w:ind w:right="271"/>
              <w:spacing w:after="0"/>
              <w:rPr>
                <w:sz w:val="20"/>
                <w:szCs w:val="20"/>
                <w:color w:val="auto"/>
              </w:rPr>
            </w:pPr>
            <w:r>
              <w:rPr>
                <w:rFonts w:ascii="Calibri" w:cs="Calibri" w:eastAsia="Calibri" w:hAnsi="Calibri"/>
                <w:sz w:val="14"/>
                <w:szCs w:val="14"/>
                <w:b w:val="1"/>
                <w:bCs w:val="1"/>
                <w:color w:val="auto"/>
              </w:rPr>
              <w:t>2023</w:t>
            </w:r>
          </w:p>
        </w:tc>
        <w:tc>
          <w:tcPr>
            <w:tcW w:w="1000" w:type="dxa"/>
            <w:vAlign w:val="bottom"/>
          </w:tcPr>
          <w:p>
            <w:pPr>
              <w:jc w:val="right"/>
              <w:ind w:right="71"/>
              <w:spacing w:after="0"/>
              <w:rPr>
                <w:sz w:val="20"/>
                <w:szCs w:val="20"/>
                <w:color w:val="auto"/>
              </w:rPr>
            </w:pPr>
            <w:r>
              <w:rPr>
                <w:rFonts w:ascii="Calibri" w:cs="Calibri" w:eastAsia="Calibri" w:hAnsi="Calibri"/>
                <w:sz w:val="14"/>
                <w:szCs w:val="14"/>
                <w:b w:val="1"/>
                <w:bCs w:val="1"/>
                <w:color w:val="auto"/>
              </w:rPr>
              <w:t>currency rates</w:t>
            </w:r>
          </w:p>
        </w:tc>
        <w:tc>
          <w:tcPr>
            <w:tcW w:w="110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w w:val="96"/>
              </w:rPr>
              <w:t>currency rates</w:t>
            </w:r>
          </w:p>
        </w:tc>
        <w:tc>
          <w:tcPr>
            <w:tcW w:w="180" w:type="dxa"/>
            <w:vAlign w:val="bottom"/>
          </w:tcPr>
          <w:p>
            <w:pPr>
              <w:spacing w:after="0"/>
              <w:rPr>
                <w:sz w:val="15"/>
                <w:szCs w:val="15"/>
                <w:color w:val="auto"/>
              </w:rPr>
            </w:pPr>
          </w:p>
        </w:tc>
        <w:tc>
          <w:tcPr>
            <w:tcW w:w="640" w:type="dxa"/>
            <w:vAlign w:val="bottom"/>
          </w:tcPr>
          <w:p>
            <w:pPr>
              <w:jc w:val="right"/>
              <w:ind w:right="211"/>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Calibri" w:cs="Calibri" w:eastAsia="Calibri" w:hAnsi="Calibri"/>
                <w:sz w:val="14"/>
                <w:szCs w:val="14"/>
                <w:b w:val="1"/>
                <w:bCs w:val="1"/>
                <w:color w:val="auto"/>
              </w:rPr>
              <w:t>2023</w:t>
            </w:r>
          </w:p>
        </w:tc>
        <w:tc>
          <w:tcPr>
            <w:tcW w:w="1020" w:type="dxa"/>
            <w:vAlign w:val="bottom"/>
          </w:tcPr>
          <w:p>
            <w:pPr>
              <w:jc w:val="right"/>
              <w:ind w:right="91"/>
              <w:spacing w:after="0"/>
              <w:rPr>
                <w:sz w:val="20"/>
                <w:szCs w:val="20"/>
                <w:color w:val="auto"/>
              </w:rPr>
            </w:pPr>
            <w:r>
              <w:rPr>
                <w:rFonts w:ascii="Calibri" w:cs="Calibri" w:eastAsia="Calibri" w:hAnsi="Calibri"/>
                <w:sz w:val="14"/>
                <w:szCs w:val="14"/>
                <w:b w:val="1"/>
                <w:bCs w:val="1"/>
                <w:color w:val="auto"/>
              </w:rPr>
              <w:t>currency rates</w:t>
            </w:r>
          </w:p>
        </w:tc>
        <w:tc>
          <w:tcPr>
            <w:tcW w:w="1000" w:type="dxa"/>
            <w:vAlign w:val="bottom"/>
          </w:tcPr>
          <w:p>
            <w:pPr>
              <w:jc w:val="right"/>
              <w:ind w:right="11"/>
              <w:spacing w:after="0"/>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43"/>
        </w:trPr>
        <w:tc>
          <w:tcPr>
            <w:tcW w:w="1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6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Other Neuroscience</w:t>
            </w:r>
          </w:p>
        </w:tc>
        <w:tc>
          <w:tcPr>
            <w:tcW w:w="2080" w:type="dxa"/>
            <w:vAlign w:val="bottom"/>
            <w:tcBorders>
              <w:bottom w:val="single" w:sz="8" w:color="CCEEFF"/>
            </w:tcBorders>
            <w:shd w:val="clear" w:color="auto" w:fill="CCEEFF"/>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54</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55</w:t>
            </w:r>
          </w:p>
        </w:tc>
        <w:tc>
          <w:tcPr>
            <w:tcW w:w="10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(4.1)%</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172</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195</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(11.6)%</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(11.6)%</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30</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6</w:t>
            </w:r>
          </w:p>
        </w:tc>
        <w:tc>
          <w:tcPr>
            <w:tcW w:w="10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66</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15</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&gt;100.0 %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84</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61</w:t>
            </w:r>
          </w:p>
        </w:tc>
        <w:tc>
          <w:tcPr>
            <w:tcW w:w="100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36.4 %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37.1 %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238</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210</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13.5 %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14.1 %</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b w:val="1"/>
                <w:bCs w:val="1"/>
                <w:color w:val="auto"/>
              </w:rPr>
              <w:t>Eye Care</w:t>
            </w:r>
          </w:p>
        </w:tc>
        <w:tc>
          <w:tcPr>
            <w:tcW w:w="20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46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Ozurdex</w:t>
            </w: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33</w:t>
            </w:r>
          </w:p>
        </w:tc>
        <w:tc>
          <w:tcPr>
            <w:tcW w:w="2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34</w:t>
            </w:r>
          </w:p>
        </w:tc>
        <w:tc>
          <w:tcPr>
            <w:tcW w:w="10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(2.3)%</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102</w:t>
            </w:r>
          </w:p>
        </w:tc>
        <w:tc>
          <w:tcPr>
            <w:tcW w:w="26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107</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(4.4)%</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(4.4)%</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86</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86</w:t>
            </w:r>
          </w:p>
        </w:tc>
        <w:tc>
          <w:tcPr>
            <w:tcW w:w="10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(0.3)%</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272</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247</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10.0 %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13.1 %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119</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120</w:t>
            </w:r>
          </w:p>
        </w:tc>
        <w:tc>
          <w:tcPr>
            <w:tcW w:w="100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(0.9)%</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1.1 %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374</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354</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5.7 %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7.8 %</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Lumigan/Ganfort</w:t>
            </w:r>
          </w:p>
        </w:tc>
        <w:tc>
          <w:tcPr>
            <w:tcW w:w="2080" w:type="dxa"/>
            <w:vAlign w:val="bottom"/>
            <w:tcBorders>
              <w:top w:val="single" w:sz="8" w:color="auto"/>
            </w:tcBorders>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58</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28</w:t>
            </w:r>
          </w:p>
        </w:tc>
        <w:tc>
          <w:tcPr>
            <w:tcW w:w="100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&gt;100.0 %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&gt;100.0 %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129</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142</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(9.5)%</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(9.5)%</w:t>
            </w: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6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58</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63</w:t>
            </w:r>
          </w:p>
        </w:tc>
        <w:tc>
          <w:tcPr>
            <w:tcW w:w="10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(7.0)%</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181</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198</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(8.7)%</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(5.9)%</w:t>
            </w:r>
          </w:p>
        </w:tc>
        <w:tc>
          <w:tcPr>
            <w:tcW w:w="0" w:type="dxa"/>
            <w:vAlign w:val="bottom"/>
          </w:tcPr>
          <w:p>
            <w:pPr>
              <w:spacing w:after="0"/>
              <w:rPr>
                <w:sz w:val="1"/>
                <w:szCs w:val="1"/>
                <w:color w:val="auto"/>
              </w:rPr>
            </w:pPr>
          </w:p>
        </w:tc>
      </w:tr>
      <w:tr>
        <w:trPr>
          <w:trHeight w:val="169"/>
        </w:trPr>
        <w:tc>
          <w:tcPr>
            <w:tcW w:w="146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116</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91</w:t>
            </w:r>
          </w:p>
        </w:tc>
        <w:tc>
          <w:tcPr>
            <w:tcW w:w="100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27.2 %</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30.2 %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310</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340</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(9.0)%</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(7.4)%</w:t>
            </w:r>
          </w:p>
        </w:tc>
        <w:tc>
          <w:tcPr>
            <w:tcW w:w="0" w:type="dxa"/>
            <w:vAlign w:val="bottom"/>
          </w:tcPr>
          <w:p>
            <w:pPr>
              <w:spacing w:after="0"/>
              <w:rPr>
                <w:sz w:val="1"/>
                <w:szCs w:val="1"/>
                <w:color w:val="auto"/>
              </w:rPr>
            </w:pPr>
          </w:p>
        </w:tc>
      </w:tr>
      <w:tr>
        <w:trPr>
          <w:trHeight w:val="43"/>
        </w:trPr>
        <w:tc>
          <w:tcPr>
            <w:tcW w:w="1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6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Alphagan/Combigan</w:t>
            </w:r>
          </w:p>
        </w:tc>
        <w:tc>
          <w:tcPr>
            <w:tcW w:w="2080" w:type="dxa"/>
            <w:vAlign w:val="bottom"/>
            <w:tcBorders>
              <w:bottom w:val="single" w:sz="8" w:color="CCEEFF"/>
            </w:tcBorders>
            <w:shd w:val="clear" w:color="auto" w:fill="CCEEFF"/>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26</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30</w:t>
            </w:r>
          </w:p>
        </w:tc>
        <w:tc>
          <w:tcPr>
            <w:tcW w:w="10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(15.3)%</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(15.3)%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54</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90</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(40.3)%</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(40.3)%</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36</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40</w:t>
            </w:r>
          </w:p>
        </w:tc>
        <w:tc>
          <w:tcPr>
            <w:tcW w:w="10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(10.0)%</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116</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116</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(0.1)%</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6.9 %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62</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70</w:t>
            </w:r>
          </w:p>
        </w:tc>
        <w:tc>
          <w:tcPr>
            <w:tcW w:w="100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(12.3)%</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170</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206</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(17.7)%</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(13.8)%</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Restasis</w:t>
            </w:r>
          </w:p>
        </w:tc>
        <w:tc>
          <w:tcPr>
            <w:tcW w:w="2080" w:type="dxa"/>
            <w:vAlign w:val="bottom"/>
            <w:tcBorders>
              <w:top w:val="single" w:sz="8" w:color="auto"/>
            </w:tcBorders>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8</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104</w:t>
            </w:r>
          </w:p>
        </w:tc>
        <w:tc>
          <w:tcPr>
            <w:tcW w:w="100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(92.5)%</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(92.5)%</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70</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265</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(73.4)%</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(73.4)%</w:t>
            </w: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6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13</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13</w:t>
            </w:r>
          </w:p>
        </w:tc>
        <w:tc>
          <w:tcPr>
            <w:tcW w:w="10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2.1 %</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8.1 %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40</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43</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(7.4)%</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169"/>
        </w:trPr>
        <w:tc>
          <w:tcPr>
            <w:tcW w:w="146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21</w:t>
            </w:r>
          </w:p>
        </w:tc>
        <w:tc>
          <w:tcPr>
            <w:tcW w:w="2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117</w:t>
            </w:r>
          </w:p>
        </w:tc>
        <w:tc>
          <w:tcPr>
            <w:tcW w:w="100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(82.2)%</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(81.5)%</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110</w:t>
            </w:r>
          </w:p>
        </w:tc>
        <w:tc>
          <w:tcPr>
            <w:tcW w:w="26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308</w:t>
            </w:r>
          </w:p>
        </w:tc>
        <w:tc>
          <w:tcPr>
            <w:tcW w:w="1020" w:type="dxa"/>
            <w:vAlign w:val="bottom"/>
            <w:tcBorders>
              <w:top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(64.2)%</w:t>
            </w:r>
          </w:p>
        </w:tc>
        <w:tc>
          <w:tcPr>
            <w:tcW w:w="10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(63.5)%</w:t>
            </w:r>
          </w:p>
        </w:tc>
        <w:tc>
          <w:tcPr>
            <w:tcW w:w="0" w:type="dxa"/>
            <w:vAlign w:val="bottom"/>
          </w:tcPr>
          <w:p>
            <w:pPr>
              <w:spacing w:after="0"/>
              <w:rPr>
                <w:sz w:val="1"/>
                <w:szCs w:val="1"/>
                <w:color w:val="auto"/>
              </w:rPr>
            </w:pPr>
          </w:p>
        </w:tc>
      </w:tr>
      <w:tr>
        <w:trPr>
          <w:trHeight w:val="43"/>
        </w:trPr>
        <w:tc>
          <w:tcPr>
            <w:tcW w:w="1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46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Other Eye Care</w:t>
            </w:r>
          </w:p>
        </w:tc>
        <w:tc>
          <w:tcPr>
            <w:tcW w:w="2080" w:type="dxa"/>
            <w:vAlign w:val="bottom"/>
            <w:tcBorders>
              <w:bottom w:val="single" w:sz="8" w:color="CCEEFF"/>
            </w:tcBorders>
            <w:shd w:val="clear" w:color="auto" w:fill="CCEEFF"/>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115</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114</w:t>
            </w:r>
          </w:p>
        </w:tc>
        <w:tc>
          <w:tcPr>
            <w:tcW w:w="10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1.7 %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1.7 %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351</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334</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5.3 %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5.3 %</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92</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93</w:t>
            </w:r>
          </w:p>
        </w:tc>
        <w:tc>
          <w:tcPr>
            <w:tcW w:w="10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(2.0)%</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4.2 %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281</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288</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(2.4)%</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2.1 %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207</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207</w:t>
            </w:r>
          </w:p>
        </w:tc>
        <w:tc>
          <w:tcPr>
            <w:tcW w:w="100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2.8 %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632</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622</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1.7 %</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3.8 %</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b w:val="1"/>
                <w:bCs w:val="1"/>
                <w:color w:val="auto"/>
              </w:rPr>
              <w:t>Other Key Products</w:t>
            </w:r>
          </w:p>
        </w:tc>
        <w:tc>
          <w:tcPr>
            <w:tcW w:w="20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46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Mavyret</w:t>
            </w: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147</w:t>
            </w:r>
          </w:p>
        </w:tc>
        <w:tc>
          <w:tcPr>
            <w:tcW w:w="2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167</w:t>
            </w:r>
          </w:p>
        </w:tc>
        <w:tc>
          <w:tcPr>
            <w:tcW w:w="100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(12.7)%</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4" w:lineRule="exact"/>
              <w:rPr>
                <w:sz w:val="20"/>
                <w:szCs w:val="20"/>
                <w:color w:val="auto"/>
              </w:rPr>
            </w:pPr>
            <w:r>
              <w:rPr>
                <w:rFonts w:ascii="Calibri" w:cs="Calibri" w:eastAsia="Calibri" w:hAnsi="Calibri"/>
                <w:sz w:val="14"/>
                <w:szCs w:val="14"/>
                <w:color w:val="auto"/>
              </w:rPr>
              <w:t>458</w:t>
            </w:r>
          </w:p>
        </w:tc>
        <w:tc>
          <w:tcPr>
            <w:tcW w:w="26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4" w:lineRule="exact"/>
              <w:rPr>
                <w:sz w:val="20"/>
                <w:szCs w:val="20"/>
                <w:color w:val="auto"/>
              </w:rPr>
            </w:pPr>
            <w:r>
              <w:rPr>
                <w:rFonts w:ascii="Calibri" w:cs="Calibri" w:eastAsia="Calibri" w:hAnsi="Calibri"/>
                <w:sz w:val="14"/>
                <w:szCs w:val="14"/>
                <w:color w:val="auto"/>
              </w:rPr>
              <w:t>531</w:t>
            </w:r>
          </w:p>
        </w:tc>
        <w:tc>
          <w:tcPr>
            <w:tcW w:w="1020" w:type="dxa"/>
            <w:vAlign w:val="bottom"/>
            <w:tcBorders>
              <w:bottom w:val="single" w:sz="8" w:color="CCEEFF"/>
            </w:tcBorders>
            <w:shd w:val="clear" w:color="auto" w:fill="CCEEFF"/>
          </w:tcPr>
          <w:p>
            <w:pPr>
              <w:jc w:val="right"/>
              <w:ind w:right="31"/>
              <w:spacing w:after="0" w:line="164" w:lineRule="exact"/>
              <w:rPr>
                <w:sz w:val="20"/>
                <w:szCs w:val="20"/>
                <w:color w:val="auto"/>
              </w:rPr>
            </w:pPr>
            <w:r>
              <w:rPr>
                <w:rFonts w:ascii="Calibri" w:cs="Calibri" w:eastAsia="Calibri" w:hAnsi="Calibri"/>
                <w:sz w:val="14"/>
                <w:szCs w:val="14"/>
                <w:color w:val="auto"/>
              </w:rPr>
              <w:t>(13.9)%</w:t>
            </w:r>
          </w:p>
        </w:tc>
        <w:tc>
          <w:tcPr>
            <w:tcW w:w="10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(13.9)%</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155</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203</w:t>
            </w:r>
          </w:p>
        </w:tc>
        <w:tc>
          <w:tcPr>
            <w:tcW w:w="10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(23.1)%</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562</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590</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(4.6)%</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(1.2)%</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302</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370</w:t>
            </w:r>
          </w:p>
        </w:tc>
        <w:tc>
          <w:tcPr>
            <w:tcW w:w="100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(18.4)%</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1,020</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1,121</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(9.0)%</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(7.2)%</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Creon</w:t>
            </w:r>
          </w:p>
        </w:tc>
        <w:tc>
          <w:tcPr>
            <w:tcW w:w="2080" w:type="dxa"/>
            <w:vAlign w:val="bottom"/>
            <w:tcBorders>
              <w:top w:val="single" w:sz="8" w:color="auto"/>
            </w:tcBorders>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338</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305</w:t>
            </w:r>
          </w:p>
        </w:tc>
        <w:tc>
          <w:tcPr>
            <w:tcW w:w="100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10.6 %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10.6 %</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995</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892</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11.5 %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11.5 %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46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Linzess/Constella</w:t>
            </w:r>
          </w:p>
        </w:tc>
        <w:tc>
          <w:tcPr>
            <w:tcW w:w="2080" w:type="dxa"/>
            <w:vAlign w:val="bottom"/>
            <w:tcBorders>
              <w:bottom w:val="single" w:sz="8" w:color="CCEEFF"/>
            </w:tcBorders>
            <w:shd w:val="clear" w:color="auto" w:fill="CCEEFF"/>
          </w:tcPr>
          <w:p>
            <w:pPr>
              <w:ind w:left="300"/>
              <w:spacing w:after="0" w:line="156"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225</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279</w:t>
            </w:r>
          </w:p>
        </w:tc>
        <w:tc>
          <w:tcPr>
            <w:tcW w:w="10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(19.2)%</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(19.2)%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693</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799</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(13.2)%</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(13.2)%</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2080" w:type="dxa"/>
            <w:vAlign w:val="bottom"/>
          </w:tcPr>
          <w:p>
            <w:pPr>
              <w:ind w:left="300"/>
              <w:spacing w:after="0" w:line="164" w:lineRule="exact"/>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9</w:t>
            </w:r>
          </w:p>
        </w:tc>
        <w:tc>
          <w:tcPr>
            <w:tcW w:w="24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9</w:t>
            </w:r>
          </w:p>
        </w:tc>
        <w:tc>
          <w:tcPr>
            <w:tcW w:w="100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0.4 %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2.0 %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
              <w:spacing w:after="0" w:line="164" w:lineRule="exact"/>
              <w:rPr>
                <w:sz w:val="20"/>
                <w:szCs w:val="20"/>
                <w:color w:val="auto"/>
              </w:rPr>
            </w:pPr>
            <w:r>
              <w:rPr>
                <w:rFonts w:ascii="Calibri" w:cs="Calibri" w:eastAsia="Calibri" w:hAnsi="Calibri"/>
                <w:sz w:val="14"/>
                <w:szCs w:val="14"/>
                <w:color w:val="auto"/>
              </w:rPr>
              <w:t>28</w:t>
            </w:r>
          </w:p>
        </w:tc>
        <w:tc>
          <w:tcPr>
            <w:tcW w:w="260" w:type="dxa"/>
            <w:vAlign w:val="bottom"/>
          </w:tcPr>
          <w:p>
            <w:pPr>
              <w:spacing w:after="0"/>
              <w:rPr>
                <w:sz w:val="14"/>
                <w:szCs w:val="14"/>
                <w:color w:val="auto"/>
              </w:rPr>
            </w:pPr>
          </w:p>
        </w:tc>
        <w:tc>
          <w:tcPr>
            <w:tcW w:w="720" w:type="dxa"/>
            <w:vAlign w:val="bottom"/>
          </w:tcPr>
          <w:p>
            <w:pPr>
              <w:jc w:val="right"/>
              <w:ind w:right="91"/>
              <w:spacing w:after="0" w:line="164" w:lineRule="exact"/>
              <w:rPr>
                <w:sz w:val="20"/>
                <w:szCs w:val="20"/>
                <w:color w:val="auto"/>
              </w:rPr>
            </w:pPr>
            <w:r>
              <w:rPr>
                <w:rFonts w:ascii="Calibri" w:cs="Calibri" w:eastAsia="Calibri" w:hAnsi="Calibri"/>
                <w:sz w:val="14"/>
                <w:szCs w:val="14"/>
                <w:color w:val="auto"/>
              </w:rPr>
              <w:t>26</w:t>
            </w:r>
          </w:p>
        </w:tc>
        <w:tc>
          <w:tcPr>
            <w:tcW w:w="1020" w:type="dxa"/>
            <w:vAlign w:val="bottom"/>
          </w:tcPr>
          <w:p>
            <w:pPr>
              <w:jc w:val="right"/>
              <w:ind w:right="31"/>
              <w:spacing w:after="0" w:line="164" w:lineRule="exact"/>
              <w:rPr>
                <w:sz w:val="20"/>
                <w:szCs w:val="20"/>
                <w:color w:val="auto"/>
              </w:rPr>
            </w:pPr>
            <w:r>
              <w:rPr>
                <w:rFonts w:ascii="Calibri" w:cs="Calibri" w:eastAsia="Calibri" w:hAnsi="Calibri"/>
                <w:sz w:val="14"/>
                <w:szCs w:val="14"/>
                <w:color w:val="auto"/>
              </w:rPr>
              <w:t>6.2 %</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color w:val="auto"/>
              </w:rPr>
              <w:t>6.0 %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ind w:left="300"/>
              <w:spacing w:after="0" w:line="164" w:lineRule="exact"/>
              <w:rPr>
                <w:sz w:val="20"/>
                <w:szCs w:val="20"/>
                <w:color w:val="auto"/>
              </w:rPr>
            </w:pPr>
            <w:r>
              <w:rPr>
                <w:rFonts w:ascii="Calibri" w:cs="Calibri" w:eastAsia="Calibri" w:hAnsi="Calibri"/>
                <w:sz w:val="14"/>
                <w:szCs w:val="14"/>
                <w:color w:val="auto"/>
              </w:rPr>
              <w:t>Total</w:t>
            </w: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234</w:t>
            </w:r>
          </w:p>
        </w:tc>
        <w:tc>
          <w:tcPr>
            <w:tcW w:w="2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288</w:t>
            </w:r>
          </w:p>
        </w:tc>
        <w:tc>
          <w:tcPr>
            <w:tcW w:w="100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(18.6)%</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721</w:t>
            </w:r>
          </w:p>
        </w:tc>
        <w:tc>
          <w:tcPr>
            <w:tcW w:w="26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825</w:t>
            </w:r>
          </w:p>
        </w:tc>
        <w:tc>
          <w:tcPr>
            <w:tcW w:w="1020" w:type="dxa"/>
            <w:vAlign w:val="bottom"/>
            <w:tcBorders>
              <w:bottom w:val="single" w:sz="8" w:color="CCEEFF"/>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(12.6)%</w:t>
            </w: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(12.6)%</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All other</w:t>
            </w:r>
          </w:p>
        </w:tc>
        <w:tc>
          <w:tcPr>
            <w:tcW w:w="20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726</w:t>
            </w:r>
          </w:p>
        </w:tc>
        <w:tc>
          <w:tcPr>
            <w:tcW w:w="2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782</w:t>
            </w:r>
          </w:p>
        </w:tc>
        <w:tc>
          <w:tcPr>
            <w:tcW w:w="100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(6.8)%</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(5.5)%</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ind w:right="11"/>
              <w:spacing w:after="0" w:line="156" w:lineRule="exact"/>
              <w:rPr>
                <w:sz w:val="20"/>
                <w:szCs w:val="20"/>
                <w:color w:val="auto"/>
              </w:rPr>
            </w:pPr>
            <w:r>
              <w:rPr>
                <w:rFonts w:ascii="Calibri" w:cs="Calibri" w:eastAsia="Calibri" w:hAnsi="Calibri"/>
                <w:sz w:val="14"/>
                <w:szCs w:val="14"/>
                <w:color w:val="auto"/>
              </w:rPr>
              <w:t>2,280</w:t>
            </w:r>
          </w:p>
        </w:tc>
        <w:tc>
          <w:tcPr>
            <w:tcW w:w="26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91"/>
              <w:spacing w:after="0" w:line="156" w:lineRule="exact"/>
              <w:rPr>
                <w:sz w:val="20"/>
                <w:szCs w:val="20"/>
                <w:color w:val="auto"/>
              </w:rPr>
            </w:pPr>
            <w:r>
              <w:rPr>
                <w:rFonts w:ascii="Calibri" w:cs="Calibri" w:eastAsia="Calibri" w:hAnsi="Calibri"/>
                <w:sz w:val="14"/>
                <w:szCs w:val="14"/>
                <w:color w:val="auto"/>
              </w:rPr>
              <w:t>2,214</w:t>
            </w:r>
          </w:p>
        </w:tc>
        <w:tc>
          <w:tcPr>
            <w:tcW w:w="1020" w:type="dxa"/>
            <w:vAlign w:val="bottom"/>
            <w:tcBorders>
              <w:top w:val="single" w:sz="8" w:color="auto"/>
            </w:tcBorders>
          </w:tcPr>
          <w:p>
            <w:pPr>
              <w:jc w:val="right"/>
              <w:ind w:right="31"/>
              <w:spacing w:after="0" w:line="156" w:lineRule="exact"/>
              <w:rPr>
                <w:sz w:val="20"/>
                <w:szCs w:val="20"/>
                <w:color w:val="auto"/>
              </w:rPr>
            </w:pPr>
            <w:r>
              <w:rPr>
                <w:rFonts w:ascii="Calibri" w:cs="Calibri" w:eastAsia="Calibri" w:hAnsi="Calibri"/>
                <w:sz w:val="14"/>
                <w:szCs w:val="14"/>
                <w:color w:val="auto"/>
              </w:rPr>
              <w:t>3.0 %</w:t>
            </w:r>
          </w:p>
        </w:tc>
        <w:tc>
          <w:tcPr>
            <w:tcW w:w="100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4"/>
                <w:szCs w:val="14"/>
                <w:color w:val="auto"/>
              </w:rPr>
              <w:t>4.6 %</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46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color w:val="auto"/>
              </w:rPr>
              <w:t>Total net revenues</w:t>
            </w: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14,460</w:t>
            </w:r>
          </w:p>
        </w:tc>
        <w:tc>
          <w:tcPr>
            <w:tcW w:w="2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13,927</w:t>
            </w:r>
          </w:p>
        </w:tc>
        <w:tc>
          <w:tcPr>
            <w:tcW w:w="10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3.8 %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4.9 %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ind w:right="11"/>
              <w:spacing w:after="0" w:line="156" w:lineRule="exact"/>
              <w:rPr>
                <w:sz w:val="20"/>
                <w:szCs w:val="20"/>
                <w:color w:val="auto"/>
              </w:rPr>
            </w:pPr>
            <w:r>
              <w:rPr>
                <w:rFonts w:ascii="Calibri" w:cs="Calibri" w:eastAsia="Calibri" w:hAnsi="Calibri"/>
                <w:sz w:val="14"/>
                <w:szCs w:val="14"/>
                <w:color w:val="auto"/>
              </w:rPr>
              <w:t>41,232</w:t>
            </w:r>
          </w:p>
        </w:tc>
        <w:tc>
          <w:tcPr>
            <w:tcW w:w="26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91"/>
              <w:spacing w:after="0" w:line="156" w:lineRule="exact"/>
              <w:rPr>
                <w:sz w:val="20"/>
                <w:szCs w:val="20"/>
                <w:color w:val="auto"/>
              </w:rPr>
            </w:pPr>
            <w:r>
              <w:rPr>
                <w:rFonts w:ascii="Calibri" w:cs="Calibri" w:eastAsia="Calibri" w:hAnsi="Calibri"/>
                <w:sz w:val="14"/>
                <w:szCs w:val="14"/>
                <w:color w:val="auto"/>
              </w:rPr>
              <w:t>40,017</w:t>
            </w:r>
          </w:p>
        </w:tc>
        <w:tc>
          <w:tcPr>
            <w:tcW w:w="102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Calibri" w:cs="Calibri" w:eastAsia="Calibri" w:hAnsi="Calibri"/>
                <w:sz w:val="14"/>
                <w:szCs w:val="14"/>
                <w:color w:val="auto"/>
              </w:rPr>
              <w:t>3.0 %</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Calibri" w:cs="Calibri" w:eastAsia="Calibri" w:hAnsi="Calibri"/>
                <w:sz w:val="14"/>
                <w:szCs w:val="14"/>
                <w:color w:val="auto"/>
              </w:rPr>
              <w:t>4.1 %</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Calibri" w:cs="Calibri" w:eastAsia="Calibri" w:hAnsi="Calibri"/>
          <w:sz w:val="14"/>
          <w:szCs w:val="14"/>
          <w:color w:val="auto"/>
        </w:rPr>
        <w:t>n/m – Not meaningful</w:t>
      </w:r>
    </w:p>
    <w:p>
      <w:pPr>
        <w:spacing w:after="0" w:line="126" w:lineRule="exact"/>
        <w:rPr>
          <w:sz w:val="20"/>
          <w:szCs w:val="20"/>
          <w:color w:val="auto"/>
        </w:rPr>
      </w:pPr>
    </w:p>
    <w:p>
      <w:pPr>
        <w:ind w:left="460" w:hanging="418"/>
        <w:spacing w:after="0"/>
        <w:tabs>
          <w:tab w:leader="none" w:pos="460" w:val="left"/>
        </w:tabs>
        <w:numPr>
          <w:ilvl w:val="0"/>
          <w:numId w:val="21"/>
        </w:numPr>
        <w:rPr>
          <w:rFonts w:ascii="Calibri" w:cs="Calibri" w:eastAsia="Calibri" w:hAnsi="Calibri"/>
          <w:sz w:val="14"/>
          <w:szCs w:val="14"/>
          <w:color w:val="auto"/>
        </w:rPr>
      </w:pPr>
      <w:r>
        <w:rPr>
          <w:rFonts w:ascii="Calibri" w:cs="Calibri" w:eastAsia="Calibri" w:hAnsi="Calibri"/>
          <w:sz w:val="14"/>
          <w:szCs w:val="14"/>
          <w:color w:val="auto"/>
        </w:rPr>
        <w:t>Net revenues include ImmunoGen product revenues afer the acquisiton closing date of February 12, 2024.</w:t>
      </w:r>
    </w:p>
    <w:p>
      <w:pPr>
        <w:spacing w:after="0" w:line="149"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discussion and analysis of AbbVie’s net revenues by product is presented on a constant currency basis.</w:t>
      </w:r>
    </w:p>
    <w:p>
      <w:pPr>
        <w:spacing w:after="0" w:line="143" w:lineRule="exact"/>
        <w:rPr>
          <w:sz w:val="20"/>
          <w:szCs w:val="20"/>
          <w:color w:val="auto"/>
        </w:rPr>
      </w:pPr>
    </w:p>
    <w:p>
      <w:pPr>
        <w:ind w:right="120"/>
        <w:spacing w:after="0" w:line="238" w:lineRule="auto"/>
        <w:rPr>
          <w:sz w:val="20"/>
          <w:szCs w:val="20"/>
          <w:color w:val="auto"/>
        </w:rPr>
      </w:pPr>
      <w:r>
        <w:rPr>
          <w:rFonts w:ascii="Calibri" w:cs="Calibri" w:eastAsia="Calibri" w:hAnsi="Calibri"/>
          <w:sz w:val="17"/>
          <w:szCs w:val="17"/>
          <w:color w:val="auto"/>
        </w:rPr>
        <w:t>Global Humira sales decreased 37% for the three months and 33% for the nine months ended September 30, 2024. In the United States, Humira sales decreased by 42% for the three months and 37% for the nine months ended September 30, 2024 primarily driven by direct biosimilar competton following the loss of exclusivity on January 31, 2023. Internatonally, Humira revenues decreased 8% for the three months and 11% for the nine months ended September 30, 2024 primarily driven by the contnued impact of direct biosimilar competton. AbbVie contnues to pursue strategies to maintain broad formulary access of Humira and manage the impact of biosimilar erosion.</w:t>
      </w:r>
    </w:p>
    <w:p>
      <w:pPr>
        <w:spacing w:after="0" w:line="131" w:lineRule="exact"/>
        <w:rPr>
          <w:sz w:val="20"/>
          <w:szCs w:val="20"/>
          <w:color w:val="auto"/>
        </w:rPr>
      </w:pPr>
    </w:p>
    <w:p>
      <w:pPr>
        <w:ind w:right="220"/>
        <w:spacing w:after="0" w:line="237" w:lineRule="auto"/>
        <w:rPr>
          <w:sz w:val="20"/>
          <w:szCs w:val="20"/>
          <w:color w:val="auto"/>
        </w:rPr>
      </w:pPr>
      <w:r>
        <w:rPr>
          <w:rFonts w:ascii="Calibri" w:cs="Calibri" w:eastAsia="Calibri" w:hAnsi="Calibri"/>
          <w:sz w:val="17"/>
          <w:szCs w:val="17"/>
          <w:color w:val="auto"/>
        </w:rPr>
        <w:t>Net revenues for Skyrizi increased 51% for the three months and 49% for the nine months ended September 30, 2024 primarily driven by contnued strong market share uptake as well as market growth across all indicatons.</w:t>
      </w:r>
    </w:p>
    <w:p>
      <w:pPr>
        <w:spacing w:after="0" w:line="145" w:lineRule="exact"/>
        <w:rPr>
          <w:sz w:val="20"/>
          <w:szCs w:val="20"/>
          <w:color w:val="auto"/>
        </w:rPr>
      </w:pPr>
    </w:p>
    <w:p>
      <w:pPr>
        <w:ind w:right="200"/>
        <w:spacing w:after="0" w:line="237" w:lineRule="auto"/>
        <w:rPr>
          <w:sz w:val="20"/>
          <w:szCs w:val="20"/>
          <w:color w:val="auto"/>
        </w:rPr>
      </w:pPr>
      <w:r>
        <w:rPr>
          <w:rFonts w:ascii="Calibri" w:cs="Calibri" w:eastAsia="Calibri" w:hAnsi="Calibri"/>
          <w:sz w:val="17"/>
          <w:szCs w:val="17"/>
          <w:color w:val="auto"/>
        </w:rPr>
        <w:t>Net revenues for Rinvoq increased 47% for the three months and 55% for the nine months ended September 30, 2024 primarily driven by contnued strong market share uptake as well as market growth across all indicatons.</w:t>
      </w:r>
    </w:p>
    <w:p>
      <w:pPr>
        <w:spacing w:after="0" w:line="145"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7"/>
          <w:szCs w:val="17"/>
          <w:color w:val="auto"/>
        </w:rPr>
        <w:t>Net revenues for Imbruvica represent product revenues in the United States and collaboraton revenues outside of the United States related to AbbVie’s 50% share of Imbruvica proft. AbbVie's global Imbruvica revenues decreased 9% for the three months and 7% for the nine months ended September 30, 2024 primarily driven by decreased demand and lower market share in the United States as well as decreased collaboraton revenues.</w:t>
      </w:r>
    </w:p>
    <w:p>
      <w:pPr>
        <w:spacing w:after="0" w:line="130" w:lineRule="exact"/>
        <w:rPr>
          <w:sz w:val="20"/>
          <w:szCs w:val="20"/>
          <w:color w:val="auto"/>
        </w:rPr>
      </w:pPr>
    </w:p>
    <w:p>
      <w:pPr>
        <w:ind w:right="60"/>
        <w:spacing w:after="0" w:line="237" w:lineRule="auto"/>
        <w:rPr>
          <w:sz w:val="20"/>
          <w:szCs w:val="20"/>
          <w:color w:val="auto"/>
        </w:rPr>
      </w:pPr>
      <w:r>
        <w:rPr>
          <w:rFonts w:ascii="Calibri" w:cs="Calibri" w:eastAsia="Calibri" w:hAnsi="Calibri"/>
          <w:sz w:val="17"/>
          <w:szCs w:val="17"/>
          <w:color w:val="auto"/>
        </w:rPr>
        <w:t>Net revenues for Venclexta increased 18% for the three months and 17% for the nine months ended September 30, 2024 primarily driven by contnued market share uptake and market growth across all indicatons.</w:t>
      </w:r>
    </w:p>
    <w:p>
      <w:pPr>
        <w:sectPr>
          <w:pgSz w:w="11900" w:h="16838" w:orient="portrait"/>
          <w:cols w:equalWidth="0" w:num="1">
            <w:col w:w="11240"/>
          </w:cols>
          <w:pgMar w:left="320" w:top="1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440"/>
        <w:spacing w:after="0"/>
        <w:rPr>
          <w:sz w:val="20"/>
          <w:szCs w:val="20"/>
          <w:color w:val="auto"/>
        </w:rPr>
      </w:pPr>
      <w:r>
        <w:rPr>
          <w:rFonts w:ascii="Calibri" w:cs="Calibri" w:eastAsia="Calibri" w:hAnsi="Calibri"/>
          <w:sz w:val="18"/>
          <w:szCs w:val="18"/>
          <w:i w:val="1"/>
          <w:iCs w:val="1"/>
          <w:color w:val="auto"/>
        </w:rPr>
        <w:t xml:space="preserve">2024 Form 10-Q </w:t>
      </w:r>
      <w:r>
        <w:rPr>
          <w:rFonts w:ascii="Calibri" w:cs="Calibri" w:eastAsia="Calibri" w:hAnsi="Calibri"/>
          <w:sz w:val="18"/>
          <w:szCs w:val="18"/>
          <w:b w:val="1"/>
          <w:bCs w:val="1"/>
          <w:color w:val="auto"/>
        </w:rPr>
        <w:t xml:space="preserve">| </w:t>
      </w:r>
      <w:r>
        <w:rPr>
          <w:sz w:val="1"/>
          <w:szCs w:val="1"/>
          <w:color w:val="auto"/>
        </w:rPr>
        <w:drawing>
          <wp:inline distT="0" distB="0" distL="0" distR="0">
            <wp:extent cx="491490" cy="9017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1490" cy="90170"/>
                    </a:xfrm>
                    <a:prstGeom prst="rect">
                      <a:avLst/>
                    </a:prstGeom>
                    <a:noFill/>
                    <a:ln>
                      <a:noFill/>
                    </a:ln>
                  </pic:spPr>
                </pic:pic>
              </a:graphicData>
            </a:graphic>
          </wp:inline>
        </w:drawing>
      </w:r>
      <w:r>
        <w:rPr>
          <w:rFonts w:ascii="Calibri" w:cs="Calibri" w:eastAsia="Calibri" w:hAnsi="Calibri"/>
          <w:sz w:val="33"/>
          <w:szCs w:val="33"/>
          <w:b w:val="1"/>
          <w:bCs w:val="1"/>
          <w:i w:val="1"/>
          <w:iCs w:val="1"/>
          <w:color w:val="auto"/>
          <w:vertAlign w:val="superscript"/>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type w:val="continuous"/>
        </w:sectPr>
      </w:pPr>
    </w:p>
    <w:bookmarkStart w:id="39" w:name="page40"/>
    <w:bookmarkEnd w:id="39"/>
    <w:p>
      <w:pPr>
        <w:ind w:right="120"/>
        <w:spacing w:after="0" w:line="237" w:lineRule="auto"/>
        <w:rPr>
          <w:sz w:val="20"/>
          <w:szCs w:val="20"/>
          <w:color w:val="auto"/>
        </w:rPr>
      </w:pPr>
      <w:r>
        <w:rPr>
          <w:rFonts w:ascii="Calibri" w:cs="Calibri" w:eastAsia="Calibri" w:hAnsi="Calibri"/>
          <w:sz w:val="17"/>
          <w:szCs w:val="17"/>
          <w:color w:val="auto"/>
        </w:rPr>
        <w:t>Net revenues for Elahere were $139 million for the three months and $331 million for the nine months ended September 30, 2024 for the period subsequent to the completon of the ImmunoGen acquisiton.</w:t>
      </w:r>
    </w:p>
    <w:p>
      <w:pPr>
        <w:spacing w:after="0" w:line="132" w:lineRule="exact"/>
        <w:rPr>
          <w:sz w:val="20"/>
          <w:szCs w:val="20"/>
          <w:color w:val="auto"/>
        </w:rPr>
      </w:pPr>
    </w:p>
    <w:p>
      <w:pPr>
        <w:ind w:right="180"/>
        <w:spacing w:after="0" w:line="238" w:lineRule="auto"/>
        <w:rPr>
          <w:sz w:val="20"/>
          <w:szCs w:val="20"/>
          <w:color w:val="auto"/>
        </w:rPr>
      </w:pPr>
      <w:r>
        <w:rPr>
          <w:rFonts w:ascii="Calibri" w:cs="Calibri" w:eastAsia="Calibri" w:hAnsi="Calibri"/>
          <w:sz w:val="17"/>
          <w:szCs w:val="17"/>
          <w:color w:val="auto"/>
        </w:rPr>
        <w:t>Net revenues for Botox Cosmetc increased 10% for the three months and 5% for the nine months ended September 30, 2024 primarily driven by favorable pricing. Net revenues for the nine months ended September 30, 2024 were also partally ofset by the unfavorable impact of customer inventory destocking in the United States.</w:t>
      </w:r>
    </w:p>
    <w:p>
      <w:pPr>
        <w:spacing w:after="0" w:line="130" w:lineRule="exact"/>
        <w:rPr>
          <w:sz w:val="20"/>
          <w:szCs w:val="20"/>
          <w:color w:val="auto"/>
        </w:rPr>
      </w:pPr>
    </w:p>
    <w:p>
      <w:pPr>
        <w:ind w:right="200"/>
        <w:spacing w:after="0" w:line="228" w:lineRule="auto"/>
        <w:rPr>
          <w:sz w:val="20"/>
          <w:szCs w:val="20"/>
          <w:color w:val="auto"/>
        </w:rPr>
      </w:pPr>
      <w:r>
        <w:rPr>
          <w:rFonts w:ascii="Calibri" w:cs="Calibri" w:eastAsia="Calibri" w:hAnsi="Calibri"/>
          <w:sz w:val="17"/>
          <w:szCs w:val="17"/>
          <w:color w:val="auto"/>
        </w:rPr>
        <w:t>Net revenues for Juvederm Collecton decreased 17% for the three months and 11% for the nine months ended September 30, 2024 primarily driven by decreased consumer demand across internatonal markets. Net revenues for the nine months ended September 30, 2024 were also unfavorably impacted by customer inventory destocking in the United States.</w:t>
      </w:r>
    </w:p>
    <w:p>
      <w:pPr>
        <w:spacing w:after="0" w:line="118" w:lineRule="exact"/>
        <w:rPr>
          <w:sz w:val="20"/>
          <w:szCs w:val="20"/>
          <w:color w:val="auto"/>
        </w:rPr>
      </w:pPr>
    </w:p>
    <w:p>
      <w:pPr>
        <w:ind w:right="400"/>
        <w:spacing w:after="0" w:line="230" w:lineRule="auto"/>
        <w:rPr>
          <w:sz w:val="20"/>
          <w:szCs w:val="20"/>
          <w:color w:val="auto"/>
        </w:rPr>
      </w:pPr>
      <w:r>
        <w:rPr>
          <w:rFonts w:ascii="Calibri" w:cs="Calibri" w:eastAsia="Calibri" w:hAnsi="Calibri"/>
          <w:sz w:val="17"/>
          <w:szCs w:val="17"/>
          <w:color w:val="auto"/>
        </w:rPr>
        <w:t>Net revenues for Botox Therapeutc increased 14% for the three months and 10% for the nine months ended September 30, 2024 primarily driven by contnued market share uptake as well as market growth.</w:t>
      </w:r>
    </w:p>
    <w:p>
      <w:pPr>
        <w:spacing w:after="0" w:line="144" w:lineRule="exact"/>
        <w:rPr>
          <w:sz w:val="20"/>
          <w:szCs w:val="20"/>
          <w:color w:val="auto"/>
        </w:rPr>
      </w:pPr>
    </w:p>
    <w:p>
      <w:pPr>
        <w:ind w:right="240"/>
        <w:spacing w:after="0" w:line="237" w:lineRule="auto"/>
        <w:rPr>
          <w:sz w:val="20"/>
          <w:szCs w:val="20"/>
          <w:color w:val="auto"/>
        </w:rPr>
      </w:pPr>
      <w:r>
        <w:rPr>
          <w:rFonts w:ascii="Calibri" w:cs="Calibri" w:eastAsia="Calibri" w:hAnsi="Calibri"/>
          <w:sz w:val="17"/>
          <w:szCs w:val="17"/>
          <w:color w:val="auto"/>
        </w:rPr>
        <w:t>Net revenues for Vraylar increased 17% for the three months and 19% for the nine months ended September 30, 2024 primarily driven by contnued market share uptake as well as market growth.</w:t>
      </w:r>
    </w:p>
    <w:p>
      <w:pPr>
        <w:spacing w:after="0" w:line="145" w:lineRule="exact"/>
        <w:rPr>
          <w:sz w:val="20"/>
          <w:szCs w:val="20"/>
          <w:color w:val="auto"/>
        </w:rPr>
      </w:pPr>
    </w:p>
    <w:p>
      <w:pPr>
        <w:ind w:right="180"/>
        <w:spacing w:after="0" w:line="237" w:lineRule="auto"/>
        <w:rPr>
          <w:sz w:val="20"/>
          <w:szCs w:val="20"/>
          <w:color w:val="auto"/>
        </w:rPr>
      </w:pPr>
      <w:r>
        <w:rPr>
          <w:rFonts w:ascii="Calibri" w:cs="Calibri" w:eastAsia="Calibri" w:hAnsi="Calibri"/>
          <w:sz w:val="17"/>
          <w:szCs w:val="17"/>
          <w:color w:val="auto"/>
        </w:rPr>
        <w:t>Net revenues for Ubrelvy increased 15% for the three months and 21% for the nine months ended September 30, 2024 primarily driven by contnued market share uptake as well as market growth.</w:t>
      </w:r>
    </w:p>
    <w:p>
      <w:pPr>
        <w:spacing w:after="0" w:line="132" w:lineRule="exact"/>
        <w:rPr>
          <w:sz w:val="20"/>
          <w:szCs w:val="20"/>
          <w:color w:val="auto"/>
        </w:rPr>
      </w:pPr>
    </w:p>
    <w:p>
      <w:pPr>
        <w:ind w:right="160"/>
        <w:spacing w:after="0" w:line="237" w:lineRule="auto"/>
        <w:rPr>
          <w:sz w:val="20"/>
          <w:szCs w:val="20"/>
          <w:color w:val="auto"/>
        </w:rPr>
      </w:pPr>
      <w:r>
        <w:rPr>
          <w:rFonts w:ascii="Calibri" w:cs="Calibri" w:eastAsia="Calibri" w:hAnsi="Calibri"/>
          <w:sz w:val="17"/>
          <w:szCs w:val="17"/>
          <w:color w:val="auto"/>
        </w:rPr>
        <w:t>Net revenues for Qulipta increased 34% for the three months and 56% for the nine months ended September 30, 2024 primarily driven by contnued strong market share uptake as well as market growth.</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Gross Margin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jc w:val="center"/>
              <w:ind w:right="63"/>
              <w:spacing w:after="0"/>
              <w:rPr>
                <w:sz w:val="20"/>
                <w:szCs w:val="20"/>
                <w:color w:val="auto"/>
              </w:rPr>
            </w:pPr>
            <w:r>
              <w:rPr>
                <w:rFonts w:ascii="Calibri" w:cs="Calibri" w:eastAsia="Calibri" w:hAnsi="Calibri"/>
                <w:sz w:val="14"/>
                <w:szCs w:val="14"/>
                <w:b w:val="1"/>
                <w:bCs w:val="1"/>
                <w:color w:val="auto"/>
                <w:w w:val="97"/>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tcPr>
          <w:p>
            <w:pPr>
              <w:jc w:val="center"/>
              <w:ind w:right="63"/>
              <w:spacing w:after="0"/>
              <w:rPr>
                <w:sz w:val="20"/>
                <w:szCs w:val="20"/>
                <w:color w:val="auto"/>
              </w:rPr>
            </w:pPr>
            <w:r>
              <w:rPr>
                <w:rFonts w:ascii="Calibri" w:cs="Calibri" w:eastAsia="Calibri" w:hAnsi="Calibri"/>
                <w:sz w:val="14"/>
                <w:szCs w:val="14"/>
                <w:b w:val="1"/>
                <w:bCs w:val="1"/>
                <w:color w:val="auto"/>
                <w:w w:val="97"/>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263"/>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263"/>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line="156"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3"/>
                <w:szCs w:val="13"/>
                <w:color w:val="auto"/>
              </w:rPr>
            </w:pPr>
          </w:p>
        </w:tc>
        <w:tc>
          <w:tcPr>
            <w:tcW w:w="1200" w:type="dxa"/>
            <w:vAlign w:val="bottom"/>
          </w:tcPr>
          <w:p>
            <w:pPr>
              <w:jc w:val="center"/>
              <w:ind w:right="243"/>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1000" w:type="dxa"/>
            <w:vAlign w:val="bottom"/>
          </w:tcPr>
          <w:p>
            <w:pPr>
              <w:ind w:left="180"/>
              <w:spacing w:after="0" w:line="156" w:lineRule="exact"/>
              <w:rPr>
                <w:sz w:val="20"/>
                <w:szCs w:val="20"/>
                <w:color w:val="auto"/>
              </w:rPr>
            </w:pPr>
            <w:r>
              <w:rPr>
                <w:rFonts w:ascii="Calibri" w:cs="Calibri" w:eastAsia="Calibri" w:hAnsi="Calibri"/>
                <w:sz w:val="14"/>
                <w:szCs w:val="14"/>
                <w:b w:val="1"/>
                <w:bCs w:val="1"/>
                <w:color w:val="auto"/>
              </w:rPr>
              <w:t>% change</w:t>
            </w:r>
          </w:p>
        </w:tc>
        <w:tc>
          <w:tcPr>
            <w:tcW w:w="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0"/>
              <w:spacing w:after="0" w:line="156" w:lineRule="exact"/>
              <w:rPr>
                <w:sz w:val="20"/>
                <w:szCs w:val="20"/>
                <w:color w:val="auto"/>
              </w:rPr>
            </w:pPr>
            <w:r>
              <w:rPr>
                <w:rFonts w:ascii="Calibri" w:cs="Calibri" w:eastAsia="Calibri" w:hAnsi="Calibri"/>
                <w:sz w:val="14"/>
                <w:szCs w:val="14"/>
                <w:b w:val="1"/>
                <w:bCs w:val="1"/>
                <w:color w:val="auto"/>
              </w:rPr>
              <w:t>2024</w:t>
            </w:r>
          </w:p>
        </w:tc>
        <w:tc>
          <w:tcPr>
            <w:tcW w:w="180" w:type="dxa"/>
            <w:vAlign w:val="bottom"/>
          </w:tcPr>
          <w:p>
            <w:pPr>
              <w:spacing w:after="0"/>
              <w:rPr>
                <w:sz w:val="13"/>
                <w:szCs w:val="13"/>
                <w:color w:val="auto"/>
              </w:rPr>
            </w:pPr>
          </w:p>
        </w:tc>
        <w:tc>
          <w:tcPr>
            <w:tcW w:w="1200" w:type="dxa"/>
            <w:vAlign w:val="bottom"/>
          </w:tcPr>
          <w:p>
            <w:pPr>
              <w:jc w:val="center"/>
              <w:ind w:right="243"/>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1000" w:type="dxa"/>
            <w:vAlign w:val="bottom"/>
          </w:tcPr>
          <w:p>
            <w:pPr>
              <w:jc w:val="right"/>
              <w:ind w:right="203"/>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0"/>
        </w:trPr>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Gross margin</w:t>
            </w:r>
          </w:p>
        </w:tc>
        <w:tc>
          <w:tcPr>
            <w:tcW w:w="260" w:type="dxa"/>
            <w:vAlign w:val="bottom"/>
            <w:shd w:val="clear" w:color="auto" w:fill="CC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shd w:val="clear" w:color="auto" w:fill="CCEEFF"/>
          </w:tcPr>
          <w:p>
            <w:pPr>
              <w:jc w:val="right"/>
              <w:ind w:right="60"/>
              <w:spacing w:after="0" w:line="205" w:lineRule="exact"/>
              <w:rPr>
                <w:sz w:val="20"/>
                <w:szCs w:val="20"/>
                <w:color w:val="auto"/>
              </w:rPr>
            </w:pPr>
            <w:r>
              <w:rPr>
                <w:rFonts w:ascii="Calibri" w:cs="Calibri" w:eastAsia="Calibri" w:hAnsi="Calibri"/>
                <w:sz w:val="17"/>
                <w:szCs w:val="17"/>
                <w:color w:val="auto"/>
              </w:rPr>
              <w:t>10,248</w:t>
            </w:r>
          </w:p>
        </w:tc>
        <w:tc>
          <w:tcPr>
            <w:tcW w:w="2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shd w:val="clear" w:color="auto" w:fill="CCEEFF"/>
          </w:tcPr>
          <w:p>
            <w:pPr>
              <w:jc w:val="right"/>
              <w:ind w:right="243"/>
              <w:spacing w:after="0" w:line="205" w:lineRule="exact"/>
              <w:rPr>
                <w:sz w:val="20"/>
                <w:szCs w:val="20"/>
                <w:color w:val="auto"/>
              </w:rPr>
            </w:pPr>
            <w:r>
              <w:rPr>
                <w:rFonts w:ascii="Calibri" w:cs="Calibri" w:eastAsia="Calibri" w:hAnsi="Calibri"/>
                <w:sz w:val="17"/>
                <w:szCs w:val="17"/>
                <w:color w:val="auto"/>
              </w:rPr>
              <w:t>7,442</w:t>
            </w:r>
          </w:p>
        </w:tc>
        <w:tc>
          <w:tcPr>
            <w:tcW w:w="1360" w:type="dxa"/>
            <w:vAlign w:val="bottom"/>
            <w:gridSpan w:val="3"/>
            <w:shd w:val="clear" w:color="auto" w:fill="CCEEFF"/>
          </w:tcPr>
          <w:p>
            <w:pPr>
              <w:jc w:val="right"/>
              <w:ind w:right="160"/>
              <w:spacing w:after="0" w:line="205" w:lineRule="exact"/>
              <w:rPr>
                <w:sz w:val="20"/>
                <w:szCs w:val="20"/>
                <w:color w:val="auto"/>
              </w:rPr>
            </w:pPr>
            <w:r>
              <w:rPr>
                <w:rFonts w:ascii="Calibri" w:cs="Calibri" w:eastAsia="Calibri" w:hAnsi="Calibri"/>
                <w:sz w:val="17"/>
                <w:szCs w:val="17"/>
                <w:color w:val="auto"/>
              </w:rPr>
              <w:t>38 %  $</w:t>
            </w:r>
          </w:p>
        </w:tc>
        <w:tc>
          <w:tcPr>
            <w:tcW w:w="900" w:type="dxa"/>
            <w:vAlign w:val="bottom"/>
            <w:shd w:val="clear" w:color="auto" w:fill="CCEEFF"/>
          </w:tcPr>
          <w:p>
            <w:pPr>
              <w:jc w:val="right"/>
              <w:ind w:right="80"/>
              <w:spacing w:after="0" w:line="205" w:lineRule="exact"/>
              <w:rPr>
                <w:sz w:val="20"/>
                <w:szCs w:val="20"/>
                <w:color w:val="auto"/>
              </w:rPr>
            </w:pPr>
            <w:r>
              <w:rPr>
                <w:rFonts w:ascii="Calibri" w:cs="Calibri" w:eastAsia="Calibri" w:hAnsi="Calibri"/>
                <w:sz w:val="17"/>
                <w:szCs w:val="17"/>
                <w:color w:val="auto"/>
              </w:rPr>
              <w:t>28,724</w:t>
            </w:r>
          </w:p>
        </w:tc>
        <w:tc>
          <w:tcPr>
            <w:tcW w:w="1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shd w:val="clear" w:color="auto" w:fill="CCEEFF"/>
          </w:tcPr>
          <w:p>
            <w:pPr>
              <w:jc w:val="right"/>
              <w:ind w:right="243"/>
              <w:spacing w:after="0" w:line="205" w:lineRule="exact"/>
              <w:rPr>
                <w:sz w:val="20"/>
                <w:szCs w:val="20"/>
                <w:color w:val="auto"/>
              </w:rPr>
            </w:pPr>
            <w:r>
              <w:rPr>
                <w:rFonts w:ascii="Calibri" w:cs="Calibri" w:eastAsia="Calibri" w:hAnsi="Calibri"/>
                <w:sz w:val="17"/>
                <w:szCs w:val="17"/>
                <w:color w:val="auto"/>
              </w:rPr>
              <w:t>25,306</w:t>
            </w:r>
          </w:p>
        </w:tc>
        <w:tc>
          <w:tcPr>
            <w:tcW w:w="10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14 %</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as a % of net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71 %</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3"/>
              <w:spacing w:after="0" w:line="205" w:lineRule="exact"/>
              <w:rPr>
                <w:sz w:val="20"/>
                <w:szCs w:val="20"/>
                <w:color w:val="auto"/>
              </w:rPr>
            </w:pPr>
            <w:r>
              <w:rPr>
                <w:rFonts w:ascii="Calibri" w:cs="Calibri" w:eastAsia="Calibri" w:hAnsi="Calibri"/>
                <w:sz w:val="17"/>
                <w:szCs w:val="17"/>
                <w:color w:val="auto"/>
              </w:rPr>
              <w:t>53 %</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70 %</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line="205" w:lineRule="exact"/>
              <w:rPr>
                <w:sz w:val="20"/>
                <w:szCs w:val="20"/>
                <w:color w:val="auto"/>
              </w:rPr>
            </w:pPr>
            <w:r>
              <w:rPr>
                <w:rFonts w:ascii="Calibri" w:cs="Calibri" w:eastAsia="Calibri" w:hAnsi="Calibri"/>
                <w:sz w:val="17"/>
                <w:szCs w:val="17"/>
                <w:color w:val="auto"/>
              </w:rPr>
              <w:t>63 %</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560"/>
        <w:spacing w:after="0" w:line="238" w:lineRule="auto"/>
        <w:rPr>
          <w:sz w:val="20"/>
          <w:szCs w:val="20"/>
          <w:color w:val="auto"/>
        </w:rPr>
      </w:pPr>
      <w:r>
        <w:rPr>
          <w:rFonts w:ascii="Calibri" w:cs="Calibri" w:eastAsia="Calibri" w:hAnsi="Calibri"/>
          <w:sz w:val="17"/>
          <w:szCs w:val="17"/>
          <w:color w:val="auto"/>
        </w:rPr>
        <w:t>Gross margin as a percentage of net revenues increased for the three and nine months ended September 30, 2024 compared to the prior year. Gross margin percentage for the three and nine months ended September 30, 2024 was favorably impacted by lower amortzaton of intangibles and lower intangible asset impairment charges. The three months ended September 30, 2023 included intangible asset impairment charges of $2.1 billion.</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Selling, General and Administratve</w:t>
      </w:r>
    </w:p>
    <w:tbl>
      <w:tblPr>
        <w:tblLayout w:type="fixed"/>
        <w:tblInd w:w="0" w:type="dxa"/>
        <w:tblCellMar>
          <w:top w:w="0" w:type="dxa"/>
          <w:left w:w="0" w:type="dxa"/>
          <w:bottom w:w="0" w:type="dxa"/>
          <w:right w:w="0" w:type="dxa"/>
        </w:tblCellMar>
      </w:tblPr>
      <w:tr>
        <w:trPr>
          <w:trHeight w:val="164"/>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jc w:val="center"/>
              <w:ind w:right="63"/>
              <w:spacing w:after="0" w:line="164" w:lineRule="exact"/>
              <w:rPr>
                <w:sz w:val="20"/>
                <w:szCs w:val="20"/>
                <w:color w:val="auto"/>
              </w:rPr>
            </w:pPr>
            <w:r>
              <w:rPr>
                <w:rFonts w:ascii="Calibri" w:cs="Calibri" w:eastAsia="Calibri" w:hAnsi="Calibri"/>
                <w:sz w:val="14"/>
                <w:szCs w:val="14"/>
                <w:b w:val="1"/>
                <w:bCs w:val="1"/>
                <w:color w:val="auto"/>
                <w:w w:val="97"/>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2"/>
          </w:tcPr>
          <w:p>
            <w:pPr>
              <w:jc w:val="center"/>
              <w:ind w:right="63"/>
              <w:spacing w:after="0" w:line="164" w:lineRule="exact"/>
              <w:rPr>
                <w:sz w:val="20"/>
                <w:szCs w:val="20"/>
                <w:color w:val="auto"/>
              </w:rPr>
            </w:pPr>
            <w:r>
              <w:rPr>
                <w:rFonts w:ascii="Calibri" w:cs="Calibri" w:eastAsia="Calibri" w:hAnsi="Calibri"/>
                <w:sz w:val="14"/>
                <w:szCs w:val="14"/>
                <w:b w:val="1"/>
                <w:bCs w:val="1"/>
                <w:color w:val="auto"/>
                <w:w w:val="97"/>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263"/>
              <w:spacing w:after="0" w:line="164" w:lineRule="exact"/>
              <w:rPr>
                <w:sz w:val="20"/>
                <w:szCs w:val="20"/>
                <w:color w:val="auto"/>
              </w:rPr>
            </w:pPr>
            <w:r>
              <w:rPr>
                <w:rFonts w:ascii="Calibri" w:cs="Calibri" w:eastAsia="Calibri" w:hAnsi="Calibri"/>
                <w:sz w:val="14"/>
                <w:szCs w:val="14"/>
                <w:b w:val="1"/>
                <w:bCs w:val="1"/>
                <w:color w:val="auto"/>
                <w:w w:val="96"/>
              </w:rPr>
              <w:t>September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63"/>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40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line="156"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3"/>
                <w:szCs w:val="13"/>
                <w:color w:val="auto"/>
              </w:rPr>
            </w:pPr>
          </w:p>
        </w:tc>
        <w:tc>
          <w:tcPr>
            <w:tcW w:w="1200" w:type="dxa"/>
            <w:vAlign w:val="bottom"/>
          </w:tcPr>
          <w:p>
            <w:pPr>
              <w:jc w:val="center"/>
              <w:ind w:right="243"/>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980" w:type="dxa"/>
            <w:vAlign w:val="bottom"/>
          </w:tcPr>
          <w:p>
            <w:pPr>
              <w:ind w:left="180"/>
              <w:spacing w:after="0" w:line="156" w:lineRule="exact"/>
              <w:rPr>
                <w:sz w:val="20"/>
                <w:szCs w:val="20"/>
                <w:color w:val="auto"/>
              </w:rPr>
            </w:pPr>
            <w:r>
              <w:rPr>
                <w:rFonts w:ascii="Calibri" w:cs="Calibri" w:eastAsia="Calibri" w:hAnsi="Calibri"/>
                <w:sz w:val="14"/>
                <w:szCs w:val="14"/>
                <w:b w:val="1"/>
                <w:bCs w:val="1"/>
                <w:color w:val="auto"/>
              </w:rPr>
              <w:t>% change</w:t>
            </w:r>
          </w:p>
        </w:tc>
        <w:tc>
          <w:tcPr>
            <w:tcW w:w="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line="156"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3"/>
                <w:szCs w:val="13"/>
                <w:color w:val="auto"/>
              </w:rPr>
            </w:pPr>
          </w:p>
        </w:tc>
        <w:tc>
          <w:tcPr>
            <w:tcW w:w="1180" w:type="dxa"/>
            <w:vAlign w:val="bottom"/>
          </w:tcPr>
          <w:p>
            <w:pPr>
              <w:jc w:val="center"/>
              <w:ind w:right="223"/>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1000" w:type="dxa"/>
            <w:vAlign w:val="bottom"/>
          </w:tcPr>
          <w:p>
            <w:pPr>
              <w:jc w:val="right"/>
              <w:ind w:right="203"/>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0"/>
        </w:trPr>
        <w:tc>
          <w:tcPr>
            <w:tcW w:w="4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Selling, general and administratve</w:t>
            </w:r>
          </w:p>
        </w:tc>
        <w:tc>
          <w:tcPr>
            <w:tcW w:w="26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880" w:type="dxa"/>
            <w:vAlign w:val="bottom"/>
            <w:shd w:val="clear" w:color="auto" w:fill="CCEEFF"/>
          </w:tcPr>
          <w:p>
            <w:pPr>
              <w:jc w:val="right"/>
              <w:ind w:right="60"/>
              <w:spacing w:after="0" w:line="205" w:lineRule="exact"/>
              <w:rPr>
                <w:sz w:val="20"/>
                <w:szCs w:val="20"/>
                <w:color w:val="auto"/>
              </w:rPr>
            </w:pPr>
            <w:r>
              <w:rPr>
                <w:rFonts w:ascii="Calibri" w:cs="Calibri" w:eastAsia="Calibri" w:hAnsi="Calibri"/>
                <w:sz w:val="17"/>
                <w:szCs w:val="17"/>
                <w:color w:val="auto"/>
              </w:rPr>
              <w:t>4,205</w:t>
            </w:r>
          </w:p>
        </w:tc>
        <w:tc>
          <w:tcPr>
            <w:tcW w:w="2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shd w:val="clear" w:color="auto" w:fill="CCEEFF"/>
          </w:tcPr>
          <w:p>
            <w:pPr>
              <w:jc w:val="right"/>
              <w:ind w:right="243"/>
              <w:spacing w:after="0" w:line="205" w:lineRule="exact"/>
              <w:rPr>
                <w:sz w:val="20"/>
                <w:szCs w:val="20"/>
                <w:color w:val="auto"/>
              </w:rPr>
            </w:pPr>
            <w:r>
              <w:rPr>
                <w:rFonts w:ascii="Calibri" w:cs="Calibri" w:eastAsia="Calibri" w:hAnsi="Calibri"/>
                <w:sz w:val="17"/>
                <w:szCs w:val="17"/>
                <w:color w:val="auto"/>
              </w:rPr>
              <w:t>3,372</w:t>
            </w:r>
          </w:p>
        </w:tc>
        <w:tc>
          <w:tcPr>
            <w:tcW w:w="1360" w:type="dxa"/>
            <w:vAlign w:val="bottom"/>
            <w:gridSpan w:val="3"/>
            <w:shd w:val="clear" w:color="auto" w:fill="CCEEFF"/>
          </w:tcPr>
          <w:p>
            <w:pPr>
              <w:jc w:val="right"/>
              <w:ind w:right="160"/>
              <w:spacing w:after="0" w:line="205" w:lineRule="exact"/>
              <w:rPr>
                <w:sz w:val="20"/>
                <w:szCs w:val="20"/>
                <w:color w:val="auto"/>
              </w:rPr>
            </w:pPr>
            <w:r>
              <w:rPr>
                <w:rFonts w:ascii="Calibri" w:cs="Calibri" w:eastAsia="Calibri" w:hAnsi="Calibri"/>
                <w:sz w:val="17"/>
                <w:szCs w:val="17"/>
                <w:color w:val="auto"/>
              </w:rPr>
              <w:t>25 %  $</w:t>
            </w:r>
          </w:p>
        </w:tc>
        <w:tc>
          <w:tcPr>
            <w:tcW w:w="880" w:type="dxa"/>
            <w:vAlign w:val="bottom"/>
            <w:shd w:val="clear" w:color="auto" w:fill="CCEEFF"/>
          </w:tcPr>
          <w:p>
            <w:pPr>
              <w:jc w:val="right"/>
              <w:ind w:right="60"/>
              <w:spacing w:after="0" w:line="205" w:lineRule="exact"/>
              <w:rPr>
                <w:sz w:val="20"/>
                <w:szCs w:val="20"/>
                <w:color w:val="auto"/>
              </w:rPr>
            </w:pPr>
            <w:r>
              <w:rPr>
                <w:rFonts w:ascii="Calibri" w:cs="Calibri" w:eastAsia="Calibri" w:hAnsi="Calibri"/>
                <w:sz w:val="17"/>
                <w:szCs w:val="17"/>
                <w:color w:val="auto"/>
              </w:rPr>
              <w:t>10,897</w:t>
            </w:r>
          </w:p>
        </w:tc>
        <w:tc>
          <w:tcPr>
            <w:tcW w:w="2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shd w:val="clear" w:color="auto" w:fill="CCEEFF"/>
          </w:tcPr>
          <w:p>
            <w:pPr>
              <w:jc w:val="right"/>
              <w:ind w:right="243"/>
              <w:spacing w:after="0" w:line="205" w:lineRule="exact"/>
              <w:rPr>
                <w:sz w:val="20"/>
                <w:szCs w:val="20"/>
                <w:color w:val="auto"/>
              </w:rPr>
            </w:pPr>
            <w:r>
              <w:rPr>
                <w:rFonts w:ascii="Calibri" w:cs="Calibri" w:eastAsia="Calibri" w:hAnsi="Calibri"/>
                <w:sz w:val="17"/>
                <w:szCs w:val="17"/>
                <w:color w:val="auto"/>
              </w:rPr>
              <w:t>9,679</w:t>
            </w:r>
          </w:p>
        </w:tc>
        <w:tc>
          <w:tcPr>
            <w:tcW w:w="10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13 %</w:t>
            </w:r>
          </w:p>
        </w:tc>
        <w:tc>
          <w:tcPr>
            <w:tcW w:w="0" w:type="dxa"/>
            <w:vAlign w:val="bottom"/>
          </w:tcPr>
          <w:p>
            <w:pPr>
              <w:spacing w:after="0"/>
              <w:rPr>
                <w:sz w:val="1"/>
                <w:szCs w:val="1"/>
                <w:color w:val="auto"/>
              </w:rPr>
            </w:pPr>
          </w:p>
        </w:tc>
      </w:tr>
      <w:tr>
        <w:trPr>
          <w:trHeight w:val="212"/>
        </w:trPr>
        <w:tc>
          <w:tcPr>
            <w:tcW w:w="40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as a % of net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29 %</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3"/>
              <w:spacing w:after="0" w:line="205" w:lineRule="exact"/>
              <w:rPr>
                <w:sz w:val="20"/>
                <w:szCs w:val="20"/>
                <w:color w:val="auto"/>
              </w:rPr>
            </w:pPr>
            <w:r>
              <w:rPr>
                <w:rFonts w:ascii="Calibri" w:cs="Calibri" w:eastAsia="Calibri" w:hAnsi="Calibri"/>
                <w:sz w:val="17"/>
                <w:szCs w:val="17"/>
                <w:color w:val="auto"/>
              </w:rPr>
              <w:t>24 %</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26 %</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line="205" w:lineRule="exact"/>
              <w:rPr>
                <w:sz w:val="20"/>
                <w:szCs w:val="20"/>
                <w:color w:val="auto"/>
              </w:rPr>
            </w:pPr>
            <w:r>
              <w:rPr>
                <w:rFonts w:ascii="Calibri" w:cs="Calibri" w:eastAsia="Calibri" w:hAnsi="Calibri"/>
                <w:sz w:val="17"/>
                <w:szCs w:val="17"/>
                <w:color w:val="auto"/>
              </w:rPr>
              <w:t>24 %</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38" w:lineRule="auto"/>
        <w:rPr>
          <w:sz w:val="20"/>
          <w:szCs w:val="20"/>
          <w:color w:val="auto"/>
        </w:rPr>
      </w:pPr>
      <w:r>
        <w:rPr>
          <w:rFonts w:ascii="Calibri" w:cs="Calibri" w:eastAsia="Calibri" w:hAnsi="Calibri"/>
          <w:sz w:val="17"/>
          <w:szCs w:val="17"/>
          <w:color w:val="auto"/>
        </w:rPr>
        <w:t>Selling, general and administratve (SG&amp;A) expenses as a percentage of net revenues increased for the three and nine months ended September 30, 2024 compared to the prior year. SG&amp;A expense was unfavorably impacted by higher litgaton reserve charges and acquisiton and integraton costs incurred in connecton with the ImmunoGen and Cerevel Therapeutcs acquisitons including cash-setled, post-closing expense for both ImmunoGen and Cerevel Therapeutcs employee incentve awards, partally ofset by the favorable impact of leverage from revenue growth. See Note 4 to the Condensed Consolidated Financial Statements for additonal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38</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0" w:name="page41"/>
    <w:bookmarkEnd w:id="40"/>
    <w:p>
      <w:pPr>
        <w:spacing w:after="0"/>
        <w:rPr>
          <w:sz w:val="20"/>
          <w:szCs w:val="20"/>
          <w:color w:val="auto"/>
        </w:rPr>
      </w:pPr>
      <w:r>
        <w:rPr>
          <w:rFonts w:ascii="Calibri" w:cs="Calibri" w:eastAsia="Calibri" w:hAnsi="Calibri"/>
          <w:sz w:val="17"/>
          <w:szCs w:val="17"/>
          <w:b w:val="1"/>
          <w:bCs w:val="1"/>
          <w:color w:val="444867"/>
        </w:rPr>
        <w:t>Research and Development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gridSpan w:val="2"/>
          </w:tcPr>
          <w:p>
            <w:pPr>
              <w:jc w:val="center"/>
              <w:ind w:right="63"/>
              <w:spacing w:after="0"/>
              <w:rPr>
                <w:sz w:val="20"/>
                <w:szCs w:val="20"/>
                <w:color w:val="auto"/>
              </w:rPr>
            </w:pPr>
            <w:r>
              <w:rPr>
                <w:rFonts w:ascii="Calibri" w:cs="Calibri" w:eastAsia="Calibri" w:hAnsi="Calibri"/>
                <w:sz w:val="14"/>
                <w:szCs w:val="14"/>
                <w:b w:val="1"/>
                <w:bCs w:val="1"/>
                <w:color w:val="auto"/>
                <w:w w:val="97"/>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2"/>
          </w:tcPr>
          <w:p>
            <w:pPr>
              <w:jc w:val="center"/>
              <w:ind w:right="83"/>
              <w:spacing w:after="0"/>
              <w:rPr>
                <w:sz w:val="20"/>
                <w:szCs w:val="20"/>
                <w:color w:val="auto"/>
              </w:rPr>
            </w:pPr>
            <w:r>
              <w:rPr>
                <w:rFonts w:ascii="Calibri" w:cs="Calibri" w:eastAsia="Calibri" w:hAnsi="Calibri"/>
                <w:sz w:val="14"/>
                <w:szCs w:val="14"/>
                <w:b w:val="1"/>
                <w:bCs w:val="1"/>
                <w:color w:val="auto"/>
                <w:w w:val="97"/>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243"/>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263"/>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1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40"/>
              <w:spacing w:after="0" w:line="156"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3"/>
                <w:szCs w:val="13"/>
                <w:color w:val="auto"/>
              </w:rPr>
            </w:pPr>
          </w:p>
        </w:tc>
        <w:tc>
          <w:tcPr>
            <w:tcW w:w="1200" w:type="dxa"/>
            <w:vAlign w:val="bottom"/>
          </w:tcPr>
          <w:p>
            <w:pPr>
              <w:jc w:val="center"/>
              <w:ind w:right="243"/>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980" w:type="dxa"/>
            <w:vAlign w:val="bottom"/>
          </w:tcPr>
          <w:p>
            <w:pPr>
              <w:ind w:left="160"/>
              <w:spacing w:after="0" w:line="156" w:lineRule="exact"/>
              <w:rPr>
                <w:sz w:val="20"/>
                <w:szCs w:val="20"/>
                <w:color w:val="auto"/>
              </w:rPr>
            </w:pPr>
            <w:r>
              <w:rPr>
                <w:rFonts w:ascii="Calibri" w:cs="Calibri" w:eastAsia="Calibri" w:hAnsi="Calibri"/>
                <w:sz w:val="14"/>
                <w:szCs w:val="14"/>
                <w:b w:val="1"/>
                <w:bCs w:val="1"/>
                <w:color w:val="auto"/>
              </w:rPr>
              <w:t>% change</w:t>
            </w:r>
          </w:p>
        </w:tc>
        <w:tc>
          <w:tcPr>
            <w:tcW w:w="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0"/>
              <w:spacing w:after="0" w:line="156" w:lineRule="exact"/>
              <w:rPr>
                <w:sz w:val="20"/>
                <w:szCs w:val="20"/>
                <w:color w:val="auto"/>
              </w:rPr>
            </w:pPr>
            <w:r>
              <w:rPr>
                <w:rFonts w:ascii="Calibri" w:cs="Calibri" w:eastAsia="Calibri" w:hAnsi="Calibri"/>
                <w:sz w:val="14"/>
                <w:szCs w:val="14"/>
                <w:b w:val="1"/>
                <w:bCs w:val="1"/>
                <w:color w:val="auto"/>
              </w:rPr>
              <w:t>2024</w:t>
            </w:r>
          </w:p>
        </w:tc>
        <w:tc>
          <w:tcPr>
            <w:tcW w:w="180" w:type="dxa"/>
            <w:vAlign w:val="bottom"/>
          </w:tcPr>
          <w:p>
            <w:pPr>
              <w:spacing w:after="0"/>
              <w:rPr>
                <w:sz w:val="13"/>
                <w:szCs w:val="13"/>
                <w:color w:val="auto"/>
              </w:rPr>
            </w:pPr>
          </w:p>
        </w:tc>
        <w:tc>
          <w:tcPr>
            <w:tcW w:w="1180" w:type="dxa"/>
            <w:vAlign w:val="bottom"/>
          </w:tcPr>
          <w:p>
            <w:pPr>
              <w:jc w:val="center"/>
              <w:ind w:right="223"/>
              <w:spacing w:after="0" w:line="156" w:lineRule="exact"/>
              <w:rPr>
                <w:sz w:val="20"/>
                <w:szCs w:val="20"/>
                <w:color w:val="auto"/>
              </w:rPr>
            </w:pPr>
            <w:r>
              <w:rPr>
                <w:rFonts w:ascii="Calibri" w:cs="Calibri" w:eastAsia="Calibri" w:hAnsi="Calibri"/>
                <w:sz w:val="14"/>
                <w:szCs w:val="14"/>
                <w:b w:val="1"/>
                <w:bCs w:val="1"/>
                <w:color w:val="auto"/>
                <w:w w:val="98"/>
              </w:rPr>
              <w:t>2023</w:t>
            </w:r>
          </w:p>
        </w:tc>
        <w:tc>
          <w:tcPr>
            <w:tcW w:w="1000" w:type="dxa"/>
            <w:vAlign w:val="bottom"/>
          </w:tcPr>
          <w:p>
            <w:pPr>
              <w:jc w:val="right"/>
              <w:ind w:right="203"/>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0"/>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Research and development</w:t>
            </w:r>
          </w:p>
        </w:tc>
        <w:tc>
          <w:tcPr>
            <w:tcW w:w="26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860" w:type="dxa"/>
            <w:vAlign w:val="bottom"/>
            <w:shd w:val="clear" w:color="auto" w:fill="CCEEFF"/>
          </w:tcPr>
          <w:p>
            <w:pPr>
              <w:jc w:val="right"/>
              <w:ind w:right="120"/>
              <w:spacing w:after="0" w:line="205" w:lineRule="exact"/>
              <w:rPr>
                <w:sz w:val="20"/>
                <w:szCs w:val="20"/>
                <w:color w:val="auto"/>
              </w:rPr>
            </w:pPr>
            <w:r>
              <w:rPr>
                <w:rFonts w:ascii="Calibri" w:cs="Calibri" w:eastAsia="Calibri" w:hAnsi="Calibri"/>
                <w:sz w:val="17"/>
                <w:szCs w:val="17"/>
                <w:color w:val="auto"/>
              </w:rPr>
              <w:t>2,130</w:t>
            </w:r>
          </w:p>
        </w:tc>
        <w:tc>
          <w:tcPr>
            <w:tcW w:w="2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shd w:val="clear" w:color="auto" w:fill="CCEEFF"/>
          </w:tcPr>
          <w:p>
            <w:pPr>
              <w:jc w:val="right"/>
              <w:ind w:right="323"/>
              <w:spacing w:after="0" w:line="205" w:lineRule="exact"/>
              <w:rPr>
                <w:sz w:val="20"/>
                <w:szCs w:val="20"/>
                <w:color w:val="auto"/>
              </w:rPr>
            </w:pPr>
            <w:r>
              <w:rPr>
                <w:rFonts w:ascii="Calibri" w:cs="Calibri" w:eastAsia="Calibri" w:hAnsi="Calibri"/>
                <w:sz w:val="17"/>
                <w:szCs w:val="17"/>
                <w:color w:val="auto"/>
              </w:rPr>
              <w:t>1,723</w:t>
            </w:r>
          </w:p>
        </w:tc>
        <w:tc>
          <w:tcPr>
            <w:tcW w:w="1340" w:type="dxa"/>
            <w:vAlign w:val="bottom"/>
            <w:gridSpan w:val="3"/>
            <w:shd w:val="clear" w:color="auto" w:fill="CCEEFF"/>
          </w:tcPr>
          <w:p>
            <w:pPr>
              <w:jc w:val="right"/>
              <w:ind w:right="160"/>
              <w:spacing w:after="0" w:line="205" w:lineRule="exact"/>
              <w:rPr>
                <w:sz w:val="20"/>
                <w:szCs w:val="20"/>
                <w:color w:val="auto"/>
              </w:rPr>
            </w:pPr>
            <w:r>
              <w:rPr>
                <w:rFonts w:ascii="Calibri" w:cs="Calibri" w:eastAsia="Calibri" w:hAnsi="Calibri"/>
                <w:sz w:val="17"/>
                <w:szCs w:val="17"/>
                <w:color w:val="auto"/>
              </w:rPr>
              <w:t>24 %  $</w:t>
            </w:r>
          </w:p>
        </w:tc>
        <w:tc>
          <w:tcPr>
            <w:tcW w:w="900" w:type="dxa"/>
            <w:vAlign w:val="bottom"/>
            <w:shd w:val="clear" w:color="auto" w:fill="CCEEFF"/>
          </w:tcPr>
          <w:p>
            <w:pPr>
              <w:jc w:val="right"/>
              <w:ind w:right="80"/>
              <w:spacing w:after="0" w:line="205" w:lineRule="exact"/>
              <w:rPr>
                <w:sz w:val="20"/>
                <w:szCs w:val="20"/>
                <w:color w:val="auto"/>
              </w:rPr>
            </w:pPr>
            <w:r>
              <w:rPr>
                <w:rFonts w:ascii="Calibri" w:cs="Calibri" w:eastAsia="Calibri" w:hAnsi="Calibri"/>
                <w:sz w:val="17"/>
                <w:szCs w:val="17"/>
                <w:color w:val="auto"/>
              </w:rPr>
              <w:t>6,017</w:t>
            </w:r>
          </w:p>
        </w:tc>
        <w:tc>
          <w:tcPr>
            <w:tcW w:w="18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shd w:val="clear" w:color="auto" w:fill="CCEEFF"/>
          </w:tcPr>
          <w:p>
            <w:pPr>
              <w:jc w:val="right"/>
              <w:ind w:right="243"/>
              <w:spacing w:after="0" w:line="205" w:lineRule="exact"/>
              <w:rPr>
                <w:sz w:val="20"/>
                <w:szCs w:val="20"/>
                <w:color w:val="auto"/>
              </w:rPr>
            </w:pPr>
            <w:r>
              <w:rPr>
                <w:rFonts w:ascii="Calibri" w:cs="Calibri" w:eastAsia="Calibri" w:hAnsi="Calibri"/>
                <w:sz w:val="17"/>
                <w:szCs w:val="17"/>
                <w:color w:val="auto"/>
              </w:rPr>
              <w:t>5,748</w:t>
            </w:r>
          </w:p>
        </w:tc>
        <w:tc>
          <w:tcPr>
            <w:tcW w:w="100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5 %</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as a % of net 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15 %</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3"/>
              <w:spacing w:after="0" w:line="205" w:lineRule="exact"/>
              <w:rPr>
                <w:sz w:val="20"/>
                <w:szCs w:val="20"/>
                <w:color w:val="auto"/>
              </w:rPr>
            </w:pPr>
            <w:r>
              <w:rPr>
                <w:rFonts w:ascii="Calibri" w:cs="Calibri" w:eastAsia="Calibri" w:hAnsi="Calibri"/>
                <w:sz w:val="17"/>
                <w:szCs w:val="17"/>
                <w:color w:val="auto"/>
              </w:rPr>
              <w:t>12 %</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15 %</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line="205" w:lineRule="exact"/>
              <w:rPr>
                <w:sz w:val="20"/>
                <w:szCs w:val="20"/>
                <w:color w:val="auto"/>
              </w:rPr>
            </w:pPr>
            <w:r>
              <w:rPr>
                <w:rFonts w:ascii="Calibri" w:cs="Calibri" w:eastAsia="Calibri" w:hAnsi="Calibri"/>
                <w:sz w:val="17"/>
                <w:szCs w:val="17"/>
                <w:color w:val="auto"/>
              </w:rPr>
              <w:t>14 %</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Research and development (R&amp;D) expenses as a percentage of net revenues increased for the three and nine months ended September 30, 2024 compared to the prior year. R&amp;D expense percentage for the three and nine months ended September 30, 2024 was unfavorably impacted by increased funding to support all stages of the company’s pipeline assets as well as acquisiton and integraton costs incurred in connecton with the ImmunoGen and Cerevel Therapeutcs acquisitons including cash-setled, post-closing expense for employee incentve awards. See Note 4 to the Condensed Consolidated Financial Statements for additonal informaton. R&amp;D expense percentage increase for the nine months ended September 30, 2024 was partally ofset by lower intangible asset impairment charges. The nine months ended September 30, 2023 included an intangible asset impairment charge of $630 million.</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Acquired IPR&amp;D and Milestones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880" w:type="dxa"/>
            <w:vAlign w:val="bottom"/>
            <w:gridSpan w:val="3"/>
          </w:tcPr>
          <w:p>
            <w:pPr>
              <w:jc w:val="right"/>
              <w:ind w:right="120"/>
              <w:spacing w:after="0"/>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438"/>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jc w:val="right"/>
              <w:ind w:right="280"/>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September 30,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7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760" w:type="dxa"/>
            <w:vAlign w:val="bottom"/>
            <w:vMerge w:val="continue"/>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4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3"/>
              <w:spacing w:after="0" w:line="156" w:lineRule="exact"/>
              <w:rPr>
                <w:sz w:val="20"/>
                <w:szCs w:val="20"/>
                <w:color w:val="auto"/>
              </w:rPr>
            </w:pPr>
            <w:r>
              <w:rPr>
                <w:rFonts w:ascii="Calibri" w:cs="Calibri" w:eastAsia="Calibri" w:hAnsi="Calibri"/>
                <w:sz w:val="14"/>
                <w:szCs w:val="14"/>
                <w:b w:val="1"/>
                <w:bCs w:val="1"/>
                <w:color w:val="auto"/>
              </w:rPr>
              <w:t>2024</w:t>
            </w:r>
          </w:p>
        </w:tc>
        <w:tc>
          <w:tcPr>
            <w:tcW w:w="460" w:type="dxa"/>
            <w:vAlign w:val="bottom"/>
          </w:tcPr>
          <w:p>
            <w:pPr>
              <w:spacing w:after="0"/>
              <w:rPr>
                <w:sz w:val="13"/>
                <w:szCs w:val="13"/>
                <w:color w:val="auto"/>
              </w:rPr>
            </w:pPr>
          </w:p>
        </w:tc>
        <w:tc>
          <w:tcPr>
            <w:tcW w:w="660" w:type="dxa"/>
            <w:vAlign w:val="bottom"/>
          </w:tcPr>
          <w:p>
            <w:pPr>
              <w:jc w:val="right"/>
              <w:ind w:right="298"/>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6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Upfront charges</w:t>
            </w:r>
          </w:p>
        </w:tc>
        <w:tc>
          <w:tcPr>
            <w:tcW w:w="660" w:type="dxa"/>
            <w:vAlign w:val="bottom"/>
            <w:shd w:val="clear" w:color="auto" w:fill="CCEEFF"/>
          </w:tcPr>
          <w:p>
            <w:pPr>
              <w:jc w:val="right"/>
              <w:ind w:right="483"/>
              <w:spacing w:after="0" w:line="205" w:lineRule="exact"/>
              <w:rPr>
                <w:sz w:val="20"/>
                <w:szCs w:val="20"/>
                <w:color w:val="auto"/>
              </w:rPr>
            </w:pPr>
            <w:r>
              <w:rPr>
                <w:rFonts w:ascii="Calibri" w:cs="Calibri" w:eastAsia="Calibri" w:hAnsi="Calibri"/>
                <w:sz w:val="17"/>
                <w:szCs w:val="17"/>
                <w:color w:val="auto"/>
                <w:w w:val="92"/>
              </w:rPr>
              <w:t>$</w:t>
            </w:r>
          </w:p>
        </w:tc>
        <w:tc>
          <w:tcPr>
            <w:tcW w:w="420" w:type="dxa"/>
            <w:vAlign w:val="bottom"/>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82</w:t>
            </w:r>
          </w:p>
        </w:tc>
        <w:tc>
          <w:tcPr>
            <w:tcW w:w="800" w:type="dxa"/>
            <w:vAlign w:val="bottom"/>
            <w:shd w:val="clear" w:color="auto" w:fill="CCEEFF"/>
          </w:tcPr>
          <w:p>
            <w:pPr>
              <w:jc w:val="right"/>
              <w:ind w:right="540"/>
              <w:spacing w:after="0" w:line="205" w:lineRule="exact"/>
              <w:rPr>
                <w:sz w:val="20"/>
                <w:szCs w:val="20"/>
                <w:color w:val="auto"/>
              </w:rPr>
            </w:pPr>
            <w:r>
              <w:rPr>
                <w:rFonts w:ascii="Calibri" w:cs="Calibri" w:eastAsia="Calibri" w:hAnsi="Calibri"/>
                <w:sz w:val="17"/>
                <w:szCs w:val="17"/>
                <w:color w:val="auto"/>
              </w:rPr>
              <w:t>$</w:t>
            </w:r>
          </w:p>
        </w:tc>
        <w:tc>
          <w:tcPr>
            <w:tcW w:w="3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shd w:val="clear" w:color="auto" w:fill="CCEEFF"/>
          </w:tcPr>
          <w:p>
            <w:pPr>
              <w:jc w:val="right"/>
              <w:ind w:right="3"/>
              <w:spacing w:after="0" w:line="205" w:lineRule="exact"/>
              <w:rPr>
                <w:sz w:val="20"/>
                <w:szCs w:val="20"/>
                <w:color w:val="auto"/>
              </w:rPr>
            </w:pPr>
            <w:r>
              <w:rPr>
                <w:rFonts w:ascii="Calibri" w:cs="Calibri" w:eastAsia="Calibri" w:hAnsi="Calibri"/>
                <w:sz w:val="17"/>
                <w:szCs w:val="17"/>
                <w:color w:val="auto"/>
              </w:rPr>
              <w:t>1,088</w:t>
            </w:r>
          </w:p>
        </w:tc>
        <w:tc>
          <w:tcPr>
            <w:tcW w:w="460" w:type="dxa"/>
            <w:vAlign w:val="bottom"/>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6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396</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Development milestones</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8"/>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line="205" w:lineRule="exact"/>
              <w:rPr>
                <w:sz w:val="20"/>
                <w:szCs w:val="20"/>
                <w:color w:val="auto"/>
              </w:rPr>
            </w:pPr>
            <w:r>
              <w:rPr>
                <w:rFonts w:ascii="Calibri" w:cs="Calibri" w:eastAsia="Calibri" w:hAnsi="Calibri"/>
                <w:sz w:val="17"/>
                <w:szCs w:val="17"/>
                <w:color w:val="auto"/>
              </w:rPr>
              <w:t>95</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100</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Acquired IPR&amp;D and milestones</w:t>
            </w:r>
          </w:p>
        </w:tc>
        <w:tc>
          <w:tcPr>
            <w:tcW w:w="660" w:type="dxa"/>
            <w:vAlign w:val="bottom"/>
            <w:tcBorders>
              <w:bottom w:val="single" w:sz="8" w:color="auto"/>
            </w:tcBorders>
            <w:shd w:val="clear" w:color="auto" w:fill="CCEEFF"/>
          </w:tcPr>
          <w:p>
            <w:pPr>
              <w:jc w:val="right"/>
              <w:ind w:right="483"/>
              <w:spacing w:after="0" w:line="205" w:lineRule="exact"/>
              <w:rPr>
                <w:sz w:val="20"/>
                <w:szCs w:val="20"/>
                <w:color w:val="auto"/>
              </w:rPr>
            </w:pPr>
            <w:r>
              <w:rPr>
                <w:rFonts w:ascii="Calibri" w:cs="Calibri" w:eastAsia="Calibri" w:hAnsi="Calibri"/>
                <w:sz w:val="17"/>
                <w:szCs w:val="17"/>
                <w:color w:val="auto"/>
                <w:w w:val="92"/>
              </w:rPr>
              <w:t>$</w:t>
            </w:r>
          </w:p>
        </w:tc>
        <w:tc>
          <w:tcPr>
            <w:tcW w:w="420" w:type="dxa"/>
            <w:vAlign w:val="bottom"/>
            <w:tcBorders>
              <w:bottom w:val="single" w:sz="8" w:color="auto"/>
            </w:tcBorders>
            <w:shd w:val="clear" w:color="auto" w:fill="CCEEFF"/>
          </w:tcPr>
          <w:p>
            <w:pPr>
              <w:jc w:val="right"/>
              <w:ind w:right="18"/>
              <w:spacing w:after="0" w:line="205" w:lineRule="exact"/>
              <w:rPr>
                <w:sz w:val="20"/>
                <w:szCs w:val="20"/>
                <w:color w:val="auto"/>
              </w:rPr>
            </w:pPr>
            <w:r>
              <w:rPr>
                <w:rFonts w:ascii="Calibri" w:cs="Calibri" w:eastAsia="Calibri" w:hAnsi="Calibri"/>
                <w:sz w:val="17"/>
                <w:szCs w:val="17"/>
                <w:color w:val="auto"/>
              </w:rPr>
              <w:t>82</w:t>
            </w:r>
          </w:p>
        </w:tc>
        <w:tc>
          <w:tcPr>
            <w:tcW w:w="800" w:type="dxa"/>
            <w:vAlign w:val="bottom"/>
            <w:tcBorders>
              <w:bottom w:val="single" w:sz="8" w:color="auto"/>
            </w:tcBorders>
            <w:shd w:val="clear" w:color="auto" w:fill="CCEEFF"/>
          </w:tcPr>
          <w:p>
            <w:pPr>
              <w:jc w:val="right"/>
              <w:ind w:right="540"/>
              <w:spacing w:after="0" w:line="205" w:lineRule="exact"/>
              <w:rPr>
                <w:sz w:val="20"/>
                <w:szCs w:val="20"/>
                <w:color w:val="auto"/>
              </w:rPr>
            </w:pPr>
            <w:r>
              <w:rPr>
                <w:rFonts w:ascii="Calibri" w:cs="Calibri" w:eastAsia="Calibri" w:hAnsi="Calibri"/>
                <w:sz w:val="17"/>
                <w:szCs w:val="17"/>
                <w:color w:val="auto"/>
              </w:rPr>
              <w:t>$</w:t>
            </w:r>
          </w:p>
        </w:tc>
        <w:tc>
          <w:tcPr>
            <w:tcW w:w="32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66</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CCEEFF"/>
          </w:tcPr>
          <w:p>
            <w:pPr>
              <w:jc w:val="right"/>
              <w:ind w:right="3"/>
              <w:spacing w:after="0" w:line="205" w:lineRule="exact"/>
              <w:rPr>
                <w:sz w:val="20"/>
                <w:szCs w:val="20"/>
                <w:color w:val="auto"/>
              </w:rPr>
            </w:pPr>
            <w:r>
              <w:rPr>
                <w:rFonts w:ascii="Calibri" w:cs="Calibri" w:eastAsia="Calibri" w:hAnsi="Calibri"/>
                <w:sz w:val="17"/>
                <w:szCs w:val="17"/>
                <w:color w:val="auto"/>
              </w:rPr>
              <w:t>1,183</w:t>
            </w:r>
          </w:p>
        </w:tc>
        <w:tc>
          <w:tcPr>
            <w:tcW w:w="460" w:type="dxa"/>
            <w:vAlign w:val="bottom"/>
            <w:tcBorders>
              <w:bottom w:val="single" w:sz="8" w:color="auto"/>
            </w:tcBorders>
            <w:shd w:val="clear" w:color="auto" w:fill="CCEEFF"/>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6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496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37" w:lineRule="auto"/>
        <w:rPr>
          <w:sz w:val="20"/>
          <w:szCs w:val="20"/>
          <w:color w:val="auto"/>
        </w:rPr>
      </w:pPr>
      <w:r>
        <w:rPr>
          <w:rFonts w:ascii="Calibri" w:cs="Calibri" w:eastAsia="Calibri" w:hAnsi="Calibri"/>
          <w:sz w:val="17"/>
          <w:szCs w:val="17"/>
          <w:color w:val="auto"/>
        </w:rPr>
        <w:t>Acquired IPR&amp;D and milestones expense for the nine months ended September 30, 2024 included a charge related to the upfront payment of $250 million to acquire Celsius Therapeutcs. See Note 4 to the Condensed Consolidated Financial Statements for additonal informaton.</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Other Non-Operatng Expenses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160" w:type="dxa"/>
            <w:vAlign w:val="bottom"/>
            <w:gridSpan w:val="3"/>
          </w:tcPr>
          <w:p>
            <w:pPr>
              <w:jc w:val="right"/>
              <w:ind w:right="198"/>
              <w:spacing w:after="0"/>
              <w:rPr>
                <w:sz w:val="20"/>
                <w:szCs w:val="20"/>
                <w:color w:val="auto"/>
              </w:rPr>
            </w:pPr>
            <w:r>
              <w:rPr>
                <w:rFonts w:ascii="Calibri" w:cs="Calibri" w:eastAsia="Calibri" w:hAnsi="Calibri"/>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198"/>
              <w:spacing w:after="0"/>
              <w:rPr>
                <w:sz w:val="20"/>
                <w:szCs w:val="20"/>
                <w:color w:val="auto"/>
              </w:rPr>
            </w:pPr>
            <w:r>
              <w:rPr>
                <w:rFonts w:ascii="Calibri" w:cs="Calibri" w:eastAsia="Calibri" w:hAnsi="Calibri"/>
                <w:sz w:val="14"/>
                <w:szCs w:val="14"/>
                <w:b w:val="1"/>
                <w:bCs w:val="1"/>
                <w:color w:val="auto"/>
              </w:rPr>
              <w:t>Nine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jc w:val="right"/>
              <w:ind w:right="358"/>
              <w:spacing w:after="0" w:line="164" w:lineRule="exact"/>
              <w:rPr>
                <w:sz w:val="20"/>
                <w:szCs w:val="20"/>
                <w:color w:val="auto"/>
              </w:rPr>
            </w:pPr>
            <w:r>
              <w:rPr>
                <w:rFonts w:ascii="Calibri" w:cs="Calibri" w:eastAsia="Calibri" w:hAnsi="Calibri"/>
                <w:sz w:val="14"/>
                <w:szCs w:val="14"/>
                <w:b w:val="1"/>
                <w:bCs w:val="1"/>
                <w:color w:val="auto"/>
              </w:rPr>
              <w:t>September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ind w:right="338"/>
              <w:spacing w:after="0" w:line="164" w:lineRule="exact"/>
              <w:rPr>
                <w:sz w:val="20"/>
                <w:szCs w:val="20"/>
                <w:color w:val="auto"/>
              </w:rPr>
            </w:pPr>
            <w:r>
              <w:rPr>
                <w:rFonts w:ascii="Calibri" w:cs="Calibri" w:eastAsia="Calibri" w:hAnsi="Calibri"/>
                <w:sz w:val="14"/>
                <w:szCs w:val="14"/>
                <w:b w:val="1"/>
                <w:bCs w:val="1"/>
                <w:color w:val="auto"/>
              </w:rPr>
              <w:t>September 30,</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940" w:type="dxa"/>
            <w:vAlign w:val="bottom"/>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Calibri" w:cs="Calibri" w:eastAsia="Calibri" w:hAnsi="Calibri"/>
                <w:sz w:val="14"/>
                <w:szCs w:val="14"/>
                <w:b w:val="1"/>
                <w:bCs w:val="1"/>
                <w:color w:val="auto"/>
              </w:rPr>
              <w:t>2023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Interest expense</w:t>
            </w:r>
          </w:p>
        </w:tc>
        <w:tc>
          <w:tcPr>
            <w:tcW w:w="780" w:type="dxa"/>
            <w:vAlign w:val="bottom"/>
            <w:shd w:val="clear" w:color="auto" w:fill="CCEEFF"/>
          </w:tcPr>
          <w:p>
            <w:pPr>
              <w:jc w:val="right"/>
              <w:ind w:right="601"/>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shd w:val="clear" w:color="auto" w:fill="CCEEFF"/>
          </w:tcPr>
          <w:p>
            <w:pPr>
              <w:jc w:val="right"/>
              <w:ind w:right="37"/>
              <w:spacing w:after="0" w:line="205" w:lineRule="exact"/>
              <w:rPr>
                <w:sz w:val="20"/>
                <w:szCs w:val="20"/>
                <w:color w:val="auto"/>
              </w:rPr>
            </w:pPr>
            <w:r>
              <w:rPr>
                <w:rFonts w:ascii="Calibri" w:cs="Calibri" w:eastAsia="Calibri" w:hAnsi="Calibri"/>
                <w:sz w:val="17"/>
                <w:szCs w:val="17"/>
                <w:color w:val="auto"/>
              </w:rPr>
              <w:t>720</w:t>
            </w:r>
          </w:p>
        </w:tc>
        <w:tc>
          <w:tcPr>
            <w:tcW w:w="860" w:type="dxa"/>
            <w:vAlign w:val="bottom"/>
            <w:shd w:val="clear" w:color="auto" w:fill="CCEEFF"/>
          </w:tcPr>
          <w:p>
            <w:pPr>
              <w:jc w:val="right"/>
              <w:ind w:right="618"/>
              <w:spacing w:after="0" w:line="205" w:lineRule="exact"/>
              <w:rPr>
                <w:sz w:val="20"/>
                <w:szCs w:val="20"/>
                <w:color w:val="auto"/>
              </w:rPr>
            </w:pPr>
            <w:r>
              <w:rPr>
                <w:rFonts w:ascii="Calibri" w:cs="Calibri" w:eastAsia="Calibri" w:hAnsi="Calibri"/>
                <w:sz w:val="17"/>
                <w:szCs w:val="17"/>
                <w:color w:val="auto"/>
              </w:rPr>
              <w:t>$</w:t>
            </w:r>
          </w:p>
        </w:tc>
        <w:tc>
          <w:tcPr>
            <w:tcW w:w="4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555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1"/>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shd w:val="clear" w:color="auto" w:fill="CCEEFF"/>
          </w:tcPr>
          <w:p>
            <w:pPr>
              <w:jc w:val="right"/>
              <w:ind w:right="37"/>
              <w:spacing w:after="0" w:line="205" w:lineRule="exact"/>
              <w:rPr>
                <w:sz w:val="20"/>
                <w:szCs w:val="20"/>
                <w:color w:val="auto"/>
              </w:rPr>
            </w:pPr>
            <w:r>
              <w:rPr>
                <w:rFonts w:ascii="Calibri" w:cs="Calibri" w:eastAsia="Calibri" w:hAnsi="Calibri"/>
                <w:sz w:val="17"/>
                <w:szCs w:val="17"/>
                <w:color w:val="auto"/>
                <w:w w:val="97"/>
              </w:rPr>
              <w:t>2,106</w:t>
            </w:r>
          </w:p>
        </w:tc>
        <w:tc>
          <w:tcPr>
            <w:tcW w:w="840" w:type="dxa"/>
            <w:vAlign w:val="bottom"/>
            <w:shd w:val="clear" w:color="auto" w:fill="CCEEFF"/>
          </w:tcPr>
          <w:p>
            <w:pPr>
              <w:jc w:val="right"/>
              <w:ind w:right="598"/>
              <w:spacing w:after="0" w:line="205" w:lineRule="exact"/>
              <w:rPr>
                <w:sz w:val="20"/>
                <w:szCs w:val="20"/>
                <w:color w:val="auto"/>
              </w:rPr>
            </w:pPr>
            <w:r>
              <w:rPr>
                <w:rFonts w:ascii="Calibri" w:cs="Calibri" w:eastAsia="Calibri" w:hAnsi="Calibri"/>
                <w:sz w:val="17"/>
                <w:szCs w:val="17"/>
                <w:color w:val="auto"/>
              </w:rPr>
              <w:t>$</w:t>
            </w:r>
          </w:p>
        </w:tc>
        <w:tc>
          <w:tcPr>
            <w:tcW w:w="4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w w:val="97"/>
              </w:rPr>
              <w:t>1,660</w:t>
            </w:r>
          </w:p>
        </w:tc>
        <w:tc>
          <w:tcPr>
            <w:tcW w:w="0" w:type="dxa"/>
            <w:vAlign w:val="bottom"/>
          </w:tcPr>
          <w:p>
            <w:pPr>
              <w:spacing w:after="0"/>
              <w:rPr>
                <w:sz w:val="1"/>
                <w:szCs w:val="1"/>
                <w:color w:val="auto"/>
              </w:rPr>
            </w:pPr>
          </w:p>
        </w:tc>
      </w:tr>
      <w:tr>
        <w:trPr>
          <w:trHeight w:val="212"/>
        </w:trPr>
        <w:tc>
          <w:tcPr>
            <w:tcW w:w="59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Interest income</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(129)</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(157)</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(556)</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(354)</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auto"/>
            </w:tcBorders>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Interest expense, net</w:t>
            </w:r>
          </w:p>
        </w:tc>
        <w:tc>
          <w:tcPr>
            <w:tcW w:w="780" w:type="dxa"/>
            <w:vAlign w:val="bottom"/>
            <w:tcBorders>
              <w:bottom w:val="single" w:sz="8" w:color="auto"/>
            </w:tcBorders>
            <w:shd w:val="clear" w:color="auto" w:fill="CCEEFF"/>
          </w:tcPr>
          <w:p>
            <w:pPr>
              <w:jc w:val="right"/>
              <w:ind w:right="601"/>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tcBorders>
              <w:bottom w:val="single" w:sz="8" w:color="auto"/>
            </w:tcBorders>
            <w:shd w:val="clear" w:color="auto" w:fill="CCEEFF"/>
          </w:tcPr>
          <w:p>
            <w:pPr>
              <w:jc w:val="right"/>
              <w:ind w:right="37"/>
              <w:spacing w:after="0" w:line="205" w:lineRule="exact"/>
              <w:rPr>
                <w:sz w:val="20"/>
                <w:szCs w:val="20"/>
                <w:color w:val="auto"/>
              </w:rPr>
            </w:pPr>
            <w:r>
              <w:rPr>
                <w:rFonts w:ascii="Calibri" w:cs="Calibri" w:eastAsia="Calibri" w:hAnsi="Calibri"/>
                <w:sz w:val="17"/>
                <w:szCs w:val="17"/>
                <w:color w:val="auto"/>
              </w:rPr>
              <w:t>591</w:t>
            </w:r>
          </w:p>
        </w:tc>
        <w:tc>
          <w:tcPr>
            <w:tcW w:w="860" w:type="dxa"/>
            <w:vAlign w:val="bottom"/>
            <w:tcBorders>
              <w:bottom w:val="single" w:sz="8" w:color="auto"/>
            </w:tcBorders>
            <w:shd w:val="clear" w:color="auto" w:fill="CCEEFF"/>
          </w:tcPr>
          <w:p>
            <w:pPr>
              <w:jc w:val="right"/>
              <w:ind w:right="618"/>
              <w:spacing w:after="0" w:line="205" w:lineRule="exact"/>
              <w:rPr>
                <w:sz w:val="20"/>
                <w:szCs w:val="20"/>
                <w:color w:val="auto"/>
              </w:rPr>
            </w:pPr>
            <w:r>
              <w:rPr>
                <w:rFonts w:ascii="Calibri" w:cs="Calibri" w:eastAsia="Calibri" w:hAnsi="Calibri"/>
                <w:sz w:val="17"/>
                <w:szCs w:val="17"/>
                <w:color w:val="auto"/>
              </w:rPr>
              <w:t>$</w:t>
            </w:r>
          </w:p>
        </w:tc>
        <w:tc>
          <w:tcPr>
            <w:tcW w:w="44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398</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1"/>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tcBorders>
              <w:bottom w:val="single" w:sz="8" w:color="auto"/>
            </w:tcBorders>
            <w:shd w:val="clear" w:color="auto" w:fill="CCEEFF"/>
          </w:tcPr>
          <w:p>
            <w:pPr>
              <w:jc w:val="right"/>
              <w:ind w:right="37"/>
              <w:spacing w:after="0" w:line="205" w:lineRule="exact"/>
              <w:rPr>
                <w:sz w:val="20"/>
                <w:szCs w:val="20"/>
                <w:color w:val="auto"/>
              </w:rPr>
            </w:pPr>
            <w:r>
              <w:rPr>
                <w:rFonts w:ascii="Calibri" w:cs="Calibri" w:eastAsia="Calibri" w:hAnsi="Calibri"/>
                <w:sz w:val="17"/>
                <w:szCs w:val="17"/>
                <w:color w:val="auto"/>
                <w:w w:val="97"/>
              </w:rPr>
              <w:t>1,550</w:t>
            </w:r>
          </w:p>
        </w:tc>
        <w:tc>
          <w:tcPr>
            <w:tcW w:w="840" w:type="dxa"/>
            <w:vAlign w:val="bottom"/>
            <w:tcBorders>
              <w:bottom w:val="single" w:sz="8" w:color="auto"/>
            </w:tcBorders>
            <w:shd w:val="clear" w:color="auto" w:fill="CCEEFF"/>
          </w:tcPr>
          <w:p>
            <w:pPr>
              <w:jc w:val="right"/>
              <w:ind w:right="598"/>
              <w:spacing w:after="0" w:line="205" w:lineRule="exact"/>
              <w:rPr>
                <w:sz w:val="20"/>
                <w:szCs w:val="20"/>
                <w:color w:val="auto"/>
              </w:rPr>
            </w:pPr>
            <w:r>
              <w:rPr>
                <w:rFonts w:ascii="Calibri" w:cs="Calibri" w:eastAsia="Calibri" w:hAnsi="Calibri"/>
                <w:sz w:val="17"/>
                <w:szCs w:val="17"/>
                <w:color w:val="auto"/>
              </w:rPr>
              <w:t>$</w:t>
            </w:r>
          </w:p>
        </w:tc>
        <w:tc>
          <w:tcPr>
            <w:tcW w:w="460" w:type="dxa"/>
            <w:vAlign w:val="bottom"/>
            <w:tcBorders>
              <w:bottom w:val="single" w:sz="8" w:color="auto"/>
            </w:tcBorders>
            <w:shd w:val="clear" w:color="auto" w:fill="CCEEFF"/>
          </w:tcPr>
          <w:p>
            <w:pPr>
              <w:jc w:val="right"/>
              <w:spacing w:after="0" w:line="205" w:lineRule="exact"/>
              <w:rPr>
                <w:sz w:val="20"/>
                <w:szCs w:val="20"/>
                <w:color w:val="auto"/>
              </w:rPr>
            </w:pPr>
            <w:r>
              <w:rPr>
                <w:rFonts w:ascii="Calibri" w:cs="Calibri" w:eastAsia="Calibri" w:hAnsi="Calibri"/>
                <w:sz w:val="17"/>
                <w:szCs w:val="17"/>
                <w:color w:val="auto"/>
                <w:w w:val="97"/>
              </w:rPr>
              <w:t>1,306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line="205" w:lineRule="exact"/>
              <w:rPr>
                <w:sz w:val="20"/>
                <w:szCs w:val="20"/>
                <w:color w:val="auto"/>
              </w:rPr>
            </w:pPr>
            <w:r>
              <w:rPr>
                <w:rFonts w:ascii="Calibri" w:cs="Calibri" w:eastAsia="Calibri" w:hAnsi="Calibri"/>
                <w:sz w:val="17"/>
                <w:szCs w:val="17"/>
                <w:color w:val="auto"/>
              </w:rPr>
              <w:t>Net foreign exchange loss (gain)</w:t>
            </w:r>
          </w:p>
        </w:tc>
        <w:tc>
          <w:tcPr>
            <w:tcW w:w="780" w:type="dxa"/>
            <w:vAlign w:val="bottom"/>
            <w:shd w:val="clear" w:color="auto" w:fill="CCEEFF"/>
          </w:tcPr>
          <w:p>
            <w:pPr>
              <w:jc w:val="right"/>
              <w:ind w:right="601"/>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(3)</w:t>
            </w:r>
          </w:p>
        </w:tc>
        <w:tc>
          <w:tcPr>
            <w:tcW w:w="860" w:type="dxa"/>
            <w:vAlign w:val="bottom"/>
            <w:shd w:val="clear" w:color="auto" w:fill="CCEEFF"/>
          </w:tcPr>
          <w:p>
            <w:pPr>
              <w:jc w:val="right"/>
              <w:ind w:right="618"/>
              <w:spacing w:after="0" w:line="205" w:lineRule="exact"/>
              <w:rPr>
                <w:sz w:val="20"/>
                <w:szCs w:val="20"/>
                <w:color w:val="auto"/>
              </w:rPr>
            </w:pPr>
            <w:r>
              <w:rPr>
                <w:rFonts w:ascii="Calibri" w:cs="Calibri" w:eastAsia="Calibri" w:hAnsi="Calibri"/>
                <w:sz w:val="17"/>
                <w:szCs w:val="17"/>
                <w:color w:val="auto"/>
              </w:rPr>
              <w:t>$</w:t>
            </w:r>
          </w:p>
        </w:tc>
        <w:tc>
          <w:tcPr>
            <w:tcW w:w="44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1"/>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shd w:val="clear" w:color="auto" w:fill="CCEEFF"/>
          </w:tcPr>
          <w:p>
            <w:pPr>
              <w:jc w:val="right"/>
              <w:ind w:right="37"/>
              <w:spacing w:after="0" w:line="205" w:lineRule="exact"/>
              <w:rPr>
                <w:sz w:val="20"/>
                <w:szCs w:val="20"/>
                <w:color w:val="auto"/>
              </w:rPr>
            </w:pPr>
            <w:r>
              <w:rPr>
                <w:rFonts w:ascii="Calibri" w:cs="Calibri" w:eastAsia="Calibri" w:hAnsi="Calibri"/>
                <w:sz w:val="17"/>
                <w:szCs w:val="17"/>
                <w:color w:val="auto"/>
              </w:rPr>
              <w:t>2</w:t>
            </w:r>
          </w:p>
        </w:tc>
        <w:tc>
          <w:tcPr>
            <w:tcW w:w="840" w:type="dxa"/>
            <w:vAlign w:val="bottom"/>
            <w:shd w:val="clear" w:color="auto" w:fill="CCEEFF"/>
          </w:tcPr>
          <w:p>
            <w:pPr>
              <w:jc w:val="right"/>
              <w:ind w:right="598"/>
              <w:spacing w:after="0" w:line="205" w:lineRule="exact"/>
              <w:rPr>
                <w:sz w:val="20"/>
                <w:szCs w:val="20"/>
                <w:color w:val="auto"/>
              </w:rPr>
            </w:pPr>
            <w:r>
              <w:rPr>
                <w:rFonts w:ascii="Calibri" w:cs="Calibri" w:eastAsia="Calibri" w:hAnsi="Calibri"/>
                <w:sz w:val="17"/>
                <w:szCs w:val="17"/>
                <w:color w:val="auto"/>
              </w:rPr>
              <w:t>$</w:t>
            </w:r>
          </w:p>
        </w:tc>
        <w:tc>
          <w:tcPr>
            <w:tcW w:w="46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97</w:t>
            </w:r>
          </w:p>
        </w:tc>
        <w:tc>
          <w:tcPr>
            <w:tcW w:w="0" w:type="dxa"/>
            <w:vAlign w:val="bottom"/>
          </w:tcPr>
          <w:p>
            <w:pPr>
              <w:spacing w:after="0"/>
              <w:rPr>
                <w:sz w:val="1"/>
                <w:szCs w:val="1"/>
                <w:color w:val="auto"/>
              </w:rPr>
            </w:pPr>
          </w:p>
        </w:tc>
      </w:tr>
      <w:tr>
        <w:trPr>
          <w:trHeight w:val="212"/>
        </w:trPr>
        <w:tc>
          <w:tcPr>
            <w:tcW w:w="594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Other expense (income), net</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7"/>
              <w:spacing w:after="0" w:line="205" w:lineRule="exact"/>
              <w:rPr>
                <w:sz w:val="20"/>
                <w:szCs w:val="20"/>
                <w:color w:val="auto"/>
              </w:rPr>
            </w:pPr>
            <w:r>
              <w:rPr>
                <w:rFonts w:ascii="Calibri" w:cs="Calibri" w:eastAsia="Calibri" w:hAnsi="Calibri"/>
                <w:sz w:val="17"/>
                <w:szCs w:val="17"/>
                <w:color w:val="auto"/>
                <w:w w:val="97"/>
              </w:rPr>
              <w:t>1,159</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(95)</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7"/>
              <w:spacing w:after="0" w:line="205" w:lineRule="exact"/>
              <w:rPr>
                <w:sz w:val="20"/>
                <w:szCs w:val="20"/>
                <w:color w:val="auto"/>
              </w:rPr>
            </w:pPr>
            <w:r>
              <w:rPr>
                <w:rFonts w:ascii="Calibri" w:cs="Calibri" w:eastAsia="Calibri" w:hAnsi="Calibri"/>
                <w:sz w:val="17"/>
                <w:szCs w:val="17"/>
                <w:color w:val="auto"/>
                <w:w w:val="97"/>
              </w:rPr>
              <w:t>3,090</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7"/>
              </w:rPr>
              <w:t>3,121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Interest expense increased for the three and nine months ended September 30, 2024 compared to the prior year primarily due to the incremental interest associated with fnancing the ImmunoGen and Cerevel Therapeutcs acquisitons. See Note 8 to the Condensed Consolidated Financial Statements for additonal informaton related to debt issued to fnance the ImmunoGen and Cerevel Therapeutcs acquisitons.</w:t>
      </w:r>
    </w:p>
    <w:p>
      <w:pPr>
        <w:spacing w:after="0" w:line="130" w:lineRule="exact"/>
        <w:rPr>
          <w:sz w:val="20"/>
          <w:szCs w:val="20"/>
          <w:color w:val="auto"/>
        </w:rPr>
      </w:pPr>
    </w:p>
    <w:p>
      <w:pPr>
        <w:ind w:right="180"/>
        <w:spacing w:after="0" w:line="238" w:lineRule="auto"/>
        <w:rPr>
          <w:sz w:val="20"/>
          <w:szCs w:val="20"/>
          <w:color w:val="auto"/>
        </w:rPr>
      </w:pPr>
      <w:r>
        <w:rPr>
          <w:rFonts w:ascii="Calibri" w:cs="Calibri" w:eastAsia="Calibri" w:hAnsi="Calibri"/>
          <w:sz w:val="17"/>
          <w:szCs w:val="17"/>
          <w:color w:val="auto"/>
        </w:rPr>
        <w:t>Interest income decreased for the three months ended September 30, 2024 compared to the prior year primarily due to a lower average cash and cash equivalents balance. Interest income increased for the nine months ended September 30, 2024 compared to the prior year primarily due to a higher average cash and cash equivalents balance and the impact of higher interest rates.</w:t>
      </w:r>
    </w:p>
    <w:p>
      <w:pPr>
        <w:spacing w:after="0" w:line="143" w:lineRule="exact"/>
        <w:rPr>
          <w:sz w:val="20"/>
          <w:szCs w:val="20"/>
          <w:color w:val="auto"/>
        </w:rPr>
      </w:pPr>
    </w:p>
    <w:p>
      <w:pPr>
        <w:ind w:right="40"/>
        <w:spacing w:after="0" w:line="238" w:lineRule="auto"/>
        <w:rPr>
          <w:sz w:val="20"/>
          <w:szCs w:val="20"/>
          <w:color w:val="auto"/>
        </w:rPr>
      </w:pPr>
      <w:r>
        <w:rPr>
          <w:rFonts w:ascii="Calibri" w:cs="Calibri" w:eastAsia="Calibri" w:hAnsi="Calibri"/>
          <w:sz w:val="17"/>
          <w:szCs w:val="17"/>
          <w:color w:val="auto"/>
        </w:rPr>
        <w:t>Other expense (income), net included charges related to changes in fair value of contngent consideraton liabilites of $1.4 billion for the three months and $3.5 billion for the nine months ended September 30, 2024 and $8 million for the three months and $3.4 billion for the nine months ended September 30, 2023. The fair value of contngent consideraton liabilites is impacted by the passage of tme and multple other inputs, including the probability of success of achieving regulatory milestones, discount rates, the estmated amount of future sales of the acquired products and other market-based factors. For the three and nine months ended September 30, 2024, the change in fair value refected higher estmated Skyrizi sales and the passage of tme. For the three months ended September 30, 2024, the change in fair value also refected the impact of lower discount rates. For the three months ended September 30, 2023, the change in fair value refected the passage of tme ofset by higher discount rates. For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39</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1" w:name="page42"/>
    <w:bookmarkEnd w:id="41"/>
    <w:p>
      <w:pPr>
        <w:ind w:right="140"/>
        <w:spacing w:after="0" w:line="237" w:lineRule="auto"/>
        <w:rPr>
          <w:sz w:val="20"/>
          <w:szCs w:val="20"/>
          <w:color w:val="auto"/>
        </w:rPr>
      </w:pPr>
      <w:r>
        <w:rPr>
          <w:rFonts w:ascii="Calibri" w:cs="Calibri" w:eastAsia="Calibri" w:hAnsi="Calibri"/>
          <w:sz w:val="17"/>
          <w:szCs w:val="17"/>
          <w:color w:val="auto"/>
        </w:rPr>
        <w:t>ended September 30, 2023, the change in fair value refected higher Skyrizi sales driven by stronger market share uptake and the passage of tme, partally ofset by higher discount rates.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Income Tax Expense</w:t>
      </w:r>
    </w:p>
    <w:p>
      <w:pPr>
        <w:spacing w:after="0" w:line="143"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The efectve tax rate was 25% for the three months and 28% for the nine months ended September 30, 2024 compared to 9% for the three months and 20% for the nine months ended September 30, 2023. The efectve tax rate in each period difered from the U.S. statutory tax rate of 21% principally due to the impact of foreign operatons which refects the impact of lower income tax rates in locatons outside the United States, changes in fair value of contngent consideraton and business development actvites, including ImmunoGen and Cerevel Therapeutcs acquisiton-related costs. The increase in the efectve tax rate for the three months ended September 30, 2024 over the prior year was primarily due to changes in fair value of contngent consideraton, impact of foreign operatons and business development actvites. The increase in the efectve tax rate for the nine months ended September 30, 2024 over the prior year was primarily due to the impact of foreign operatons and business development actvites.</w:t>
      </w:r>
    </w:p>
    <w:p>
      <w:pPr>
        <w:spacing w:after="0" w:line="145"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color w:val="auto"/>
        </w:rPr>
        <w:t>Subsequent to September 30, 2024, the company was notfed that the administratve proceeding related to its U.S. federal income tax examinaton for certain tax years was substantally completed. Final resoluton of examinaton of such years may occur in the fourth quarter of 2024. The company antcipates that fnal resoluton will result in a decrease in the gross amount of unrecognized tax benefts on the condensed consolidated balance sheets and recogniton of an income tax beneft in the condensed consolidated statement of earnings, which could be material. The Company does not antcipate that such resoluton will have a signifcant impact on its cash fows.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FINANCIAL POSITION, LIQUIDITY AND CAPITAL RESOURCES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left="423"/>
              <w:spacing w:after="0"/>
              <w:rPr>
                <w:sz w:val="20"/>
                <w:szCs w:val="20"/>
                <w:color w:val="auto"/>
              </w:rPr>
            </w:pPr>
            <w:r>
              <w:rPr>
                <w:rFonts w:ascii="Calibri" w:cs="Calibri" w:eastAsia="Calibri" w:hAnsi="Calibri"/>
                <w:sz w:val="14"/>
                <w:szCs w:val="14"/>
                <w:b w:val="1"/>
                <w:bCs w:val="1"/>
                <w:color w:val="auto"/>
                <w:w w:val="97"/>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left="423"/>
              <w:spacing w:after="0" w:line="164" w:lineRule="exact"/>
              <w:rPr>
                <w:sz w:val="20"/>
                <w:szCs w:val="20"/>
                <w:color w:val="auto"/>
              </w:rPr>
            </w:pPr>
            <w:r>
              <w:rPr>
                <w:rFonts w:ascii="Calibri" w:cs="Calibri" w:eastAsia="Calibri" w:hAnsi="Calibri"/>
                <w:sz w:val="14"/>
                <w:szCs w:val="14"/>
                <w:b w:val="1"/>
                <w:bCs w:val="1"/>
                <w:color w:val="auto"/>
                <w:w w:val="98"/>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4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503"/>
              <w:spacing w:after="0" w:line="156"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3"/>
                <w:szCs w:val="13"/>
                <w:color w:val="auto"/>
              </w:rPr>
            </w:pPr>
          </w:p>
        </w:tc>
        <w:tc>
          <w:tcPr>
            <w:tcW w:w="820" w:type="dxa"/>
            <w:vAlign w:val="bottom"/>
          </w:tcPr>
          <w:p>
            <w:pPr>
              <w:jc w:val="right"/>
              <w:ind w:right="458"/>
              <w:spacing w:after="0" w:line="156" w:lineRule="exact"/>
              <w:rPr>
                <w:sz w:val="20"/>
                <w:szCs w:val="20"/>
                <w:color w:val="auto"/>
              </w:rPr>
            </w:pPr>
            <w:r>
              <w:rPr>
                <w:rFonts w:ascii="Calibri" w:cs="Calibri" w:eastAsia="Calibri" w:hAnsi="Calibri"/>
                <w:sz w:val="14"/>
                <w:szCs w:val="14"/>
                <w:b w:val="1"/>
                <w:bCs w:val="1"/>
                <w:color w:val="auto"/>
                <w:w w:val="91"/>
              </w:rPr>
              <w:t>2023</w:t>
            </w:r>
          </w:p>
        </w:tc>
        <w:tc>
          <w:tcPr>
            <w:tcW w:w="0" w:type="dxa"/>
            <w:vAlign w:val="bottom"/>
          </w:tcPr>
          <w:p>
            <w:pPr>
              <w:spacing w:after="0"/>
              <w:rPr>
                <w:sz w:val="1"/>
                <w:szCs w:val="1"/>
                <w:color w:val="auto"/>
              </w:rPr>
            </w:pPr>
          </w:p>
        </w:tc>
      </w:tr>
      <w:tr>
        <w:trPr>
          <w:trHeight w:val="30"/>
        </w:trPr>
        <w:tc>
          <w:tcPr>
            <w:tcW w:w="8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Cash fows provided by (used in):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Calibri" w:cs="Calibri" w:eastAsia="Calibri" w:hAnsi="Calibri"/>
                <w:sz w:val="17"/>
                <w:szCs w:val="17"/>
                <w:color w:val="auto"/>
              </w:rPr>
              <w:t>Operatng actvites</w:t>
            </w:r>
          </w:p>
        </w:tc>
        <w:tc>
          <w:tcPr>
            <w:tcW w:w="320" w:type="dxa"/>
            <w:vAlign w:val="bottom"/>
            <w:shd w:val="clear" w:color="auto" w:fill="CCEEFF"/>
          </w:tcPr>
          <w:p>
            <w:pPr>
              <w:jc w:val="right"/>
              <w:ind w:right="134"/>
              <w:spacing w:after="0"/>
              <w:rPr>
                <w:sz w:val="20"/>
                <w:szCs w:val="20"/>
                <w:color w:val="auto"/>
              </w:rPr>
            </w:pPr>
            <w:r>
              <w:rPr>
                <w:rFonts w:ascii="Calibri" w:cs="Calibri" w:eastAsia="Calibri" w:hAnsi="Calibri"/>
                <w:sz w:val="17"/>
                <w:szCs w:val="17"/>
                <w:color w:val="auto"/>
                <w:w w:val="92"/>
              </w:rPr>
              <w:t>$</w:t>
            </w:r>
          </w:p>
        </w:tc>
        <w:tc>
          <w:tcPr>
            <w:tcW w:w="1080" w:type="dxa"/>
            <w:vAlign w:val="bottom"/>
            <w:shd w:val="clear" w:color="auto" w:fill="CCEEFF"/>
          </w:tcPr>
          <w:p>
            <w:pPr>
              <w:jc w:val="right"/>
              <w:ind w:right="43"/>
              <w:spacing w:after="0"/>
              <w:rPr>
                <w:sz w:val="20"/>
                <w:szCs w:val="20"/>
                <w:color w:val="auto"/>
              </w:rPr>
            </w:pPr>
            <w:r>
              <w:rPr>
                <w:rFonts w:ascii="Calibri" w:cs="Calibri" w:eastAsia="Calibri" w:hAnsi="Calibri"/>
                <w:sz w:val="17"/>
                <w:szCs w:val="17"/>
                <w:color w:val="auto"/>
              </w:rPr>
              <w:t>11,758</w:t>
            </w:r>
          </w:p>
        </w:tc>
        <w:tc>
          <w:tcPr>
            <w:tcW w:w="580" w:type="dxa"/>
            <w:vAlign w:val="bottom"/>
            <w:shd w:val="clear" w:color="auto" w:fill="CCEEFF"/>
          </w:tcPr>
          <w:p>
            <w:pPr>
              <w:jc w:val="right"/>
              <w:ind w:right="334"/>
              <w:spacing w:after="0"/>
              <w:rPr>
                <w:sz w:val="20"/>
                <w:szCs w:val="20"/>
                <w:color w:val="auto"/>
              </w:rPr>
            </w:pPr>
            <w:r>
              <w:rPr>
                <w:rFonts w:ascii="Calibri" w:cs="Calibri" w:eastAsia="Calibri" w:hAnsi="Calibri"/>
                <w:sz w:val="17"/>
                <w:szCs w:val="17"/>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7"/>
                <w:szCs w:val="17"/>
                <w:color w:val="auto"/>
              </w:rPr>
              <w:t>18,086</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line="205" w:lineRule="exact"/>
              <w:rPr>
                <w:sz w:val="20"/>
                <w:szCs w:val="20"/>
                <w:color w:val="auto"/>
              </w:rPr>
            </w:pPr>
            <w:r>
              <w:rPr>
                <w:rFonts w:ascii="Calibri" w:cs="Calibri" w:eastAsia="Calibri" w:hAnsi="Calibri"/>
                <w:sz w:val="17"/>
                <w:szCs w:val="17"/>
                <w:color w:val="auto"/>
              </w:rPr>
              <w:t>Investng actvites</w:t>
            </w:r>
          </w:p>
        </w:tc>
        <w:tc>
          <w:tcPr>
            <w:tcW w:w="320" w:type="dxa"/>
            <w:vAlign w:val="bottom"/>
          </w:tcPr>
          <w:p>
            <w:pPr>
              <w:spacing w:after="0"/>
              <w:rPr>
                <w:sz w:val="18"/>
                <w:szCs w:val="18"/>
                <w:color w:val="auto"/>
              </w:rPr>
            </w:pPr>
          </w:p>
        </w:tc>
        <w:tc>
          <w:tcPr>
            <w:tcW w:w="1080" w:type="dxa"/>
            <w:vAlign w:val="bottom"/>
          </w:tcPr>
          <w:p>
            <w:pPr>
              <w:jc w:val="right"/>
              <w:ind w:right="3"/>
              <w:spacing w:after="0" w:line="205" w:lineRule="exact"/>
              <w:rPr>
                <w:sz w:val="20"/>
                <w:szCs w:val="20"/>
                <w:color w:val="auto"/>
              </w:rPr>
            </w:pPr>
            <w:r>
              <w:rPr>
                <w:rFonts w:ascii="Calibri" w:cs="Calibri" w:eastAsia="Calibri" w:hAnsi="Calibri"/>
                <w:sz w:val="17"/>
                <w:szCs w:val="17"/>
                <w:color w:val="auto"/>
              </w:rPr>
              <w:t>(18,946)</w:t>
            </w:r>
          </w:p>
        </w:tc>
        <w:tc>
          <w:tcPr>
            <w:tcW w:w="580" w:type="dxa"/>
            <w:vAlign w:val="bottom"/>
          </w:tcPr>
          <w:p>
            <w:pPr>
              <w:spacing w:after="0"/>
              <w:rPr>
                <w:sz w:val="18"/>
                <w:szCs w:val="18"/>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(1,209)</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7"/>
                <w:szCs w:val="17"/>
                <w:color w:val="auto"/>
              </w:rPr>
              <w:t>Financing actvites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Calibri" w:cs="Calibri" w:eastAsia="Calibri" w:hAnsi="Calibri"/>
                <w:sz w:val="17"/>
                <w:szCs w:val="17"/>
                <w:color w:val="auto"/>
              </w:rPr>
              <w:t>1,650</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7"/>
                <w:szCs w:val="17"/>
                <w:color w:val="auto"/>
              </w:rPr>
              <w:t>(12,773)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00"/>
        <w:spacing w:after="0" w:line="238" w:lineRule="auto"/>
        <w:rPr>
          <w:sz w:val="20"/>
          <w:szCs w:val="20"/>
          <w:color w:val="auto"/>
        </w:rPr>
      </w:pPr>
      <w:r>
        <w:rPr>
          <w:rFonts w:ascii="Calibri" w:cs="Calibri" w:eastAsia="Calibri" w:hAnsi="Calibri"/>
          <w:sz w:val="17"/>
          <w:szCs w:val="17"/>
          <w:color w:val="auto"/>
        </w:rPr>
        <w:t>Operatng cash fows for the nine months ended September 30, 2024 decreased compared to the prior year primarily due to the tming of working capital, higher contngent consideraton payments classifed as operatng cash fows and decreased results from operatons driven by ImmunoGen and Cerevel Therapeutcs acquisiton-related cash expenses.</w:t>
      </w:r>
    </w:p>
    <w:p>
      <w:pPr>
        <w:spacing w:after="0" w:line="130" w:lineRule="exact"/>
        <w:rPr>
          <w:sz w:val="20"/>
          <w:szCs w:val="20"/>
          <w:color w:val="auto"/>
        </w:rPr>
      </w:pPr>
    </w:p>
    <w:p>
      <w:pPr>
        <w:ind w:right="120"/>
        <w:spacing w:after="0" w:line="238" w:lineRule="auto"/>
        <w:rPr>
          <w:sz w:val="20"/>
          <w:szCs w:val="20"/>
          <w:color w:val="auto"/>
        </w:rPr>
      </w:pPr>
      <w:r>
        <w:rPr>
          <w:rFonts w:ascii="Calibri" w:cs="Calibri" w:eastAsia="Calibri" w:hAnsi="Calibri"/>
          <w:sz w:val="17"/>
          <w:szCs w:val="17"/>
          <w:color w:val="auto"/>
        </w:rPr>
        <w:t>Investng cash fows for the nine months ended September 30, 2024 included $18.5 billion cash consideraton paid to acquire ImmunoGen and Cerevel Therapeutcs ofset by cash acquired of $952 million, net sales and maturites of investment securites of $470 million, payments made for other acquisitons and investments of $1.2 billion and capital expenditures of $683 million. Investng cash fows for the nine months ended September 30, 2023 included payments made for other acquisitons and investments of $670 million and capital expenditures of $572 million.</w:t>
      </w:r>
    </w:p>
    <w:p>
      <w:pPr>
        <w:spacing w:after="0" w:line="144"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Financing cash fows for the nine months ended September 30, 2024 included the issuance of unsecured senior notes totaling $15.0 billion aggregate principal which were used to fnance the acquisitons of ImmunoGen and Cerevel Therapeutcs. Additonally, fnancing cash fows included the issuance and repayment of $5.0 billion under the term loan credit agreement and repayments of €1.5 billion aggregate principal amount of 1.38% senior euro notes, €700 million aggregate principal amount of 1.25% senior euro notes, $1.0 billion aggregate principal amount of 3.85% senior notes, $99 million of secured term notes assumed from ImmunoGen in conjuncton with the acquisiton and the setlement of $400 million aggregate amount of 2.5% convertble senior notes assumed from Cerevel Therapeutcs. Financing cash fows for the nine months ended September 30, 2023 included repayments of $1.0 billion foatng rate term loan, $1.0 billion aggregate principal amount of 2.85% senior notes and $350 million aggregate principal amount of the company’s 2.80% senior notes.</w:t>
      </w:r>
    </w:p>
    <w:p>
      <w:pPr>
        <w:spacing w:after="0" w:line="132" w:lineRule="exact"/>
        <w:rPr>
          <w:sz w:val="20"/>
          <w:szCs w:val="20"/>
          <w:color w:val="auto"/>
        </w:rPr>
      </w:pPr>
    </w:p>
    <w:p>
      <w:pPr>
        <w:ind w:right="300"/>
        <w:spacing w:after="0" w:line="222" w:lineRule="auto"/>
        <w:rPr>
          <w:sz w:val="20"/>
          <w:szCs w:val="20"/>
          <w:color w:val="auto"/>
        </w:rPr>
      </w:pPr>
      <w:r>
        <w:rPr>
          <w:rFonts w:ascii="Calibri" w:cs="Calibri" w:eastAsia="Calibri" w:hAnsi="Calibri"/>
          <w:sz w:val="17"/>
          <w:szCs w:val="17"/>
          <w:color w:val="auto"/>
        </w:rPr>
        <w:t>Subsequent to September 30, 2024, the company refnanced its $2.0 billion foatng rate three-year term loan. As part of the refnancing, the company repaid the existng $2.0 billion term loan due May 2025 and borrowed $2.0 billion under a new term loan due April 2027.</w:t>
      </w:r>
    </w:p>
    <w:p>
      <w:pPr>
        <w:spacing w:after="0" w:line="145" w:lineRule="exact"/>
        <w:rPr>
          <w:sz w:val="20"/>
          <w:szCs w:val="20"/>
          <w:color w:val="auto"/>
        </w:rPr>
      </w:pPr>
    </w:p>
    <w:p>
      <w:pPr>
        <w:ind w:right="60"/>
        <w:spacing w:after="0" w:line="237" w:lineRule="auto"/>
        <w:rPr>
          <w:sz w:val="20"/>
          <w:szCs w:val="20"/>
          <w:color w:val="auto"/>
        </w:rPr>
      </w:pPr>
      <w:r>
        <w:rPr>
          <w:rFonts w:ascii="Calibri" w:cs="Calibri" w:eastAsia="Calibri" w:hAnsi="Calibri"/>
          <w:sz w:val="17"/>
          <w:szCs w:val="17"/>
          <w:color w:val="auto"/>
        </w:rPr>
        <w:t>Financing cash fows also included cash dividend payments of $8.3 billion for the nine months ended September 30, 2024 and $7.9 billion for the nine months ended September 30, 2023. The increase in cash dividend payments was primarily driven by the increase in the quarterly dividend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375285</wp:posOffset>
            </wp:positionV>
            <wp:extent cx="491490" cy="901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40</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2" w:name="page43"/>
    <w:bookmarkEnd w:id="42"/>
    <w:p>
      <w:pPr>
        <w:ind w:right="20"/>
        <w:spacing w:after="0" w:line="238" w:lineRule="auto"/>
        <w:rPr>
          <w:sz w:val="20"/>
          <w:szCs w:val="20"/>
          <w:color w:val="auto"/>
        </w:rPr>
      </w:pPr>
      <w:r>
        <w:rPr>
          <w:rFonts w:ascii="Calibri" w:cs="Calibri" w:eastAsia="Calibri" w:hAnsi="Calibri"/>
          <w:sz w:val="17"/>
          <w:szCs w:val="17"/>
          <w:color w:val="auto"/>
        </w:rPr>
        <w:t>On September 6, 2024, the company announced that its board of directors declared a quarterly cash dividend of $1.55 per share for stockholders of record at the close of business on October 15, 2024, payable on November 15, 2024. On October 30, 2024, the board of directors declared an increase in the company’s quarterly dividend from $1.55 per share to $1.64 per share beginning with the dividend payable on February 14, 2025 to stockholders of record as of January 15, 2025. This refects an increase of approximately 5.8% over the previous quarterly rate. The tming, declaraton, amount of and payment of any dividends by AbbVie in the future is within the discreton of its board of directors and will depend upon many factors, including AbbVie’s fnancial conditon, earnings, capital requirements of its operatng subsidiaries, covenants associated with certain of AbbVie’s debt service obligatons, legal requirements, regulatory constraints, industry practce, ability to access capital markets and other factors deemed relevant by its board of directors.</w:t>
      </w:r>
    </w:p>
    <w:p>
      <w:pPr>
        <w:spacing w:after="0" w:line="132"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The company's stock repurchase authorizaton permits purchases of AbbVie shares from tme to tme in open-market or private transactons at management's discreton. The program has no tme limit and can be discontnued at any tme. On February 16, 2023, AbbVie’s board of directors authorized a $5.0 billion increase to the existng stock repurchase authorizaton. AbbVie repurchased 5 million shares for $959 million during the nine months ended September 30, 2024 and 10 million shares for $1.6 billion during the nine months ended September 30, 2023.</w:t>
      </w:r>
    </w:p>
    <w:p>
      <w:pPr>
        <w:spacing w:after="0" w:line="144" w:lineRule="exact"/>
        <w:rPr>
          <w:sz w:val="20"/>
          <w:szCs w:val="20"/>
          <w:color w:val="auto"/>
        </w:rPr>
      </w:pPr>
    </w:p>
    <w:p>
      <w:pPr>
        <w:ind w:right="320"/>
        <w:spacing w:after="0" w:line="237" w:lineRule="auto"/>
        <w:rPr>
          <w:sz w:val="20"/>
          <w:szCs w:val="20"/>
          <w:color w:val="auto"/>
        </w:rPr>
      </w:pPr>
      <w:r>
        <w:rPr>
          <w:rFonts w:ascii="Calibri" w:cs="Calibri" w:eastAsia="Calibri" w:hAnsi="Calibri"/>
          <w:sz w:val="17"/>
          <w:szCs w:val="17"/>
          <w:color w:val="auto"/>
        </w:rPr>
        <w:t>Financing cash fows also included contngent consideraton payments of $735 million for the nine months ended September 30, 2023. There were no contngent consideraton payments classifed as fnancing cash fows for the nine months ended September 30, 2024.</w:t>
      </w:r>
    </w:p>
    <w:p>
      <w:pPr>
        <w:spacing w:after="0" w:line="145" w:lineRule="exact"/>
        <w:rPr>
          <w:sz w:val="20"/>
          <w:szCs w:val="20"/>
          <w:color w:val="auto"/>
        </w:rPr>
      </w:pPr>
    </w:p>
    <w:p>
      <w:pPr>
        <w:ind w:right="480"/>
        <w:spacing w:after="0" w:line="238" w:lineRule="auto"/>
        <w:rPr>
          <w:sz w:val="20"/>
          <w:szCs w:val="20"/>
          <w:color w:val="auto"/>
        </w:rPr>
      </w:pPr>
      <w:r>
        <w:rPr>
          <w:rFonts w:ascii="Calibri" w:cs="Calibri" w:eastAsia="Calibri" w:hAnsi="Calibri"/>
          <w:sz w:val="17"/>
          <w:szCs w:val="17"/>
          <w:color w:val="auto"/>
        </w:rPr>
        <w:t>During the nine months ended September 30, 2024, the company issued and redeemed $1.7 billion of commercial paper. There were no commercial paper borrowings outstanding as of September 30, 2024 and December 31, 2023. AbbVie may issue additonal commercial paper or retre commercial paper to meet liquidity requirements as needed.</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Credit Risk</w:t>
      </w:r>
    </w:p>
    <w:p>
      <w:pPr>
        <w:spacing w:after="0" w:line="143" w:lineRule="exact"/>
        <w:rPr>
          <w:sz w:val="20"/>
          <w:szCs w:val="20"/>
          <w:color w:val="auto"/>
        </w:rPr>
      </w:pPr>
    </w:p>
    <w:p>
      <w:pPr>
        <w:jc w:val="both"/>
        <w:ind w:right="120"/>
        <w:spacing w:after="0" w:line="253" w:lineRule="auto"/>
        <w:rPr>
          <w:sz w:val="20"/>
          <w:szCs w:val="20"/>
          <w:color w:val="auto"/>
        </w:rPr>
      </w:pPr>
      <w:r>
        <w:rPr>
          <w:rFonts w:ascii="Calibri" w:cs="Calibri" w:eastAsia="Calibri" w:hAnsi="Calibri"/>
          <w:sz w:val="16"/>
          <w:szCs w:val="16"/>
          <w:color w:val="auto"/>
        </w:rPr>
        <w:t>AbbVie monitors economic conditons, the creditworthiness of customers and government regulatons and funding, both domestcally and abroad. AbbVie regularly communicates with its customers regarding the status of receivable balances, including their payment plans and obtains positve confrmaton of the validity of the receivables. AbbVie establishes an allowance for credit losses equal to the estmate of future losses over the contractual life of outstanding accounts receivable.</w:t>
      </w:r>
    </w:p>
    <w:p>
      <w:pPr>
        <w:spacing w:after="0" w:line="1" w:lineRule="exact"/>
        <w:rPr>
          <w:sz w:val="20"/>
          <w:szCs w:val="20"/>
          <w:color w:val="auto"/>
        </w:rPr>
      </w:pPr>
    </w:p>
    <w:p>
      <w:pPr>
        <w:ind w:right="60"/>
        <w:spacing w:after="0" w:line="237" w:lineRule="auto"/>
        <w:rPr>
          <w:sz w:val="20"/>
          <w:szCs w:val="20"/>
          <w:color w:val="auto"/>
        </w:rPr>
      </w:pPr>
      <w:r>
        <w:rPr>
          <w:rFonts w:ascii="Calibri" w:cs="Calibri" w:eastAsia="Calibri" w:hAnsi="Calibri"/>
          <w:sz w:val="17"/>
          <w:szCs w:val="17"/>
          <w:color w:val="auto"/>
        </w:rPr>
        <w:t>AbbVie may also utlize factoring arrangements to mitgate credit risk, although the receivables included in such arrangements have historically not been a signifcant amount of total outstanding receivables.</w:t>
      </w:r>
    </w:p>
    <w:p>
      <w:pPr>
        <w:spacing w:after="0" w:line="1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Credit Facility, Access to Capital and Credit Ratngs</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Credit Facility</w:t>
      </w:r>
    </w:p>
    <w:p>
      <w:pPr>
        <w:spacing w:after="0" w:line="143" w:lineRule="exact"/>
        <w:rPr>
          <w:sz w:val="20"/>
          <w:szCs w:val="20"/>
          <w:color w:val="auto"/>
        </w:rPr>
      </w:pPr>
    </w:p>
    <w:p>
      <w:pPr>
        <w:jc w:val="both"/>
        <w:ind w:right="80"/>
        <w:spacing w:after="0" w:line="259" w:lineRule="auto"/>
        <w:rPr>
          <w:sz w:val="20"/>
          <w:szCs w:val="20"/>
          <w:color w:val="auto"/>
        </w:rPr>
      </w:pPr>
      <w:r>
        <w:rPr>
          <w:rFonts w:ascii="Calibri" w:cs="Calibri" w:eastAsia="Calibri" w:hAnsi="Calibri"/>
          <w:sz w:val="16"/>
          <w:szCs w:val="16"/>
          <w:color w:val="auto"/>
        </w:rPr>
        <w:t>In December 2023, in connecton with the acquisitons of ImmunoGen and Cerevel Therapeutcs, AbbVie entered into a $9.0 billion 364-day bridge credit agreement and $5.0 billion 364-day term loan credit agreement. In February, 2024, AbbVie borrowed and repaid $5.0 billion under the term loan credit agreement. Subsequent to the $15.0 billion issuance of senior notes, AbbVie terminated both the bridge and term loan credit agreements in the frst quarter of 2024.</w:t>
      </w:r>
    </w:p>
    <w:p>
      <w:pPr>
        <w:spacing w:after="0" w:line="128" w:lineRule="exact"/>
        <w:rPr>
          <w:sz w:val="20"/>
          <w:szCs w:val="20"/>
          <w:color w:val="auto"/>
        </w:rPr>
      </w:pPr>
    </w:p>
    <w:p>
      <w:pPr>
        <w:ind w:right="200"/>
        <w:spacing w:after="0" w:line="238" w:lineRule="auto"/>
        <w:rPr>
          <w:sz w:val="20"/>
          <w:szCs w:val="20"/>
          <w:color w:val="auto"/>
        </w:rPr>
      </w:pPr>
      <w:r>
        <w:rPr>
          <w:rFonts w:ascii="Calibri" w:cs="Calibri" w:eastAsia="Calibri" w:hAnsi="Calibri"/>
          <w:sz w:val="17"/>
          <w:szCs w:val="17"/>
          <w:color w:val="auto"/>
        </w:rPr>
        <w:t>In March 2023, AbbVie entered into an amended and restated fve-year revolving credit facility. The amendment increased the unsecured revolving credit facility commitments from $4.0 billion to $5.0 billion and extended the maturity date of the facility from August 2023 to March 2028. This credit facility enables the company to borrow funds on an unsecured basis at variable interest rates and contains various covenants. At September 30, 2024, the company was in compliance with all covenants, and commitment fees under the credit facility were insignifcant. No amounts were outstanding under the company's credit facility as of September 30, 2024 and December 31, 2023.</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Access to Capital</w:t>
      </w:r>
    </w:p>
    <w:p>
      <w:pPr>
        <w:spacing w:after="0" w:line="143" w:lineRule="exact"/>
        <w:rPr>
          <w:sz w:val="20"/>
          <w:szCs w:val="20"/>
          <w:color w:val="auto"/>
        </w:rPr>
      </w:pPr>
    </w:p>
    <w:p>
      <w:pPr>
        <w:ind w:right="200"/>
        <w:spacing w:after="0" w:line="238" w:lineRule="auto"/>
        <w:rPr>
          <w:sz w:val="20"/>
          <w:szCs w:val="20"/>
          <w:color w:val="auto"/>
        </w:rPr>
      </w:pPr>
      <w:r>
        <w:rPr>
          <w:rFonts w:ascii="Calibri" w:cs="Calibri" w:eastAsia="Calibri" w:hAnsi="Calibri"/>
          <w:sz w:val="17"/>
          <w:szCs w:val="17"/>
          <w:color w:val="auto"/>
        </w:rPr>
        <w:t>The company intends to fund short-term and long-term fnancial obligatons as they mature through cash on hand, future cash fows from operatons or has the ability to issue additonal debt. The company’s ability to generate cash fows from operatons, issue debt or enter into fnancing arrangements on acceptable terms could be adversely afected if there is a material decline in the demand for the company’s products or in the solvency of its customers or suppliers, deterioraton in the company’s key fnancial ratos or credit ratngs or other material unfavorable changes in business conditons. At the current tme, the company believes it has sufcient fnancial fexibility to issue debt, enter into other fnancing arrangements and atract long-term capital on acceptable terms to support the company’s growth objectves.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41</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43" w:name="page44"/>
    <w:bookmarkEnd w:id="43"/>
    <w:p>
      <w:pPr>
        <w:spacing w:after="0"/>
        <w:rPr>
          <w:sz w:val="20"/>
          <w:szCs w:val="20"/>
          <w:color w:val="auto"/>
        </w:rPr>
      </w:pPr>
      <w:r>
        <w:rPr>
          <w:rFonts w:ascii="Calibri" w:cs="Calibri" w:eastAsia="Calibri" w:hAnsi="Calibri"/>
          <w:sz w:val="17"/>
          <w:szCs w:val="17"/>
          <w:i w:val="1"/>
          <w:iCs w:val="1"/>
          <w:color w:val="auto"/>
        </w:rPr>
        <w:t>Credit Ratngs</w:t>
      </w:r>
    </w:p>
    <w:p>
      <w:pPr>
        <w:spacing w:after="0" w:line="130" w:lineRule="exact"/>
        <w:rPr>
          <w:sz w:val="20"/>
          <w:szCs w:val="20"/>
          <w:color w:val="auto"/>
        </w:rPr>
      </w:pPr>
    </w:p>
    <w:p>
      <w:pPr>
        <w:ind w:right="320"/>
        <w:spacing w:after="0" w:line="238" w:lineRule="auto"/>
        <w:rPr>
          <w:sz w:val="20"/>
          <w:szCs w:val="20"/>
          <w:color w:val="auto"/>
        </w:rPr>
      </w:pPr>
      <w:r>
        <w:rPr>
          <w:rFonts w:ascii="Calibri" w:cs="Calibri" w:eastAsia="Calibri" w:hAnsi="Calibri"/>
          <w:sz w:val="17"/>
          <w:szCs w:val="17"/>
          <w:color w:val="auto"/>
        </w:rPr>
        <w:t>In August 2024, Moody’s Investors Service (Moody’s) afrmed its A3 senior unsecured long-term ratng. At the same tme, Moody’s revised its outlook to positve from stable. There were no other changes in the company’s credit ratngs during the nine months ended September 30, 2024. Unfavorable changes to the ratngs may have an adverse impact on future fnancing arrangements; however, they would not afect the company’s ability to draw on its credit facility and would not result in an acceleraton of scheduled maturites of any of the company’s outstanding debt.</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CRITICAL ACCOUNTING POLICIES</w:t>
      </w:r>
    </w:p>
    <w:p>
      <w:pPr>
        <w:spacing w:after="0" w:line="143" w:lineRule="exact"/>
        <w:rPr>
          <w:sz w:val="20"/>
          <w:szCs w:val="20"/>
          <w:color w:val="auto"/>
        </w:rPr>
      </w:pPr>
    </w:p>
    <w:p>
      <w:pPr>
        <w:ind w:right="200"/>
        <w:spacing w:after="0" w:line="238" w:lineRule="auto"/>
        <w:rPr>
          <w:sz w:val="20"/>
          <w:szCs w:val="20"/>
          <w:color w:val="auto"/>
        </w:rPr>
      </w:pPr>
      <w:r>
        <w:rPr>
          <w:rFonts w:ascii="Calibri" w:cs="Calibri" w:eastAsia="Calibri" w:hAnsi="Calibri"/>
          <w:sz w:val="17"/>
          <w:szCs w:val="17"/>
          <w:color w:val="auto"/>
        </w:rPr>
        <w:t>A summary of the company’s signifcant accountng policies is included in Note 2, “Summary of Signifcant Accountng Policies” in AbbVie's Annual Report on Form 10-K for the year ended December 31, 2023. There have been no signifcant changes in the company’s applicaton of its critcal accountng policies during the nine months ended September 30, 2024.</w:t>
      </w:r>
    </w:p>
    <w:p>
      <w:pPr>
        <w:spacing w:after="0" w:line="1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FORWARD-LOOKING STATEMENTS</w:t>
      </w:r>
    </w:p>
    <w:p>
      <w:pPr>
        <w:spacing w:after="0" w:line="143" w:lineRule="exact"/>
        <w:rPr>
          <w:sz w:val="20"/>
          <w:szCs w:val="20"/>
          <w:color w:val="auto"/>
        </w:rPr>
      </w:pPr>
    </w:p>
    <w:p>
      <w:pPr>
        <w:ind w:right="60"/>
        <w:spacing w:after="0" w:line="238" w:lineRule="auto"/>
        <w:rPr>
          <w:sz w:val="20"/>
          <w:szCs w:val="20"/>
          <w:color w:val="auto"/>
        </w:rPr>
      </w:pPr>
      <w:r>
        <w:rPr>
          <w:rFonts w:ascii="Calibri" w:cs="Calibri" w:eastAsia="Calibri" w:hAnsi="Calibri"/>
          <w:sz w:val="17"/>
          <w:szCs w:val="17"/>
          <w:color w:val="auto"/>
        </w:rPr>
        <w:t>Some statements in this quarterly report on Form 10-Q are, or may be considered, forward-looking statements for purposes of the Private Securites Litgaton Reform Act of 1995. The words “believe,” “expect,” “antcipate,” “project,” and similar expressions and uses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in AbbVie’s Annual Report on Form 10-K for the year ended December 31, 2023, which has been fled with the Securites and Exchange Commission. AbbVie notes these factors for investors as permited by the Private Securites Litgaton Reform Act of 1995. AbbVie undertakes no obligaton, and specifcally declines, to release publicly any revisions to forward-looking statements as a result of subsequent events or developments, except as required by law.</w:t>
      </w:r>
    </w:p>
    <w:p>
      <w:pPr>
        <w:spacing w:after="0" w:line="193"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83"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For a discussion of the company's market risk, see Item 7A, "Quanttatve and Qualitatve Disclosures About Market Risk" in AbbVie's Annual Report on Form 10-K for the year ended December 31, 2023.</w:t>
      </w:r>
    </w:p>
    <w:p>
      <w:pPr>
        <w:spacing w:after="0" w:line="19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DISCLOSURE CONTROLS AND PROCEDURES</w:t>
      </w:r>
    </w:p>
    <w:p>
      <w:pPr>
        <w:spacing w:after="0" w:line="143"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b w:val="1"/>
          <w:bCs w:val="1"/>
          <w:color w:val="auto"/>
        </w:rPr>
        <w:t xml:space="preserve">Evaluaton of disclosure controls and procedures. </w:t>
      </w:r>
      <w:r>
        <w:rPr>
          <w:rFonts w:ascii="Calibri" w:cs="Calibri" w:eastAsia="Calibri" w:hAnsi="Calibri"/>
          <w:sz w:val="17"/>
          <w:szCs w:val="17"/>
          <w:color w:val="auto"/>
        </w:rPr>
        <w:t>The Chief Executve Ofcer, Robert A. Michael, and the Chief Financial Ofcer, Scot T. Reents, evaluated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efectveness of AbbVie's disclosure controls and procedures as of the end of the period covered by this report, and concluded that AbbVie's disclosure controls and procedures were efectve to ensure that informaton AbbVie is required to disclose in the reports that it fles or submits with the Securites and Exchange Commission under the Securites Exchange Act of 1934 is recorded, processed, summarized and reported, within the tme periods specifed in the Commission's rules and forms, and to ensure that informaton required to be disclosed by AbbVie in the reports that it fles or submits under the Securites Exchange Act of 1934 is accumulated and communicated to AbbVie's management, including its principal executve ofcer and principal fnancial ofcer, as appropriate to allow tmely decisions regarding required disclosure.</w:t>
      </w:r>
    </w:p>
    <w:p>
      <w:pPr>
        <w:spacing w:after="0" w:line="14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INTERNAL CONTROL OVER FINANCIAL REPORTING</w:t>
      </w:r>
    </w:p>
    <w:p>
      <w:pPr>
        <w:spacing w:after="0" w:line="130" w:lineRule="exact"/>
        <w:rPr>
          <w:sz w:val="20"/>
          <w:szCs w:val="20"/>
          <w:color w:val="auto"/>
        </w:rPr>
      </w:pPr>
    </w:p>
    <w:p>
      <w:pPr>
        <w:ind w:right="140"/>
        <w:spacing w:after="0" w:line="238" w:lineRule="auto"/>
        <w:rPr>
          <w:sz w:val="20"/>
          <w:szCs w:val="20"/>
          <w:color w:val="auto"/>
        </w:rPr>
      </w:pPr>
      <w:r>
        <w:rPr>
          <w:rFonts w:ascii="Calibri" w:cs="Calibri" w:eastAsia="Calibri" w:hAnsi="Calibri"/>
          <w:sz w:val="17"/>
          <w:szCs w:val="17"/>
          <w:b w:val="1"/>
          <w:bCs w:val="1"/>
          <w:color w:val="auto"/>
        </w:rPr>
        <w:t xml:space="preserve">Changes in internal control over fnancial reportng. </w:t>
      </w:r>
      <w:r>
        <w:rPr>
          <w:rFonts w:ascii="Calibri" w:cs="Calibri" w:eastAsia="Calibri" w:hAnsi="Calibri"/>
          <w:sz w:val="17"/>
          <w:szCs w:val="17"/>
          <w:color w:val="auto"/>
        </w:rPr>
        <w:t>There were no changes in AbbVie's internal control over fnancial reportng (as defned in Rule 13a-15(f) under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Securites Exchange Act of 1934) that have materially afected, or are reasonably likely to materially afect, AbbVie's internal control over fnancial reportng during the quarter ended September 30, 2024.</w:t>
      </w:r>
    </w:p>
    <w:p>
      <w:pPr>
        <w:spacing w:after="0" w:line="143" w:lineRule="exact"/>
        <w:rPr>
          <w:sz w:val="20"/>
          <w:szCs w:val="20"/>
          <w:color w:val="auto"/>
        </w:rPr>
      </w:pPr>
    </w:p>
    <w:p>
      <w:pPr>
        <w:ind w:right="160"/>
        <w:spacing w:after="0" w:line="238" w:lineRule="auto"/>
        <w:rPr>
          <w:sz w:val="20"/>
          <w:szCs w:val="20"/>
          <w:color w:val="auto"/>
        </w:rPr>
      </w:pPr>
      <w:r>
        <w:rPr>
          <w:rFonts w:ascii="Calibri" w:cs="Calibri" w:eastAsia="Calibri" w:hAnsi="Calibri"/>
          <w:sz w:val="17"/>
          <w:szCs w:val="17"/>
          <w:b w:val="1"/>
          <w:bCs w:val="1"/>
          <w:color w:val="auto"/>
        </w:rPr>
        <w:t xml:space="preserve">Inherent Limitatons on Efectveness of Controls. </w:t>
      </w:r>
      <w:r>
        <w:rPr>
          <w:rFonts w:ascii="Calibri" w:cs="Calibri" w:eastAsia="Calibri" w:hAnsi="Calibri"/>
          <w:sz w:val="17"/>
          <w:szCs w:val="17"/>
          <w:color w:val="auto"/>
        </w:rPr>
        <w:t>AbbVie’s management, including its Chief Executve Ofcer and its Chief Financial Ofcer, do not expect that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AbbVie’s disclosure controls or internal control over fnancial reportng will prevent or detect all errors and all fraud. A control system, no mater how well designed and operated, can provide only reasonable, not absolute, assurance that the control system’s objectves will be met. The design of a control system must refect the fact that there are resource constraints, and the benefts of controls must be considered relatve to their costs. Further, because of the inherent limitatons in all control systems, no evaluaton of controls can provide absolute assurance that misstatements due to error or fraud will not occur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465455</wp:posOffset>
            </wp:positionV>
            <wp:extent cx="491490" cy="901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42</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4" w:name="page45"/>
    <w:bookmarkEnd w:id="44"/>
    <w:p>
      <w:pPr>
        <w:ind w:right="180"/>
        <w:spacing w:after="0" w:line="238" w:lineRule="auto"/>
        <w:rPr>
          <w:sz w:val="20"/>
          <w:szCs w:val="20"/>
          <w:color w:val="auto"/>
        </w:rPr>
      </w:pPr>
      <w:r>
        <w:rPr>
          <w:rFonts w:ascii="Calibri" w:cs="Calibri" w:eastAsia="Calibri" w:hAnsi="Calibri"/>
          <w:sz w:val="17"/>
          <w:szCs w:val="17"/>
          <w:color w:val="auto"/>
        </w:rPr>
        <w:t>that all control issues and instances of fraud, if any, have been detected. These inherent limitatons include the realites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3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7"/>
          <w:szCs w:val="17"/>
          <w:color w:val="auto"/>
        </w:rPr>
        <w:t>The design of any system of controls is based in part on certain assumptons about the likelihood of future events, and there can be no assurance that any design will succeed in achieving its stated goals under all potental future conditons. Projectons of any evaluaton of controls efectveness to future periods are subject to risks. Over tme, controls may become inadequate because of changes in conditons or deterioraton in the degree of compliance with policies or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464820</wp:posOffset>
            </wp:positionV>
            <wp:extent cx="491490" cy="901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43</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5" w:name="page46"/>
    <w:bookmarkEnd w:id="45"/>
    <w:p>
      <w:pPr>
        <w:spacing w:after="0"/>
        <w:rPr>
          <w:sz w:val="20"/>
          <w:szCs w:val="20"/>
          <w:color w:val="auto"/>
        </w:rPr>
      </w:pPr>
      <w:r>
        <w:rPr>
          <w:rFonts w:ascii="Calibri" w:cs="Calibri" w:eastAsia="Calibri" w:hAnsi="Calibri"/>
          <w:sz w:val="21"/>
          <w:szCs w:val="21"/>
          <w:b w:val="1"/>
          <w:bCs w:val="1"/>
          <w:color w:val="444867"/>
        </w:rPr>
        <w:t>PART II. OTHER INFORMATION</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Calibri" w:cs="Calibri" w:eastAsia="Calibri" w:hAnsi="Calibri"/>
          <w:sz w:val="17"/>
          <w:szCs w:val="17"/>
          <w:color w:val="auto"/>
        </w:rPr>
        <w:t>Informaton pertaining to legal proceedings is provided in Note 12 to the Condensed Consolidated Financial Statements and is incorporated by reference herein.</w:t>
      </w:r>
    </w:p>
    <w:p>
      <w:pPr>
        <w:spacing w:after="0" w:line="19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720" w:hanging="214"/>
        <w:spacing w:after="0"/>
        <w:tabs>
          <w:tab w:leader="none" w:pos="720" w:val="left"/>
        </w:tabs>
        <w:numPr>
          <w:ilvl w:val="0"/>
          <w:numId w:val="22"/>
        </w:numPr>
        <w:rPr>
          <w:rFonts w:ascii="Calibri" w:cs="Calibri" w:eastAsia="Calibri" w:hAnsi="Calibri"/>
          <w:sz w:val="17"/>
          <w:szCs w:val="17"/>
          <w:color w:val="auto"/>
        </w:rPr>
      </w:pPr>
      <w:r>
        <w:rPr>
          <w:rFonts w:ascii="Calibri" w:cs="Calibri" w:eastAsia="Calibri" w:hAnsi="Calibri"/>
          <w:sz w:val="17"/>
          <w:szCs w:val="17"/>
          <w:i w:val="1"/>
          <w:iCs w:val="1"/>
          <w:color w:val="auto"/>
        </w:rPr>
        <w:t>Issuer Purchases of Equity Securites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tcPr>
          <w:p>
            <w:pPr>
              <w:jc w:val="center"/>
              <w:ind w:right="246"/>
              <w:spacing w:after="0"/>
              <w:rPr>
                <w:sz w:val="20"/>
                <w:szCs w:val="20"/>
                <w:color w:val="auto"/>
              </w:rPr>
            </w:pPr>
            <w:r>
              <w:rPr>
                <w:rFonts w:ascii="Calibri" w:cs="Calibri" w:eastAsia="Calibri" w:hAnsi="Calibri"/>
                <w:sz w:val="14"/>
                <w:szCs w:val="14"/>
                <w:b w:val="1"/>
                <w:bCs w:val="1"/>
                <w:color w:val="auto"/>
                <w:w w:val="99"/>
              </w:rPr>
              <w:t>(d) Maximum</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jc w:val="center"/>
              <w:ind w:right="246"/>
              <w:spacing w:after="0" w:line="141" w:lineRule="exact"/>
              <w:rPr>
                <w:sz w:val="20"/>
                <w:szCs w:val="20"/>
                <w:color w:val="auto"/>
              </w:rPr>
            </w:pPr>
            <w:r>
              <w:rPr>
                <w:rFonts w:ascii="Calibri" w:cs="Calibri" w:eastAsia="Calibri" w:hAnsi="Calibri"/>
                <w:sz w:val="14"/>
                <w:szCs w:val="14"/>
                <w:b w:val="1"/>
                <w:bCs w:val="1"/>
                <w:color w:val="auto"/>
                <w:w w:val="97"/>
              </w:rPr>
              <w:t>Number (or</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20" w:type="dxa"/>
            <w:vAlign w:val="bottom"/>
          </w:tcPr>
          <w:p>
            <w:pPr>
              <w:jc w:val="center"/>
              <w:ind w:right="246"/>
              <w:spacing w:after="0" w:line="129" w:lineRule="exact"/>
              <w:rPr>
                <w:sz w:val="20"/>
                <w:szCs w:val="20"/>
                <w:color w:val="auto"/>
              </w:rPr>
            </w:pPr>
            <w:r>
              <w:rPr>
                <w:rFonts w:ascii="Calibri" w:cs="Calibri" w:eastAsia="Calibri" w:hAnsi="Calibri"/>
                <w:sz w:val="14"/>
                <w:szCs w:val="14"/>
                <w:b w:val="1"/>
                <w:bCs w:val="1"/>
                <w:color w:val="auto"/>
                <w:w w:val="97"/>
              </w:rPr>
              <w:t>Approximate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60" w:type="dxa"/>
            <w:vAlign w:val="bottom"/>
          </w:tcPr>
          <w:p>
            <w:pPr>
              <w:jc w:val="center"/>
              <w:ind w:left="151"/>
              <w:spacing w:after="0" w:line="142" w:lineRule="exact"/>
              <w:rPr>
                <w:sz w:val="20"/>
                <w:szCs w:val="20"/>
                <w:color w:val="auto"/>
              </w:rPr>
            </w:pPr>
            <w:r>
              <w:rPr>
                <w:rFonts w:ascii="Calibri" w:cs="Calibri" w:eastAsia="Calibri" w:hAnsi="Calibri"/>
                <w:sz w:val="14"/>
                <w:szCs w:val="14"/>
                <w:b w:val="1"/>
                <w:bCs w:val="1"/>
                <w:color w:val="auto"/>
                <w:w w:val="97"/>
              </w:rPr>
              <w:t>(c) Total Number</w:t>
            </w:r>
          </w:p>
        </w:tc>
        <w:tc>
          <w:tcPr>
            <w:tcW w:w="540" w:type="dxa"/>
            <w:vAlign w:val="bottom"/>
          </w:tcPr>
          <w:p>
            <w:pPr>
              <w:spacing w:after="0"/>
              <w:rPr>
                <w:sz w:val="12"/>
                <w:szCs w:val="12"/>
                <w:color w:val="auto"/>
              </w:rPr>
            </w:pPr>
          </w:p>
        </w:tc>
        <w:tc>
          <w:tcPr>
            <w:tcW w:w="2020" w:type="dxa"/>
            <w:vAlign w:val="bottom"/>
          </w:tcPr>
          <w:p>
            <w:pPr>
              <w:jc w:val="center"/>
              <w:ind w:right="246"/>
              <w:spacing w:after="0" w:line="142" w:lineRule="exact"/>
              <w:rPr>
                <w:sz w:val="20"/>
                <w:szCs w:val="20"/>
                <w:color w:val="auto"/>
              </w:rPr>
            </w:pPr>
            <w:r>
              <w:rPr>
                <w:rFonts w:ascii="Calibri" w:cs="Calibri" w:eastAsia="Calibri" w:hAnsi="Calibri"/>
                <w:sz w:val="14"/>
                <w:szCs w:val="14"/>
                <w:b w:val="1"/>
                <w:bCs w:val="1"/>
                <w:color w:val="auto"/>
                <w:w w:val="98"/>
              </w:rPr>
              <w:t>Dollar Value) of</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120" w:type="dxa"/>
            <w:vAlign w:val="bottom"/>
          </w:tcPr>
          <w:p>
            <w:pPr>
              <w:jc w:val="center"/>
              <w:ind w:left="32"/>
              <w:spacing w:after="0" w:line="142" w:lineRule="exact"/>
              <w:rPr>
                <w:sz w:val="20"/>
                <w:szCs w:val="20"/>
                <w:color w:val="auto"/>
              </w:rPr>
            </w:pPr>
            <w:r>
              <w:rPr>
                <w:rFonts w:ascii="Calibri" w:cs="Calibri" w:eastAsia="Calibri" w:hAnsi="Calibri"/>
                <w:sz w:val="14"/>
                <w:szCs w:val="14"/>
                <w:b w:val="1"/>
                <w:bCs w:val="1"/>
                <w:color w:val="auto"/>
                <w:w w:val="94"/>
              </w:rPr>
              <w:t>(a) Total</w:t>
            </w:r>
          </w:p>
        </w:tc>
        <w:tc>
          <w:tcPr>
            <w:tcW w:w="1680" w:type="dxa"/>
            <w:vAlign w:val="bottom"/>
            <w:vMerge w:val="restart"/>
          </w:tcPr>
          <w:p>
            <w:pPr>
              <w:jc w:val="center"/>
              <w:ind w:right="363"/>
              <w:spacing w:after="0"/>
              <w:rPr>
                <w:sz w:val="20"/>
                <w:szCs w:val="20"/>
                <w:color w:val="auto"/>
              </w:rPr>
            </w:pPr>
            <w:r>
              <w:rPr>
                <w:rFonts w:ascii="Calibri" w:cs="Calibri" w:eastAsia="Calibri" w:hAnsi="Calibri"/>
                <w:sz w:val="14"/>
                <w:szCs w:val="14"/>
                <w:b w:val="1"/>
                <w:bCs w:val="1"/>
                <w:color w:val="auto"/>
                <w:w w:val="95"/>
              </w:rPr>
              <w:t>(b) Average</w:t>
            </w:r>
          </w:p>
        </w:tc>
        <w:tc>
          <w:tcPr>
            <w:tcW w:w="1260" w:type="dxa"/>
            <w:vAlign w:val="bottom"/>
          </w:tcPr>
          <w:p>
            <w:pPr>
              <w:jc w:val="center"/>
              <w:ind w:left="151"/>
              <w:spacing w:after="0" w:line="142" w:lineRule="exact"/>
              <w:rPr>
                <w:sz w:val="20"/>
                <w:szCs w:val="20"/>
                <w:color w:val="auto"/>
              </w:rPr>
            </w:pPr>
            <w:r>
              <w:rPr>
                <w:rFonts w:ascii="Calibri" w:cs="Calibri" w:eastAsia="Calibri" w:hAnsi="Calibri"/>
                <w:sz w:val="14"/>
                <w:szCs w:val="14"/>
                <w:b w:val="1"/>
                <w:bCs w:val="1"/>
                <w:color w:val="auto"/>
                <w:w w:val="97"/>
              </w:rPr>
              <w:t>of Shares (or</w:t>
            </w:r>
          </w:p>
        </w:tc>
        <w:tc>
          <w:tcPr>
            <w:tcW w:w="540" w:type="dxa"/>
            <w:vAlign w:val="bottom"/>
          </w:tcPr>
          <w:p>
            <w:pPr>
              <w:spacing w:after="0"/>
              <w:rPr>
                <w:sz w:val="12"/>
                <w:szCs w:val="12"/>
                <w:color w:val="auto"/>
              </w:rPr>
            </w:pPr>
          </w:p>
        </w:tc>
        <w:tc>
          <w:tcPr>
            <w:tcW w:w="2020" w:type="dxa"/>
            <w:vAlign w:val="bottom"/>
          </w:tcPr>
          <w:p>
            <w:pPr>
              <w:jc w:val="center"/>
              <w:ind w:right="246"/>
              <w:spacing w:after="0" w:line="142" w:lineRule="exact"/>
              <w:rPr>
                <w:sz w:val="20"/>
                <w:szCs w:val="20"/>
                <w:color w:val="auto"/>
              </w:rPr>
            </w:pPr>
            <w:r>
              <w:rPr>
                <w:rFonts w:ascii="Calibri" w:cs="Calibri" w:eastAsia="Calibri" w:hAnsi="Calibri"/>
                <w:sz w:val="14"/>
                <w:szCs w:val="14"/>
                <w:b w:val="1"/>
                <w:bCs w:val="1"/>
                <w:color w:val="auto"/>
                <w:w w:val="97"/>
              </w:rPr>
              <w:t>Shares (or Units)</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2120" w:type="dxa"/>
            <w:vAlign w:val="bottom"/>
          </w:tcPr>
          <w:p>
            <w:pPr>
              <w:jc w:val="center"/>
              <w:ind w:left="52"/>
              <w:spacing w:after="0" w:line="129" w:lineRule="exact"/>
              <w:rPr>
                <w:sz w:val="20"/>
                <w:szCs w:val="20"/>
                <w:color w:val="auto"/>
              </w:rPr>
            </w:pPr>
            <w:r>
              <w:rPr>
                <w:rFonts w:ascii="Calibri" w:cs="Calibri" w:eastAsia="Calibri" w:hAnsi="Calibri"/>
                <w:sz w:val="14"/>
                <w:szCs w:val="14"/>
                <w:b w:val="1"/>
                <w:bCs w:val="1"/>
                <w:color w:val="auto"/>
                <w:w w:val="95"/>
              </w:rPr>
              <w:t>Number of</w:t>
            </w:r>
          </w:p>
        </w:tc>
        <w:tc>
          <w:tcPr>
            <w:tcW w:w="1680" w:type="dxa"/>
            <w:vAlign w:val="bottom"/>
            <w:vMerge w:val="continue"/>
          </w:tcPr>
          <w:p>
            <w:pPr>
              <w:spacing w:after="0"/>
              <w:rPr>
                <w:sz w:val="11"/>
                <w:szCs w:val="11"/>
                <w:color w:val="auto"/>
              </w:rPr>
            </w:pPr>
          </w:p>
        </w:tc>
        <w:tc>
          <w:tcPr>
            <w:tcW w:w="1260" w:type="dxa"/>
            <w:vAlign w:val="bottom"/>
          </w:tcPr>
          <w:p>
            <w:pPr>
              <w:jc w:val="center"/>
              <w:ind w:left="151"/>
              <w:spacing w:after="0" w:line="129" w:lineRule="exact"/>
              <w:rPr>
                <w:sz w:val="20"/>
                <w:szCs w:val="20"/>
                <w:color w:val="auto"/>
              </w:rPr>
            </w:pPr>
            <w:r>
              <w:rPr>
                <w:rFonts w:ascii="Calibri" w:cs="Calibri" w:eastAsia="Calibri" w:hAnsi="Calibri"/>
                <w:sz w:val="14"/>
                <w:szCs w:val="14"/>
                <w:b w:val="1"/>
                <w:bCs w:val="1"/>
                <w:color w:val="auto"/>
                <w:w w:val="97"/>
              </w:rPr>
              <w:t>Units) Purchased</w:t>
            </w:r>
          </w:p>
        </w:tc>
        <w:tc>
          <w:tcPr>
            <w:tcW w:w="540" w:type="dxa"/>
            <w:vAlign w:val="bottom"/>
          </w:tcPr>
          <w:p>
            <w:pPr>
              <w:spacing w:after="0"/>
              <w:rPr>
                <w:sz w:val="11"/>
                <w:szCs w:val="11"/>
                <w:color w:val="auto"/>
              </w:rPr>
            </w:pPr>
          </w:p>
        </w:tc>
        <w:tc>
          <w:tcPr>
            <w:tcW w:w="2020" w:type="dxa"/>
            <w:vAlign w:val="bottom"/>
          </w:tcPr>
          <w:p>
            <w:pPr>
              <w:jc w:val="center"/>
              <w:ind w:right="246"/>
              <w:spacing w:after="0" w:line="129" w:lineRule="exact"/>
              <w:rPr>
                <w:sz w:val="20"/>
                <w:szCs w:val="20"/>
                <w:color w:val="auto"/>
              </w:rPr>
            </w:pPr>
            <w:r>
              <w:rPr>
                <w:rFonts w:ascii="Calibri" w:cs="Calibri" w:eastAsia="Calibri" w:hAnsi="Calibri"/>
                <w:sz w:val="14"/>
                <w:szCs w:val="14"/>
                <w:b w:val="1"/>
                <w:bCs w:val="1"/>
                <w:color w:val="auto"/>
                <w:w w:val="96"/>
              </w:rPr>
              <w:t>that May Yet Be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120" w:type="dxa"/>
            <w:vAlign w:val="bottom"/>
          </w:tcPr>
          <w:p>
            <w:pPr>
              <w:jc w:val="center"/>
              <w:ind w:left="32"/>
              <w:spacing w:after="0" w:line="142" w:lineRule="exact"/>
              <w:rPr>
                <w:sz w:val="20"/>
                <w:szCs w:val="20"/>
                <w:color w:val="auto"/>
              </w:rPr>
            </w:pPr>
            <w:r>
              <w:rPr>
                <w:rFonts w:ascii="Calibri" w:cs="Calibri" w:eastAsia="Calibri" w:hAnsi="Calibri"/>
                <w:sz w:val="14"/>
                <w:szCs w:val="14"/>
                <w:b w:val="1"/>
                <w:bCs w:val="1"/>
                <w:color w:val="auto"/>
                <w:w w:val="98"/>
              </w:rPr>
              <w:t>Shares</w:t>
            </w:r>
          </w:p>
        </w:tc>
        <w:tc>
          <w:tcPr>
            <w:tcW w:w="1680" w:type="dxa"/>
            <w:vAlign w:val="bottom"/>
          </w:tcPr>
          <w:p>
            <w:pPr>
              <w:jc w:val="center"/>
              <w:ind w:right="363"/>
              <w:spacing w:after="0" w:line="142" w:lineRule="exact"/>
              <w:rPr>
                <w:sz w:val="20"/>
                <w:szCs w:val="20"/>
                <w:color w:val="auto"/>
              </w:rPr>
            </w:pPr>
            <w:r>
              <w:rPr>
                <w:rFonts w:ascii="Calibri" w:cs="Calibri" w:eastAsia="Calibri" w:hAnsi="Calibri"/>
                <w:sz w:val="14"/>
                <w:szCs w:val="14"/>
                <w:b w:val="1"/>
                <w:bCs w:val="1"/>
                <w:color w:val="auto"/>
                <w:w w:val="97"/>
              </w:rPr>
              <w:t>Price Paid</w:t>
            </w:r>
          </w:p>
        </w:tc>
        <w:tc>
          <w:tcPr>
            <w:tcW w:w="1260" w:type="dxa"/>
            <w:vAlign w:val="bottom"/>
          </w:tcPr>
          <w:p>
            <w:pPr>
              <w:jc w:val="center"/>
              <w:ind w:left="151"/>
              <w:spacing w:after="0" w:line="142" w:lineRule="exact"/>
              <w:rPr>
                <w:sz w:val="20"/>
                <w:szCs w:val="20"/>
                <w:color w:val="auto"/>
              </w:rPr>
            </w:pPr>
            <w:r>
              <w:rPr>
                <w:rFonts w:ascii="Calibri" w:cs="Calibri" w:eastAsia="Calibri" w:hAnsi="Calibri"/>
                <w:sz w:val="14"/>
                <w:szCs w:val="14"/>
                <w:b w:val="1"/>
                <w:bCs w:val="1"/>
                <w:color w:val="auto"/>
                <w:w w:val="96"/>
              </w:rPr>
              <w:t>as Part of Publicly</w:t>
            </w:r>
          </w:p>
        </w:tc>
        <w:tc>
          <w:tcPr>
            <w:tcW w:w="540" w:type="dxa"/>
            <w:vAlign w:val="bottom"/>
          </w:tcPr>
          <w:p>
            <w:pPr>
              <w:spacing w:after="0"/>
              <w:rPr>
                <w:sz w:val="12"/>
                <w:szCs w:val="12"/>
                <w:color w:val="auto"/>
              </w:rPr>
            </w:pPr>
          </w:p>
        </w:tc>
        <w:tc>
          <w:tcPr>
            <w:tcW w:w="2020" w:type="dxa"/>
            <w:vAlign w:val="bottom"/>
          </w:tcPr>
          <w:p>
            <w:pPr>
              <w:jc w:val="center"/>
              <w:ind w:right="246"/>
              <w:spacing w:after="0" w:line="142" w:lineRule="exact"/>
              <w:rPr>
                <w:sz w:val="20"/>
                <w:szCs w:val="20"/>
                <w:color w:val="auto"/>
              </w:rPr>
            </w:pPr>
            <w:r>
              <w:rPr>
                <w:rFonts w:ascii="Calibri" w:cs="Calibri" w:eastAsia="Calibri" w:hAnsi="Calibri"/>
                <w:sz w:val="14"/>
                <w:szCs w:val="14"/>
                <w:b w:val="1"/>
                <w:bCs w:val="1"/>
                <w:color w:val="auto"/>
                <w:w w:val="98"/>
              </w:rPr>
              <w:t>Purchased Under</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2120" w:type="dxa"/>
            <w:vAlign w:val="bottom"/>
          </w:tcPr>
          <w:p>
            <w:pPr>
              <w:jc w:val="center"/>
              <w:ind w:left="32"/>
              <w:spacing w:after="0" w:line="129" w:lineRule="exact"/>
              <w:rPr>
                <w:sz w:val="20"/>
                <w:szCs w:val="20"/>
                <w:color w:val="auto"/>
              </w:rPr>
            </w:pPr>
            <w:r>
              <w:rPr>
                <w:rFonts w:ascii="Calibri" w:cs="Calibri" w:eastAsia="Calibri" w:hAnsi="Calibri"/>
                <w:sz w:val="14"/>
                <w:szCs w:val="14"/>
                <w:b w:val="1"/>
                <w:bCs w:val="1"/>
                <w:color w:val="auto"/>
                <w:w w:val="98"/>
              </w:rPr>
              <w:t>(or Units)</w:t>
            </w:r>
          </w:p>
        </w:tc>
        <w:tc>
          <w:tcPr>
            <w:tcW w:w="1680" w:type="dxa"/>
            <w:vAlign w:val="bottom"/>
          </w:tcPr>
          <w:p>
            <w:pPr>
              <w:jc w:val="center"/>
              <w:ind w:right="383"/>
              <w:spacing w:after="0" w:line="129" w:lineRule="exact"/>
              <w:rPr>
                <w:sz w:val="20"/>
                <w:szCs w:val="20"/>
                <w:color w:val="auto"/>
              </w:rPr>
            </w:pPr>
            <w:r>
              <w:rPr>
                <w:rFonts w:ascii="Calibri" w:cs="Calibri" w:eastAsia="Calibri" w:hAnsi="Calibri"/>
                <w:sz w:val="14"/>
                <w:szCs w:val="14"/>
                <w:b w:val="1"/>
                <w:bCs w:val="1"/>
                <w:color w:val="auto"/>
                <w:w w:val="96"/>
              </w:rPr>
              <w:t>per Share</w:t>
            </w:r>
          </w:p>
        </w:tc>
        <w:tc>
          <w:tcPr>
            <w:tcW w:w="1260" w:type="dxa"/>
            <w:vAlign w:val="bottom"/>
          </w:tcPr>
          <w:p>
            <w:pPr>
              <w:jc w:val="center"/>
              <w:ind w:left="151"/>
              <w:spacing w:after="0" w:line="129" w:lineRule="exact"/>
              <w:rPr>
                <w:sz w:val="20"/>
                <w:szCs w:val="20"/>
                <w:color w:val="auto"/>
              </w:rPr>
            </w:pPr>
            <w:r>
              <w:rPr>
                <w:rFonts w:ascii="Calibri" w:cs="Calibri" w:eastAsia="Calibri" w:hAnsi="Calibri"/>
                <w:sz w:val="14"/>
                <w:szCs w:val="14"/>
                <w:b w:val="1"/>
                <w:bCs w:val="1"/>
                <w:color w:val="auto"/>
                <w:w w:val="99"/>
              </w:rPr>
              <w:t>Announced Plans</w:t>
            </w:r>
          </w:p>
        </w:tc>
        <w:tc>
          <w:tcPr>
            <w:tcW w:w="540" w:type="dxa"/>
            <w:vAlign w:val="bottom"/>
          </w:tcPr>
          <w:p>
            <w:pPr>
              <w:spacing w:after="0"/>
              <w:rPr>
                <w:sz w:val="11"/>
                <w:szCs w:val="11"/>
                <w:color w:val="auto"/>
              </w:rPr>
            </w:pPr>
          </w:p>
        </w:tc>
        <w:tc>
          <w:tcPr>
            <w:tcW w:w="2020" w:type="dxa"/>
            <w:vAlign w:val="bottom"/>
          </w:tcPr>
          <w:p>
            <w:pPr>
              <w:jc w:val="center"/>
              <w:ind w:right="266"/>
              <w:spacing w:after="0" w:line="129" w:lineRule="exact"/>
              <w:rPr>
                <w:sz w:val="20"/>
                <w:szCs w:val="20"/>
                <w:color w:val="auto"/>
              </w:rPr>
            </w:pPr>
            <w:r>
              <w:rPr>
                <w:rFonts w:ascii="Calibri" w:cs="Calibri" w:eastAsia="Calibri" w:hAnsi="Calibri"/>
                <w:sz w:val="14"/>
                <w:szCs w:val="14"/>
                <w:b w:val="1"/>
                <w:bCs w:val="1"/>
                <w:color w:val="auto"/>
                <w:w w:val="98"/>
              </w:rPr>
              <w:t>the Plans or</w:t>
            </w:r>
          </w:p>
        </w:tc>
        <w:tc>
          <w:tcPr>
            <w:tcW w:w="0" w:type="dxa"/>
            <w:vAlign w:val="bottom"/>
          </w:tcPr>
          <w:p>
            <w:pPr>
              <w:spacing w:after="0"/>
              <w:rPr>
                <w:sz w:val="1"/>
                <w:szCs w:val="1"/>
                <w:color w:val="auto"/>
              </w:rPr>
            </w:pPr>
          </w:p>
        </w:tc>
      </w:tr>
      <w:tr>
        <w:trPr>
          <w:trHeight w:val="176"/>
        </w:trPr>
        <w:tc>
          <w:tcPr>
            <w:tcW w:w="3620" w:type="dxa"/>
            <w:vAlign w:val="bottom"/>
          </w:tcPr>
          <w:p>
            <w:pPr>
              <w:ind w:left="1920"/>
              <w:spacing w:after="0"/>
              <w:rPr>
                <w:sz w:val="20"/>
                <w:szCs w:val="20"/>
                <w:color w:val="auto"/>
              </w:rPr>
            </w:pPr>
            <w:r>
              <w:rPr>
                <w:rFonts w:ascii="Calibri" w:cs="Calibri" w:eastAsia="Calibri" w:hAnsi="Calibri"/>
                <w:sz w:val="14"/>
                <w:szCs w:val="14"/>
                <w:b w:val="1"/>
                <w:bCs w:val="1"/>
                <w:color w:val="auto"/>
              </w:rPr>
              <w:t>Period</w:t>
            </w:r>
          </w:p>
        </w:tc>
        <w:tc>
          <w:tcPr>
            <w:tcW w:w="2120" w:type="dxa"/>
            <w:vAlign w:val="bottom"/>
          </w:tcPr>
          <w:p>
            <w:pPr>
              <w:jc w:val="center"/>
              <w:ind w:left="72"/>
              <w:spacing w:after="0"/>
              <w:rPr>
                <w:sz w:val="20"/>
                <w:szCs w:val="20"/>
                <w:color w:val="auto"/>
              </w:rPr>
            </w:pPr>
            <w:r>
              <w:rPr>
                <w:rFonts w:ascii="Calibri" w:cs="Calibri" w:eastAsia="Calibri" w:hAnsi="Calibri"/>
                <w:sz w:val="14"/>
                <w:szCs w:val="14"/>
                <w:b w:val="1"/>
                <w:bCs w:val="1"/>
                <w:color w:val="auto"/>
                <w:w w:val="95"/>
              </w:rPr>
              <w:t>Purchased</w:t>
            </w:r>
          </w:p>
        </w:tc>
        <w:tc>
          <w:tcPr>
            <w:tcW w:w="1680" w:type="dxa"/>
            <w:vAlign w:val="bottom"/>
          </w:tcPr>
          <w:p>
            <w:pPr>
              <w:jc w:val="center"/>
              <w:ind w:right="343"/>
              <w:spacing w:after="0" w:line="164" w:lineRule="exact"/>
              <w:rPr>
                <w:sz w:val="20"/>
                <w:szCs w:val="20"/>
                <w:color w:val="auto"/>
              </w:rPr>
            </w:pPr>
            <w:r>
              <w:rPr>
                <w:rFonts w:ascii="Calibri" w:cs="Calibri" w:eastAsia="Calibri" w:hAnsi="Calibri"/>
                <w:sz w:val="14"/>
                <w:szCs w:val="14"/>
                <w:b w:val="1"/>
                <w:bCs w:val="1"/>
                <w:color w:val="auto"/>
              </w:rPr>
              <w:t>(or Unit)</w:t>
            </w:r>
          </w:p>
        </w:tc>
        <w:tc>
          <w:tcPr>
            <w:tcW w:w="1260" w:type="dxa"/>
            <w:vAlign w:val="bottom"/>
          </w:tcPr>
          <w:p>
            <w:pPr>
              <w:jc w:val="center"/>
              <w:ind w:left="191"/>
              <w:spacing w:after="0"/>
              <w:rPr>
                <w:sz w:val="20"/>
                <w:szCs w:val="20"/>
                <w:color w:val="auto"/>
              </w:rPr>
            </w:pPr>
            <w:r>
              <w:rPr>
                <w:rFonts w:ascii="Calibri" w:cs="Calibri" w:eastAsia="Calibri" w:hAnsi="Calibri"/>
                <w:sz w:val="14"/>
                <w:szCs w:val="14"/>
                <w:b w:val="1"/>
                <w:bCs w:val="1"/>
                <w:color w:val="auto"/>
                <w:w w:val="95"/>
              </w:rPr>
              <w:t>or Programs</w:t>
            </w:r>
          </w:p>
        </w:tc>
        <w:tc>
          <w:tcPr>
            <w:tcW w:w="540" w:type="dxa"/>
            <w:vAlign w:val="bottom"/>
          </w:tcPr>
          <w:p>
            <w:pPr>
              <w:spacing w:after="0"/>
              <w:rPr>
                <w:sz w:val="15"/>
                <w:szCs w:val="15"/>
                <w:color w:val="auto"/>
              </w:rPr>
            </w:pPr>
          </w:p>
        </w:tc>
        <w:tc>
          <w:tcPr>
            <w:tcW w:w="2020" w:type="dxa"/>
            <w:vAlign w:val="bottom"/>
          </w:tcPr>
          <w:p>
            <w:pPr>
              <w:jc w:val="center"/>
              <w:ind w:right="206"/>
              <w:spacing w:after="0"/>
              <w:rPr>
                <w:sz w:val="20"/>
                <w:szCs w:val="20"/>
                <w:color w:val="auto"/>
              </w:rPr>
            </w:pPr>
            <w:r>
              <w:rPr>
                <w:rFonts w:ascii="Calibri" w:cs="Calibri" w:eastAsia="Calibri" w:hAnsi="Calibri"/>
                <w:sz w:val="14"/>
                <w:szCs w:val="14"/>
                <w:b w:val="1"/>
                <w:bCs w:val="1"/>
                <w:color w:val="auto"/>
                <w:w w:val="97"/>
              </w:rPr>
              <w:t>Programs</w:t>
            </w: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Calibri" w:cs="Calibri" w:eastAsia="Calibri" w:hAnsi="Calibri"/>
                <w:sz w:val="17"/>
                <w:szCs w:val="17"/>
                <w:color w:val="auto"/>
              </w:rPr>
              <w:t>July 1, 2024 - July 31, 2024</w:t>
            </w:r>
          </w:p>
        </w:tc>
        <w:tc>
          <w:tcPr>
            <w:tcW w:w="2120" w:type="dxa"/>
            <w:vAlign w:val="bottom"/>
          </w:tcPr>
          <w:p>
            <w:pPr>
              <w:jc w:val="right"/>
              <w:ind w:right="212"/>
              <w:spacing w:after="0" w:line="234" w:lineRule="exact"/>
              <w:rPr>
                <w:sz w:val="20"/>
                <w:szCs w:val="20"/>
                <w:color w:val="auto"/>
              </w:rPr>
            </w:pPr>
            <w:r>
              <w:rPr>
                <w:rFonts w:ascii="Calibri" w:cs="Calibri" w:eastAsia="Calibri" w:hAnsi="Calibri"/>
                <w:sz w:val="25"/>
                <w:szCs w:val="25"/>
                <w:color w:val="auto"/>
                <w:vertAlign w:val="subscript"/>
              </w:rPr>
              <w:t>974</w:t>
            </w:r>
            <w:r>
              <w:rPr>
                <w:rFonts w:ascii="Calibri" w:cs="Calibri" w:eastAsia="Calibri" w:hAnsi="Calibri"/>
                <w:sz w:val="10"/>
                <w:szCs w:val="10"/>
                <w:color w:val="auto"/>
              </w:rPr>
              <w:t xml:space="preserve"> (1)</w:t>
            </w:r>
          </w:p>
        </w:tc>
        <w:tc>
          <w:tcPr>
            <w:tcW w:w="1680" w:type="dxa"/>
            <w:vAlign w:val="bottom"/>
          </w:tcPr>
          <w:p>
            <w:pPr>
              <w:jc w:val="right"/>
              <w:ind w:right="143"/>
              <w:spacing w:after="0" w:line="234" w:lineRule="exact"/>
              <w:rPr>
                <w:sz w:val="20"/>
                <w:szCs w:val="20"/>
                <w:color w:val="auto"/>
              </w:rPr>
            </w:pPr>
            <w:r>
              <w:rPr>
                <w:rFonts w:ascii="Calibri" w:cs="Calibri" w:eastAsia="Calibri" w:hAnsi="Calibri"/>
                <w:sz w:val="17"/>
                <w:szCs w:val="17"/>
                <w:color w:val="auto"/>
              </w:rPr>
              <w:t xml:space="preserve">$166.09 </w:t>
            </w:r>
            <w:r>
              <w:rPr>
                <w:rFonts w:ascii="Calibri" w:cs="Calibri" w:eastAsia="Calibri" w:hAnsi="Calibri"/>
                <w:sz w:val="22"/>
                <w:szCs w:val="22"/>
                <w:color w:val="auto"/>
                <w:vertAlign w:val="superscript"/>
              </w:rPr>
              <w:t>(1)</w:t>
            </w:r>
          </w:p>
        </w:tc>
        <w:tc>
          <w:tcPr>
            <w:tcW w:w="126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Calibri" w:cs="Calibri" w:eastAsia="Calibri" w:hAnsi="Calibri"/>
                <w:sz w:val="17"/>
                <w:szCs w:val="17"/>
                <w:color w:val="auto"/>
              </w:rPr>
              <w:t>—</w:t>
            </w:r>
          </w:p>
        </w:tc>
        <w:tc>
          <w:tcPr>
            <w:tcW w:w="2020" w:type="dxa"/>
            <w:vAlign w:val="bottom"/>
          </w:tcPr>
          <w:p>
            <w:pPr>
              <w:jc w:val="right"/>
              <w:ind w:right="306"/>
              <w:spacing w:after="0"/>
              <w:rPr>
                <w:sz w:val="20"/>
                <w:szCs w:val="20"/>
                <w:color w:val="auto"/>
              </w:rPr>
            </w:pPr>
            <w:r>
              <w:rPr>
                <w:rFonts w:ascii="Calibri" w:cs="Calibri" w:eastAsia="Calibri" w:hAnsi="Calibri"/>
                <w:sz w:val="17"/>
                <w:szCs w:val="17"/>
                <w:color w:val="auto"/>
              </w:rPr>
              <w:t>$3,849,610,303</w:t>
            </w:r>
          </w:p>
        </w:tc>
        <w:tc>
          <w:tcPr>
            <w:tcW w:w="0" w:type="dxa"/>
            <w:vAlign w:val="bottom"/>
          </w:tcPr>
          <w:p>
            <w:pPr>
              <w:spacing w:after="0"/>
              <w:rPr>
                <w:sz w:val="1"/>
                <w:szCs w:val="1"/>
                <w:color w:val="auto"/>
              </w:rPr>
            </w:pPr>
          </w:p>
        </w:tc>
      </w:tr>
      <w:tr>
        <w:trPr>
          <w:trHeight w:val="219"/>
        </w:trPr>
        <w:tc>
          <w:tcPr>
            <w:tcW w:w="3620" w:type="dxa"/>
            <w:vAlign w:val="bottom"/>
          </w:tcPr>
          <w:p>
            <w:pPr>
              <w:ind w:left="20"/>
              <w:spacing w:after="0"/>
              <w:rPr>
                <w:sz w:val="20"/>
                <w:szCs w:val="20"/>
                <w:color w:val="auto"/>
              </w:rPr>
            </w:pPr>
            <w:r>
              <w:rPr>
                <w:rFonts w:ascii="Calibri" w:cs="Calibri" w:eastAsia="Calibri" w:hAnsi="Calibri"/>
                <w:sz w:val="17"/>
                <w:szCs w:val="17"/>
                <w:color w:val="auto"/>
              </w:rPr>
              <w:t>August 1, 2024 - August 30, 2024</w:t>
            </w:r>
          </w:p>
        </w:tc>
        <w:tc>
          <w:tcPr>
            <w:tcW w:w="2120" w:type="dxa"/>
            <w:vAlign w:val="bottom"/>
          </w:tcPr>
          <w:p>
            <w:pPr>
              <w:jc w:val="right"/>
              <w:ind w:right="212"/>
              <w:spacing w:after="0" w:line="219" w:lineRule="exact"/>
              <w:rPr>
                <w:sz w:val="20"/>
                <w:szCs w:val="20"/>
                <w:color w:val="auto"/>
              </w:rPr>
            </w:pPr>
            <w:r>
              <w:rPr>
                <w:rFonts w:ascii="Calibri" w:cs="Calibri" w:eastAsia="Calibri" w:hAnsi="Calibri"/>
                <w:sz w:val="23"/>
                <w:szCs w:val="23"/>
                <w:color w:val="auto"/>
                <w:vertAlign w:val="subscript"/>
              </w:rPr>
              <w:t>856</w:t>
            </w:r>
            <w:r>
              <w:rPr>
                <w:rFonts w:ascii="Calibri" w:cs="Calibri" w:eastAsia="Calibri" w:hAnsi="Calibri"/>
                <w:sz w:val="9"/>
                <w:szCs w:val="9"/>
                <w:color w:val="auto"/>
              </w:rPr>
              <w:t xml:space="preserve"> (1)</w:t>
            </w:r>
          </w:p>
        </w:tc>
        <w:tc>
          <w:tcPr>
            <w:tcW w:w="1680" w:type="dxa"/>
            <w:vAlign w:val="bottom"/>
          </w:tcPr>
          <w:p>
            <w:pPr>
              <w:jc w:val="right"/>
              <w:ind w:right="143"/>
              <w:spacing w:after="0" w:line="219" w:lineRule="exact"/>
              <w:rPr>
                <w:sz w:val="20"/>
                <w:szCs w:val="20"/>
                <w:color w:val="auto"/>
              </w:rPr>
            </w:pPr>
            <w:r>
              <w:rPr>
                <w:rFonts w:ascii="Calibri" w:cs="Calibri" w:eastAsia="Calibri" w:hAnsi="Calibri"/>
                <w:sz w:val="17"/>
                <w:szCs w:val="17"/>
                <w:color w:val="auto"/>
              </w:rPr>
              <w:t xml:space="preserve">$186.04 </w:t>
            </w:r>
            <w:r>
              <w:rPr>
                <w:rFonts w:ascii="Calibri" w:cs="Calibri" w:eastAsia="Calibri" w:hAnsi="Calibri"/>
                <w:sz w:val="22"/>
                <w:szCs w:val="22"/>
                <w:color w:val="auto"/>
                <w:vertAlign w:val="superscript"/>
              </w:rPr>
              <w:t>(1)</w:t>
            </w:r>
          </w:p>
        </w:tc>
        <w:tc>
          <w:tcPr>
            <w:tcW w:w="126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Calibri" w:cs="Calibri" w:eastAsia="Calibri" w:hAnsi="Calibri"/>
                <w:sz w:val="17"/>
                <w:szCs w:val="17"/>
                <w:color w:val="auto"/>
              </w:rPr>
              <w:t>—</w:t>
            </w:r>
          </w:p>
        </w:tc>
        <w:tc>
          <w:tcPr>
            <w:tcW w:w="2020" w:type="dxa"/>
            <w:vAlign w:val="bottom"/>
          </w:tcPr>
          <w:p>
            <w:pPr>
              <w:jc w:val="right"/>
              <w:ind w:right="306"/>
              <w:spacing w:after="0"/>
              <w:rPr>
                <w:sz w:val="20"/>
                <w:szCs w:val="20"/>
                <w:color w:val="auto"/>
              </w:rPr>
            </w:pPr>
            <w:r>
              <w:rPr>
                <w:rFonts w:ascii="Calibri" w:cs="Calibri" w:eastAsia="Calibri" w:hAnsi="Calibri"/>
                <w:sz w:val="17"/>
                <w:szCs w:val="17"/>
                <w:color w:val="auto"/>
              </w:rPr>
              <w:t>$3,849,610,303</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Calibri" w:cs="Calibri" w:eastAsia="Calibri" w:hAnsi="Calibri"/>
                <w:sz w:val="17"/>
                <w:szCs w:val="17"/>
                <w:color w:val="auto"/>
              </w:rPr>
              <w:t>September 1, 2024 - September 30, 2024</w:t>
            </w:r>
          </w:p>
        </w:tc>
        <w:tc>
          <w:tcPr>
            <w:tcW w:w="2120" w:type="dxa"/>
            <w:vAlign w:val="bottom"/>
          </w:tcPr>
          <w:p>
            <w:pPr>
              <w:jc w:val="right"/>
              <w:ind w:right="212"/>
              <w:spacing w:after="0" w:line="232" w:lineRule="exact"/>
              <w:rPr>
                <w:sz w:val="20"/>
                <w:szCs w:val="20"/>
                <w:color w:val="auto"/>
              </w:rPr>
            </w:pPr>
            <w:r>
              <w:rPr>
                <w:rFonts w:ascii="Calibri" w:cs="Calibri" w:eastAsia="Calibri" w:hAnsi="Calibri"/>
                <w:sz w:val="17"/>
                <w:szCs w:val="17"/>
                <w:color w:val="auto"/>
              </w:rPr>
              <w:t xml:space="preserve">902 </w:t>
            </w:r>
            <w:r>
              <w:rPr>
                <w:rFonts w:ascii="Calibri" w:cs="Calibri" w:eastAsia="Calibri" w:hAnsi="Calibri"/>
                <w:sz w:val="22"/>
                <w:szCs w:val="22"/>
                <w:color w:val="auto"/>
                <w:vertAlign w:val="superscript"/>
              </w:rPr>
              <w:t>(1)</w:t>
            </w:r>
          </w:p>
        </w:tc>
        <w:tc>
          <w:tcPr>
            <w:tcW w:w="1680" w:type="dxa"/>
            <w:vAlign w:val="bottom"/>
          </w:tcPr>
          <w:p>
            <w:pPr>
              <w:jc w:val="right"/>
              <w:ind w:right="143"/>
              <w:spacing w:after="0" w:line="232" w:lineRule="exact"/>
              <w:rPr>
                <w:sz w:val="20"/>
                <w:szCs w:val="20"/>
                <w:color w:val="auto"/>
              </w:rPr>
            </w:pPr>
            <w:r>
              <w:rPr>
                <w:rFonts w:ascii="Calibri" w:cs="Calibri" w:eastAsia="Calibri" w:hAnsi="Calibri"/>
                <w:sz w:val="17"/>
                <w:szCs w:val="17"/>
                <w:color w:val="auto"/>
              </w:rPr>
              <w:t xml:space="preserve">$193.39 </w:t>
            </w:r>
            <w:r>
              <w:rPr>
                <w:rFonts w:ascii="Calibri" w:cs="Calibri" w:eastAsia="Calibri" w:hAnsi="Calibri"/>
                <w:sz w:val="22"/>
                <w:szCs w:val="22"/>
                <w:color w:val="auto"/>
                <w:vertAlign w:val="superscript"/>
              </w:rPr>
              <w:t>(1)</w:t>
            </w:r>
          </w:p>
        </w:tc>
        <w:tc>
          <w:tcPr>
            <w:tcW w:w="126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Calibri" w:cs="Calibri" w:eastAsia="Calibri" w:hAnsi="Calibri"/>
                <w:sz w:val="17"/>
                <w:szCs w:val="17"/>
                <w:color w:val="auto"/>
              </w:rPr>
              <w:t>—</w:t>
            </w:r>
          </w:p>
        </w:tc>
        <w:tc>
          <w:tcPr>
            <w:tcW w:w="2020" w:type="dxa"/>
            <w:vAlign w:val="bottom"/>
          </w:tcPr>
          <w:p>
            <w:pPr>
              <w:jc w:val="right"/>
              <w:ind w:right="306"/>
              <w:spacing w:after="0"/>
              <w:rPr>
                <w:sz w:val="20"/>
                <w:szCs w:val="20"/>
                <w:color w:val="auto"/>
              </w:rPr>
            </w:pPr>
            <w:r>
              <w:rPr>
                <w:rFonts w:ascii="Calibri" w:cs="Calibri" w:eastAsia="Calibri" w:hAnsi="Calibri"/>
                <w:sz w:val="17"/>
                <w:szCs w:val="17"/>
                <w:color w:val="auto"/>
              </w:rPr>
              <w:t>$3,849,610,303</w:t>
            </w:r>
          </w:p>
        </w:tc>
        <w:tc>
          <w:tcPr>
            <w:tcW w:w="0" w:type="dxa"/>
            <w:vAlign w:val="bottom"/>
          </w:tcPr>
          <w:p>
            <w:pPr>
              <w:spacing w:after="0"/>
              <w:rPr>
                <w:sz w:val="1"/>
                <w:szCs w:val="1"/>
                <w:color w:val="auto"/>
              </w:rPr>
            </w:pPr>
          </w:p>
        </w:tc>
      </w:tr>
      <w:tr>
        <w:trPr>
          <w:trHeight w:val="259"/>
        </w:trPr>
        <w:tc>
          <w:tcPr>
            <w:tcW w:w="3620" w:type="dxa"/>
            <w:vAlign w:val="bottom"/>
            <w:tcBorders>
              <w:bottom w:val="single" w:sz="8" w:color="auto"/>
            </w:tcBorders>
          </w:tcPr>
          <w:p>
            <w:pPr>
              <w:ind w:left="20"/>
              <w:spacing w:after="0"/>
              <w:rPr>
                <w:sz w:val="20"/>
                <w:szCs w:val="20"/>
                <w:color w:val="auto"/>
              </w:rPr>
            </w:pPr>
            <w:r>
              <w:rPr>
                <w:rFonts w:ascii="Calibri" w:cs="Calibri" w:eastAsia="Calibri" w:hAnsi="Calibri"/>
                <w:sz w:val="17"/>
                <w:szCs w:val="17"/>
                <w:color w:val="auto"/>
              </w:rPr>
              <w:t>Total</w:t>
            </w:r>
          </w:p>
        </w:tc>
        <w:tc>
          <w:tcPr>
            <w:tcW w:w="2120" w:type="dxa"/>
            <w:vAlign w:val="bottom"/>
            <w:tcBorders>
              <w:bottom w:val="single" w:sz="8" w:color="auto"/>
            </w:tcBorders>
          </w:tcPr>
          <w:p>
            <w:pPr>
              <w:jc w:val="right"/>
              <w:ind w:right="212"/>
              <w:spacing w:after="0" w:line="257" w:lineRule="exact"/>
              <w:rPr>
                <w:sz w:val="20"/>
                <w:szCs w:val="20"/>
                <w:color w:val="auto"/>
              </w:rPr>
            </w:pPr>
            <w:r>
              <w:rPr>
                <w:rFonts w:ascii="Calibri" w:cs="Calibri" w:eastAsia="Calibri" w:hAnsi="Calibri"/>
                <w:sz w:val="17"/>
                <w:szCs w:val="17"/>
                <w:color w:val="auto"/>
              </w:rPr>
              <w:t xml:space="preserve">2,732 </w:t>
            </w:r>
            <w:r>
              <w:rPr>
                <w:rFonts w:ascii="Calibri" w:cs="Calibri" w:eastAsia="Calibri" w:hAnsi="Calibri"/>
                <w:sz w:val="22"/>
                <w:szCs w:val="22"/>
                <w:color w:val="auto"/>
                <w:vertAlign w:val="superscript"/>
              </w:rPr>
              <w:t>(1)</w:t>
            </w:r>
          </w:p>
        </w:tc>
        <w:tc>
          <w:tcPr>
            <w:tcW w:w="1680" w:type="dxa"/>
            <w:vAlign w:val="bottom"/>
            <w:tcBorders>
              <w:bottom w:val="single" w:sz="8" w:color="auto"/>
            </w:tcBorders>
          </w:tcPr>
          <w:p>
            <w:pPr>
              <w:jc w:val="right"/>
              <w:ind w:right="143"/>
              <w:spacing w:after="0" w:line="257" w:lineRule="exact"/>
              <w:rPr>
                <w:sz w:val="20"/>
                <w:szCs w:val="20"/>
                <w:color w:val="auto"/>
              </w:rPr>
            </w:pPr>
            <w:r>
              <w:rPr>
                <w:rFonts w:ascii="Calibri" w:cs="Calibri" w:eastAsia="Calibri" w:hAnsi="Calibri"/>
                <w:sz w:val="17"/>
                <w:szCs w:val="17"/>
                <w:color w:val="auto"/>
              </w:rPr>
              <w:t xml:space="preserve">$181.36 </w:t>
            </w:r>
            <w:r>
              <w:rPr>
                <w:rFonts w:ascii="Calibri" w:cs="Calibri" w:eastAsia="Calibri" w:hAnsi="Calibri"/>
                <w:sz w:val="22"/>
                <w:szCs w:val="22"/>
                <w:color w:val="auto"/>
                <w:vertAlign w:val="superscript"/>
              </w:rPr>
              <w:t>(1)</w:t>
            </w:r>
          </w:p>
        </w:tc>
        <w:tc>
          <w:tcPr>
            <w:tcW w:w="1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Calibri" w:cs="Calibri" w:eastAsia="Calibri" w:hAnsi="Calibri"/>
                <w:sz w:val="17"/>
                <w:szCs w:val="17"/>
                <w:color w:val="auto"/>
              </w:rPr>
              <w:t>—</w:t>
            </w:r>
          </w:p>
        </w:tc>
        <w:tc>
          <w:tcPr>
            <w:tcW w:w="2020" w:type="dxa"/>
            <w:vAlign w:val="bottom"/>
            <w:tcBorders>
              <w:bottom w:val="single" w:sz="8" w:color="auto"/>
            </w:tcBorders>
          </w:tcPr>
          <w:p>
            <w:pPr>
              <w:jc w:val="right"/>
              <w:ind w:right="306"/>
              <w:spacing w:after="0"/>
              <w:rPr>
                <w:sz w:val="20"/>
                <w:szCs w:val="20"/>
                <w:color w:val="auto"/>
              </w:rPr>
            </w:pPr>
            <w:r>
              <w:rPr>
                <w:rFonts w:ascii="Calibri" w:cs="Calibri" w:eastAsia="Calibri" w:hAnsi="Calibri"/>
                <w:sz w:val="17"/>
                <w:szCs w:val="17"/>
                <w:color w:val="auto"/>
              </w:rPr>
              <w:t>$3,849,610,303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7138670" cy="147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-605155</wp:posOffset>
            </wp:positionV>
            <wp:extent cx="7138670" cy="147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80" w:right="120" w:hanging="377"/>
        <w:spacing w:after="0" w:line="237" w:lineRule="auto"/>
        <w:tabs>
          <w:tab w:leader="none" w:pos="365"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In additon to AbbVie shares repurchased on the open market under a publicly announced program, if any, these shares also included the shares purchased on the open market for the beneft of partcipants in the AbbVie Employee Stock Purchase Plan – 974 in July; 856 in August; and 902 in September.</w:t>
      </w:r>
    </w:p>
    <w:p>
      <w:pPr>
        <w:spacing w:after="0" w:line="131" w:lineRule="exact"/>
        <w:rPr>
          <w:rFonts w:ascii="Calibri" w:cs="Calibri" w:eastAsia="Calibri" w:hAnsi="Calibri"/>
          <w:sz w:val="17"/>
          <w:szCs w:val="17"/>
          <w:color w:val="auto"/>
        </w:rPr>
      </w:pPr>
    </w:p>
    <w:p>
      <w:pPr>
        <w:ind w:left="380" w:right="380"/>
        <w:spacing w:after="0" w:line="237" w:lineRule="auto"/>
        <w:rPr>
          <w:rFonts w:ascii="Calibri" w:cs="Calibri" w:eastAsia="Calibri" w:hAnsi="Calibri"/>
          <w:sz w:val="17"/>
          <w:szCs w:val="17"/>
          <w:color w:val="auto"/>
        </w:rPr>
      </w:pPr>
      <w:r>
        <w:rPr>
          <w:rFonts w:ascii="Calibri" w:cs="Calibri" w:eastAsia="Calibri" w:hAnsi="Calibri"/>
          <w:sz w:val="17"/>
          <w:szCs w:val="17"/>
          <w:color w:val="auto"/>
        </w:rPr>
        <w:t>These shares do not include the shares surrendered to AbbVie to satsfy minimum tax withholding obligatons in connecton with the vestng or exercise of stock-based awards.</w:t>
      </w:r>
    </w:p>
    <w:p>
      <w:pPr>
        <w:spacing w:after="0" w:line="19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444867"/>
        </w:rPr>
        <w:t>ITEM 5.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8" w:lineRule="exact"/>
        <w:rPr>
          <w:sz w:val="20"/>
          <w:szCs w:val="20"/>
          <w:color w:val="auto"/>
        </w:rPr>
      </w:pPr>
    </w:p>
    <w:p>
      <w:pPr>
        <w:ind w:left="720" w:hanging="214"/>
        <w:spacing w:after="0"/>
        <w:tabs>
          <w:tab w:leader="none" w:pos="720" w:val="left"/>
        </w:tabs>
        <w:numPr>
          <w:ilvl w:val="0"/>
          <w:numId w:val="24"/>
        </w:numPr>
        <w:rPr>
          <w:rFonts w:ascii="Calibri" w:cs="Calibri" w:eastAsia="Calibri" w:hAnsi="Calibri"/>
          <w:sz w:val="17"/>
          <w:szCs w:val="17"/>
          <w:color w:val="auto"/>
        </w:rPr>
      </w:pPr>
      <w:r>
        <w:rPr>
          <w:rFonts w:ascii="Calibri" w:cs="Calibri" w:eastAsia="Calibri" w:hAnsi="Calibri"/>
          <w:sz w:val="17"/>
          <w:szCs w:val="17"/>
          <w:i w:val="1"/>
          <w:iCs w:val="1"/>
          <w:color w:val="auto"/>
        </w:rPr>
        <w:t>Director and Ofcer Trading Arrangements</w:t>
      </w:r>
    </w:p>
    <w:p>
      <w:pPr>
        <w:spacing w:after="0" w:line="143"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During the three months ended September 30, 2024, no director or ofcer of the company adopted, modifed or terminated a “Rule 10b5-1 trading arrangement” or “non-Rule 10b5-1 trading arrangement,” as each term is defned in Item 408(a) of Regulaton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932180</wp:posOffset>
            </wp:positionV>
            <wp:extent cx="491490" cy="901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44</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46" w:name="page47"/>
    <w:bookmarkEnd w:id="46"/>
    <w:p>
      <w:pPr>
        <w:spacing w:after="0"/>
        <w:rPr>
          <w:sz w:val="20"/>
          <w:szCs w:val="20"/>
          <w:color w:val="auto"/>
        </w:rPr>
      </w:pPr>
      <w:r>
        <w:rPr>
          <w:rFonts w:ascii="Calibri" w:cs="Calibri" w:eastAsia="Calibri" w:hAnsi="Calibri"/>
          <w:sz w:val="21"/>
          <w:szCs w:val="21"/>
          <w:b w:val="1"/>
          <w:bCs w:val="1"/>
          <w:color w:val="444867"/>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17"/>
          <w:szCs w:val="17"/>
          <w:color w:val="auto"/>
        </w:rPr>
        <w:t>Exhibits 32.1 and 32.2 are furnished herewith and should not be deemed to be “fled” under the Securites Exchange Act of 1934.</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60" w:type="dxa"/>
            <w:vAlign w:val="bottom"/>
            <w:gridSpan w:val="2"/>
          </w:tcPr>
          <w:p>
            <w:pPr>
              <w:ind w:left="220"/>
              <w:spacing w:after="0"/>
              <w:rPr>
                <w:sz w:val="20"/>
                <w:szCs w:val="20"/>
                <w:color w:val="auto"/>
              </w:rPr>
            </w:pPr>
            <w:r>
              <w:rPr>
                <w:rFonts w:ascii="Calibri" w:cs="Calibri" w:eastAsia="Calibri" w:hAnsi="Calibri"/>
                <w:sz w:val="17"/>
                <w:szCs w:val="17"/>
                <w:b w:val="1"/>
                <w:bCs w:val="1"/>
                <w:color w:val="auto"/>
              </w:rPr>
              <w:t>Exhibit No.</w:t>
            </w:r>
          </w:p>
        </w:tc>
        <w:tc>
          <w:tcPr>
            <w:tcW w:w="8520" w:type="dxa"/>
            <w:vAlign w:val="bottom"/>
          </w:tcPr>
          <w:p>
            <w:pPr>
              <w:ind w:left="3600"/>
              <w:spacing w:after="0"/>
              <w:rPr>
                <w:sz w:val="20"/>
                <w:szCs w:val="20"/>
                <w:color w:val="auto"/>
              </w:rPr>
            </w:pPr>
            <w:r>
              <w:rPr>
                <w:rFonts w:ascii="Calibri" w:cs="Calibri" w:eastAsia="Calibri" w:hAnsi="Calibri"/>
                <w:sz w:val="17"/>
                <w:szCs w:val="17"/>
                <w:b w:val="1"/>
                <w:bCs w:val="1"/>
                <w:color w:val="auto"/>
              </w:rPr>
              <w:t>Exhibit Descripton</w:t>
            </w: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20" w:type="dxa"/>
            <w:vAlign w:val="bottom"/>
            <w:tcBorders>
              <w:bottom w:val="single" w:sz="8" w:color="auto"/>
            </w:tcBorders>
          </w:tcPr>
          <w:p>
            <w:pPr>
              <w:spacing w:after="0" w:line="20" w:lineRule="exact"/>
              <w:rPr>
                <w:sz w:val="1"/>
                <w:szCs w:val="1"/>
                <w:color w:val="auto"/>
              </w:rPr>
            </w:pPr>
          </w:p>
        </w:tc>
      </w:tr>
      <w:tr>
        <w:trPr>
          <w:trHeight w:val="198"/>
        </w:trPr>
        <w:tc>
          <w:tcPr>
            <w:tcW w:w="1220" w:type="dxa"/>
            <w:vAlign w:val="bottom"/>
          </w:tcPr>
          <w:p>
            <w:pPr>
              <w:jc w:val="center"/>
              <w:spacing w:after="0" w:line="198" w:lineRule="exact"/>
              <w:rPr>
                <w:sz w:val="20"/>
                <w:szCs w:val="20"/>
                <w:color w:val="auto"/>
              </w:rPr>
            </w:pPr>
            <w:r>
              <w:rPr>
                <w:rFonts w:ascii="Calibri" w:cs="Calibri" w:eastAsia="Calibri" w:hAnsi="Calibri"/>
                <w:sz w:val="17"/>
                <w:szCs w:val="17"/>
                <w:color w:val="auto"/>
                <w:w w:val="99"/>
              </w:rPr>
              <w:t>31.1</w:t>
            </w:r>
          </w:p>
        </w:tc>
        <w:tc>
          <w:tcPr>
            <w:tcW w:w="140" w:type="dxa"/>
            <w:vAlign w:val="bottom"/>
          </w:tcPr>
          <w:p>
            <w:pPr>
              <w:spacing w:after="0"/>
              <w:rPr>
                <w:sz w:val="17"/>
                <w:szCs w:val="17"/>
                <w:color w:val="auto"/>
              </w:rPr>
            </w:pPr>
          </w:p>
        </w:tc>
        <w:tc>
          <w:tcPr>
            <w:tcW w:w="8520" w:type="dxa"/>
            <w:vAlign w:val="bottom"/>
          </w:tcPr>
          <w:p>
            <w:pPr>
              <w:ind w:left="20"/>
              <w:spacing w:after="0" w:line="198" w:lineRule="exact"/>
              <w:rPr>
                <w:sz w:val="20"/>
                <w:szCs w:val="20"/>
                <w:color w:val="auto"/>
              </w:rPr>
            </w:pPr>
            <w:r>
              <w:rPr>
                <w:rFonts w:ascii="Calibri" w:cs="Calibri" w:eastAsia="Calibri" w:hAnsi="Calibri"/>
                <w:sz w:val="17"/>
                <w:szCs w:val="17"/>
                <w:color w:val="auto"/>
              </w:rPr>
              <w:t>Certfcaton of Chief Executve Ofcer Required by Rule 13a-14(a) (17 CFR 240.13a-14(a)).</w:t>
            </w:r>
          </w:p>
        </w:tc>
      </w:tr>
      <w:tr>
        <w:trPr>
          <w:trHeight w:val="263"/>
        </w:trPr>
        <w:tc>
          <w:tcPr>
            <w:tcW w:w="1220" w:type="dxa"/>
            <w:vAlign w:val="bottom"/>
          </w:tcPr>
          <w:p>
            <w:pPr>
              <w:jc w:val="center"/>
              <w:spacing w:after="0"/>
              <w:rPr>
                <w:sz w:val="20"/>
                <w:szCs w:val="20"/>
                <w:color w:val="auto"/>
              </w:rPr>
            </w:pPr>
            <w:r>
              <w:rPr>
                <w:rFonts w:ascii="Calibri" w:cs="Calibri" w:eastAsia="Calibri" w:hAnsi="Calibri"/>
                <w:sz w:val="17"/>
                <w:szCs w:val="17"/>
                <w:color w:val="auto"/>
                <w:w w:val="99"/>
              </w:rPr>
              <w:t>31.2</w:t>
            </w:r>
          </w:p>
        </w:tc>
        <w:tc>
          <w:tcPr>
            <w:tcW w:w="140" w:type="dxa"/>
            <w:vAlign w:val="bottom"/>
          </w:tcPr>
          <w:p>
            <w:pPr>
              <w:spacing w:after="0"/>
              <w:rPr>
                <w:sz w:val="22"/>
                <w:szCs w:val="22"/>
                <w:color w:val="auto"/>
              </w:rPr>
            </w:pPr>
          </w:p>
        </w:tc>
        <w:tc>
          <w:tcPr>
            <w:tcW w:w="8520" w:type="dxa"/>
            <w:vAlign w:val="bottom"/>
          </w:tcPr>
          <w:p>
            <w:pPr>
              <w:ind w:left="20"/>
              <w:spacing w:after="0"/>
              <w:rPr>
                <w:sz w:val="20"/>
                <w:szCs w:val="20"/>
                <w:color w:val="auto"/>
              </w:rPr>
            </w:pPr>
            <w:r>
              <w:rPr>
                <w:rFonts w:ascii="Calibri" w:cs="Calibri" w:eastAsia="Calibri" w:hAnsi="Calibri"/>
                <w:sz w:val="17"/>
                <w:szCs w:val="17"/>
                <w:color w:val="auto"/>
              </w:rPr>
              <w:t>Certfcaton of Chief Financial Ofcer Required by Rule 13a-14(a) (17 CFR 240.13a-14(a)).</w:t>
            </w:r>
          </w:p>
        </w:tc>
      </w:tr>
      <w:tr>
        <w:trPr>
          <w:trHeight w:val="233"/>
        </w:trPr>
        <w:tc>
          <w:tcPr>
            <w:tcW w:w="1220" w:type="dxa"/>
            <w:vAlign w:val="bottom"/>
          </w:tcPr>
          <w:p>
            <w:pPr>
              <w:jc w:val="center"/>
              <w:spacing w:after="0"/>
              <w:rPr>
                <w:sz w:val="20"/>
                <w:szCs w:val="20"/>
                <w:color w:val="auto"/>
              </w:rPr>
            </w:pPr>
            <w:r>
              <w:rPr>
                <w:rFonts w:ascii="Calibri" w:cs="Calibri" w:eastAsia="Calibri" w:hAnsi="Calibri"/>
                <w:sz w:val="17"/>
                <w:szCs w:val="17"/>
                <w:color w:val="auto"/>
                <w:w w:val="99"/>
              </w:rPr>
              <w:t>32.1</w:t>
            </w:r>
          </w:p>
        </w:tc>
        <w:tc>
          <w:tcPr>
            <w:tcW w:w="14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Calibri" w:cs="Calibri" w:eastAsia="Calibri" w:hAnsi="Calibri"/>
                <w:sz w:val="17"/>
                <w:szCs w:val="17"/>
                <w:color w:val="auto"/>
              </w:rPr>
              <w:t>Certfcaton of Chief Executve Ofcer Pursuant to 18 U.S.C. Secton 1350, as adopted pursuant to Secton 906 of the</w:t>
            </w:r>
          </w:p>
        </w:tc>
      </w:tr>
      <w:tr>
        <w:trPr>
          <w:trHeight w:val="205"/>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20" w:type="dxa"/>
            <w:vAlign w:val="bottom"/>
          </w:tcPr>
          <w:p>
            <w:pPr>
              <w:ind w:left="20"/>
              <w:spacing w:after="0" w:line="205" w:lineRule="exact"/>
              <w:rPr>
                <w:sz w:val="20"/>
                <w:szCs w:val="20"/>
                <w:color w:val="auto"/>
              </w:rPr>
            </w:pPr>
            <w:r>
              <w:rPr>
                <w:rFonts w:ascii="Calibri" w:cs="Calibri" w:eastAsia="Calibri" w:hAnsi="Calibri"/>
                <w:sz w:val="17"/>
                <w:szCs w:val="17"/>
                <w:color w:val="auto"/>
              </w:rPr>
              <w:t>Sarbanes-Oxley Act of 2002.</w:t>
            </w:r>
          </w:p>
        </w:tc>
      </w:tr>
      <w:tr>
        <w:trPr>
          <w:trHeight w:val="246"/>
        </w:trPr>
        <w:tc>
          <w:tcPr>
            <w:tcW w:w="1220" w:type="dxa"/>
            <w:vAlign w:val="bottom"/>
          </w:tcPr>
          <w:p>
            <w:pPr>
              <w:jc w:val="center"/>
              <w:spacing w:after="0"/>
              <w:rPr>
                <w:sz w:val="20"/>
                <w:szCs w:val="20"/>
                <w:color w:val="auto"/>
              </w:rPr>
            </w:pPr>
            <w:r>
              <w:rPr>
                <w:rFonts w:ascii="Calibri" w:cs="Calibri" w:eastAsia="Calibri" w:hAnsi="Calibri"/>
                <w:sz w:val="17"/>
                <w:szCs w:val="17"/>
                <w:color w:val="auto"/>
                <w:w w:val="99"/>
              </w:rPr>
              <w:t>32.2</w:t>
            </w:r>
          </w:p>
        </w:tc>
        <w:tc>
          <w:tcPr>
            <w:tcW w:w="1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Calibri" w:cs="Calibri" w:eastAsia="Calibri" w:hAnsi="Calibri"/>
                <w:sz w:val="17"/>
                <w:szCs w:val="17"/>
                <w:color w:val="auto"/>
              </w:rPr>
              <w:t>Certfcaton of Chief Financial Ofcer Pursuant to 18 U.S.C. Secton 1350, as adopted pursuant to Secton 906 of the</w:t>
            </w:r>
          </w:p>
        </w:tc>
      </w:tr>
      <w:tr>
        <w:trPr>
          <w:trHeight w:val="205"/>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20" w:type="dxa"/>
            <w:vAlign w:val="bottom"/>
          </w:tcPr>
          <w:p>
            <w:pPr>
              <w:ind w:left="20"/>
              <w:spacing w:after="0" w:line="205" w:lineRule="exact"/>
              <w:rPr>
                <w:sz w:val="20"/>
                <w:szCs w:val="20"/>
                <w:color w:val="auto"/>
              </w:rPr>
            </w:pPr>
            <w:r>
              <w:rPr>
                <w:rFonts w:ascii="Calibri" w:cs="Calibri" w:eastAsia="Calibri" w:hAnsi="Calibri"/>
                <w:sz w:val="17"/>
                <w:szCs w:val="17"/>
                <w:color w:val="auto"/>
              </w:rPr>
              <w:t>Sarbanes-Oxley Act of 2002.</w:t>
            </w:r>
          </w:p>
        </w:tc>
      </w:tr>
      <w:tr>
        <w:trPr>
          <w:trHeight w:val="246"/>
        </w:trPr>
        <w:tc>
          <w:tcPr>
            <w:tcW w:w="1220" w:type="dxa"/>
            <w:vAlign w:val="bottom"/>
          </w:tcPr>
          <w:p>
            <w:pPr>
              <w:jc w:val="center"/>
              <w:spacing w:after="0"/>
              <w:rPr>
                <w:sz w:val="20"/>
                <w:szCs w:val="20"/>
                <w:color w:val="auto"/>
              </w:rPr>
            </w:pPr>
            <w:r>
              <w:rPr>
                <w:rFonts w:ascii="Calibri" w:cs="Calibri" w:eastAsia="Calibri" w:hAnsi="Calibri"/>
                <w:sz w:val="17"/>
                <w:szCs w:val="17"/>
                <w:color w:val="auto"/>
              </w:rPr>
              <w:t>101</w:t>
            </w:r>
          </w:p>
        </w:tc>
        <w:tc>
          <w:tcPr>
            <w:tcW w:w="1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Calibri" w:cs="Calibri" w:eastAsia="Calibri" w:hAnsi="Calibri"/>
                <w:sz w:val="17"/>
                <w:szCs w:val="17"/>
                <w:color w:val="auto"/>
              </w:rPr>
              <w:t>The following fnancial statements and notes from the AbbVie Inc. Quarterly Report on Form 10-Q for the quarter ended</w:t>
            </w:r>
          </w:p>
        </w:tc>
      </w:tr>
      <w:tr>
        <w:trPr>
          <w:trHeight w:val="168"/>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20" w:type="dxa"/>
            <w:vAlign w:val="bottom"/>
          </w:tcPr>
          <w:p>
            <w:pPr>
              <w:ind w:left="20"/>
              <w:spacing w:after="0" w:line="167" w:lineRule="exact"/>
              <w:rPr>
                <w:sz w:val="20"/>
                <w:szCs w:val="20"/>
                <w:color w:val="auto"/>
              </w:rPr>
            </w:pPr>
            <w:r>
              <w:rPr>
                <w:rFonts w:ascii="Calibri" w:cs="Calibri" w:eastAsia="Calibri" w:hAnsi="Calibri"/>
                <w:sz w:val="17"/>
                <w:szCs w:val="17"/>
                <w:color w:val="auto"/>
              </w:rPr>
              <w:t>September 30, 2024, fled on November 4, 2024, formated in iXBRL (Inline eXtensible Business Reportng Language):</w:t>
            </w:r>
          </w:p>
        </w:tc>
      </w:tr>
      <w:tr>
        <w:trPr>
          <w:trHeight w:val="168"/>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20" w:type="dxa"/>
            <w:vAlign w:val="bottom"/>
          </w:tcPr>
          <w:p>
            <w:pPr>
              <w:ind w:left="20"/>
              <w:spacing w:after="0" w:line="167" w:lineRule="exact"/>
              <w:rPr>
                <w:sz w:val="20"/>
                <w:szCs w:val="20"/>
                <w:color w:val="auto"/>
              </w:rPr>
            </w:pPr>
            <w:r>
              <w:rPr>
                <w:rFonts w:ascii="Calibri" w:cs="Calibri" w:eastAsia="Calibri" w:hAnsi="Calibri"/>
                <w:sz w:val="17"/>
                <w:szCs w:val="17"/>
                <w:color w:val="auto"/>
              </w:rPr>
              <w:t>(i) Condensed Consolidated Statements of Earnings; (ii) Condensed Consolidated Statements of Comprehensive Income;</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20" w:type="dxa"/>
            <w:vAlign w:val="bottom"/>
          </w:tcPr>
          <w:p>
            <w:pPr>
              <w:ind w:left="20"/>
              <w:spacing w:after="0" w:line="180" w:lineRule="exact"/>
              <w:rPr>
                <w:sz w:val="20"/>
                <w:szCs w:val="20"/>
                <w:color w:val="auto"/>
              </w:rPr>
            </w:pPr>
            <w:r>
              <w:rPr>
                <w:rFonts w:ascii="Calibri" w:cs="Calibri" w:eastAsia="Calibri" w:hAnsi="Calibri"/>
                <w:sz w:val="17"/>
                <w:szCs w:val="17"/>
                <w:color w:val="auto"/>
                <w:w w:val="98"/>
              </w:rPr>
              <w:t>(iii) Condensed Consolidated Balance Sheets; (iv) Condensed Consolidated Statements of Equity; (v) Condensed Consolidated</w:t>
            </w:r>
          </w:p>
        </w:tc>
      </w:tr>
      <w:tr>
        <w:trPr>
          <w:trHeight w:val="205"/>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20" w:type="dxa"/>
            <w:vAlign w:val="bottom"/>
          </w:tcPr>
          <w:p>
            <w:pPr>
              <w:ind w:left="20"/>
              <w:spacing w:after="0" w:line="205" w:lineRule="exact"/>
              <w:rPr>
                <w:sz w:val="20"/>
                <w:szCs w:val="20"/>
                <w:color w:val="auto"/>
              </w:rPr>
            </w:pPr>
            <w:r>
              <w:rPr>
                <w:rFonts w:ascii="Calibri" w:cs="Calibri" w:eastAsia="Calibri" w:hAnsi="Calibri"/>
                <w:sz w:val="17"/>
                <w:szCs w:val="17"/>
                <w:color w:val="auto"/>
              </w:rPr>
              <w:t>Statements of Cash Flows; and (vi) the Notes to Condensed Consolidated Financial Statements.</w:t>
            </w:r>
          </w:p>
        </w:tc>
      </w:tr>
    </w:tbl>
    <w:p>
      <w:pPr>
        <w:spacing w:after="0" w:line="79" w:lineRule="exact"/>
        <w:rPr>
          <w:sz w:val="20"/>
          <w:szCs w:val="20"/>
          <w:color w:val="auto"/>
        </w:rPr>
      </w:pPr>
    </w:p>
    <w:p>
      <w:pPr>
        <w:ind w:left="1380" w:right="1700" w:hanging="898"/>
        <w:spacing w:after="0" w:line="215" w:lineRule="auto"/>
        <w:tabs>
          <w:tab w:leader="none" w:pos="138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Cover Page Interactve Data File (the cover page from the AbbVie Inc. Quarterly Report on Form 10-Q formated as Inline XBRL and contained in Exhibit 101).</w:t>
      </w:r>
    </w:p>
    <w:p>
      <w:pPr>
        <w:spacing w:after="0" w:line="322" w:lineRule="exact"/>
        <w:rPr>
          <w:sz w:val="20"/>
          <w:szCs w:val="20"/>
          <w:color w:val="auto"/>
        </w:rPr>
      </w:pPr>
    </w:p>
    <w:p>
      <w:pPr>
        <w:spacing w:after="0"/>
        <w:rPr>
          <w:sz w:val="20"/>
          <w:szCs w:val="20"/>
          <w:color w:val="auto"/>
        </w:rPr>
      </w:pPr>
      <w:r>
        <w:rPr>
          <w:rFonts w:ascii="Calibri" w:cs="Calibri" w:eastAsia="Calibri" w:hAnsi="Calibri"/>
          <w:sz w:val="17"/>
          <w:szCs w:val="17"/>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824865</wp:posOffset>
            </wp:positionV>
            <wp:extent cx="491490" cy="901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60" w:type="dxa"/>
            <w:vAlign w:val="bottom"/>
          </w:tcPr>
          <w:p>
            <w:pPr>
              <w:ind w:left="84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i w:val="1"/>
                <w:iCs w:val="1"/>
                <w:color w:val="auto"/>
              </w:rPr>
              <w:t>45</w:t>
            </w:r>
          </w:p>
        </w:tc>
      </w:tr>
      <w:tr>
        <w:trPr>
          <w:trHeight w:val="231"/>
        </w:trPr>
        <w:tc>
          <w:tcPr>
            <w:tcW w:w="103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47" w:name="page48"/>
    <w:bookmarkEnd w:id="47"/>
    <w:p>
      <w:pPr>
        <w:jc w:val="center"/>
        <w:spacing w:after="0"/>
        <w:rPr>
          <w:sz w:val="20"/>
          <w:szCs w:val="20"/>
          <w:color w:val="auto"/>
        </w:rPr>
      </w:pPr>
      <w:r>
        <w:rPr>
          <w:rFonts w:ascii="Calibri" w:cs="Calibri" w:eastAsia="Calibri" w:hAnsi="Calibri"/>
          <w:sz w:val="21"/>
          <w:szCs w:val="21"/>
          <w:b w:val="1"/>
          <w:bCs w:val="1"/>
          <w:color w:val="444867"/>
        </w:rPr>
        <w:t>SIGNATURE</w:t>
      </w:r>
    </w:p>
    <w:p>
      <w:pPr>
        <w:spacing w:after="0" w:line="290" w:lineRule="exact"/>
        <w:rPr>
          <w:sz w:val="20"/>
          <w:szCs w:val="20"/>
          <w:color w:val="auto"/>
        </w:rPr>
      </w:pPr>
    </w:p>
    <w:p>
      <w:pPr>
        <w:ind w:right="620"/>
        <w:spacing w:after="0" w:line="237" w:lineRule="auto"/>
        <w:rPr>
          <w:sz w:val="20"/>
          <w:szCs w:val="20"/>
          <w:color w:val="auto"/>
        </w:rPr>
      </w:pPr>
      <w:r>
        <w:rPr>
          <w:rFonts w:ascii="Calibri" w:cs="Calibri" w:eastAsia="Calibri" w:hAnsi="Calibri"/>
          <w:sz w:val="17"/>
          <w:szCs w:val="17"/>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5260" w:type="dxa"/>
        <w:tblCellMar>
          <w:top w:w="0" w:type="dxa"/>
          <w:left w:w="0" w:type="dxa"/>
          <w:bottom w:w="0" w:type="dxa"/>
          <w:right w:w="0" w:type="dxa"/>
        </w:tblCellMar>
      </w:tblPr>
      <w:tr>
        <w:trPr>
          <w:trHeight w:val="208"/>
        </w:trPr>
        <w:tc>
          <w:tcPr>
            <w:tcW w:w="74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Calibri" w:cs="Calibri" w:eastAsia="Calibri" w:hAnsi="Calibri"/>
                <w:sz w:val="17"/>
                <w:szCs w:val="17"/>
                <w:b w:val="1"/>
                <w:bCs w:val="1"/>
                <w:color w:val="auto"/>
              </w:rPr>
              <w:t>ABBVIE INC.</w:t>
            </w:r>
          </w:p>
        </w:tc>
      </w:tr>
      <w:tr>
        <w:trPr>
          <w:trHeight w:val="709"/>
        </w:trPr>
        <w:tc>
          <w:tcPr>
            <w:tcW w:w="740" w:type="dxa"/>
            <w:vAlign w:val="bottom"/>
          </w:tcPr>
          <w:p>
            <w:pPr>
              <w:spacing w:after="0"/>
              <w:rPr>
                <w:sz w:val="20"/>
                <w:szCs w:val="20"/>
                <w:color w:val="auto"/>
              </w:rPr>
            </w:pPr>
            <w:r>
              <w:rPr>
                <w:rFonts w:ascii="Calibri" w:cs="Calibri" w:eastAsia="Calibri" w:hAnsi="Calibri"/>
                <w:sz w:val="17"/>
                <w:szCs w:val="17"/>
                <w:color w:val="auto"/>
              </w:rPr>
              <w:t>By:</w:t>
            </w:r>
          </w:p>
        </w:tc>
        <w:tc>
          <w:tcPr>
            <w:tcW w:w="5240" w:type="dxa"/>
            <w:vAlign w:val="bottom"/>
          </w:tcPr>
          <w:p>
            <w:pPr>
              <w:ind w:left="60"/>
              <w:spacing w:after="0"/>
              <w:rPr>
                <w:sz w:val="20"/>
                <w:szCs w:val="20"/>
                <w:color w:val="auto"/>
              </w:rPr>
            </w:pPr>
            <w:r>
              <w:rPr>
                <w:rFonts w:ascii="Calibri" w:cs="Calibri" w:eastAsia="Calibri" w:hAnsi="Calibri"/>
                <w:sz w:val="17"/>
                <w:szCs w:val="17"/>
                <w:color w:val="auto"/>
              </w:rPr>
              <w:t>/s/ Scot T. Reents</w:t>
            </w:r>
          </w:p>
        </w:tc>
      </w:tr>
      <w:tr>
        <w:trPr>
          <w:trHeight w:val="22"/>
        </w:trPr>
        <w:tc>
          <w:tcPr>
            <w:tcW w:w="7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198"/>
        </w:trPr>
        <w:tc>
          <w:tcPr>
            <w:tcW w:w="740" w:type="dxa"/>
            <w:vAlign w:val="bottom"/>
          </w:tcPr>
          <w:p>
            <w:pPr>
              <w:spacing w:after="0"/>
              <w:rPr>
                <w:sz w:val="17"/>
                <w:szCs w:val="17"/>
                <w:color w:val="auto"/>
              </w:rPr>
            </w:pPr>
          </w:p>
        </w:tc>
        <w:tc>
          <w:tcPr>
            <w:tcW w:w="5240" w:type="dxa"/>
            <w:vAlign w:val="bottom"/>
          </w:tcPr>
          <w:p>
            <w:pPr>
              <w:ind w:left="60"/>
              <w:spacing w:after="0" w:line="198" w:lineRule="exact"/>
              <w:rPr>
                <w:sz w:val="20"/>
                <w:szCs w:val="20"/>
                <w:color w:val="auto"/>
              </w:rPr>
            </w:pPr>
            <w:r>
              <w:rPr>
                <w:rFonts w:ascii="Calibri" w:cs="Calibri" w:eastAsia="Calibri" w:hAnsi="Calibri"/>
                <w:sz w:val="17"/>
                <w:szCs w:val="17"/>
                <w:color w:val="auto"/>
              </w:rPr>
              <w:t>Scot T. Reents</w:t>
            </w:r>
          </w:p>
        </w:tc>
      </w:tr>
      <w:tr>
        <w:trPr>
          <w:trHeight w:val="211"/>
        </w:trPr>
        <w:tc>
          <w:tcPr>
            <w:tcW w:w="74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Calibri" w:cs="Calibri" w:eastAsia="Calibri" w:hAnsi="Calibri"/>
                <w:sz w:val="17"/>
                <w:szCs w:val="17"/>
                <w:color w:val="auto"/>
              </w:rPr>
              <w:t>Executve Vice President,</w:t>
            </w:r>
          </w:p>
        </w:tc>
      </w:tr>
      <w:tr>
        <w:trPr>
          <w:trHeight w:val="219"/>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7"/>
                <w:szCs w:val="17"/>
                <w:color w:val="auto"/>
              </w:rPr>
              <w:t>Chief Financial Ofcer (Principal Financial Ofcer)</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7"/>
          <w:szCs w:val="17"/>
          <w:color w:val="auto"/>
        </w:rPr>
        <w:t>Date: 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570865</wp:posOffset>
            </wp:positionV>
            <wp:extent cx="491490" cy="901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1490" cy="9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8440" w:type="dxa"/>
        <w:tblCellMar>
          <w:top w:w="0" w:type="dxa"/>
          <w:left w:w="0" w:type="dxa"/>
          <w:bottom w:w="0" w:type="dxa"/>
          <w:right w:w="0" w:type="dxa"/>
        </w:tblCellMar>
      </w:tblPr>
      <w:tr>
        <w:trPr>
          <w:trHeight w:val="237"/>
        </w:trPr>
        <w:tc>
          <w:tcPr>
            <w:tcW w:w="1920" w:type="dxa"/>
            <w:vAlign w:val="bottom"/>
          </w:tcPr>
          <w:p>
            <w:pPr>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7"/>
                <w:szCs w:val="17"/>
                <w:b w:val="1"/>
                <w:bCs w:val="1"/>
                <w:i w:val="1"/>
                <w:iCs w:val="1"/>
                <w:color w:val="auto"/>
              </w:rPr>
              <w:t>46</w:t>
            </w:r>
          </w:p>
        </w:tc>
      </w:tr>
    </w:tbl>
    <w:p>
      <w:pPr>
        <w:sectPr>
          <w:pgSz w:w="11900" w:h="16838" w:orient="portrait"/>
          <w:cols w:equalWidth="0" w:num="1">
            <w:col w:w="11240"/>
          </w:cols>
          <w:pgMar w:left="320" w:top="1081"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17"/>
          <w:szCs w:val="17"/>
          <w:b w:val="1"/>
          <w:bCs w:val="1"/>
          <w:color w:val="auto"/>
        </w:rPr>
        <w:t>Exhibit 31.1</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Certfcaton of Chief Executve Ofcer</w:t>
      </w:r>
    </w:p>
    <w:p>
      <w:pPr>
        <w:jc w:val="center"/>
        <w:spacing w:after="0" w:line="238" w:lineRule="auto"/>
        <w:rPr>
          <w:sz w:val="20"/>
          <w:szCs w:val="20"/>
          <w:color w:val="auto"/>
        </w:rPr>
      </w:pPr>
      <w:r>
        <w:rPr>
          <w:rFonts w:ascii="Calibri" w:cs="Calibri" w:eastAsia="Calibri" w:hAnsi="Calibri"/>
          <w:sz w:val="17"/>
          <w:szCs w:val="17"/>
          <w:b w:val="1"/>
          <w:bCs w:val="1"/>
          <w:color w:val="auto"/>
        </w:rPr>
        <w:t>Required by Rule 13a-14(a) (17 CFR 240.13a-14(a))</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Robert A. Michael, certfy that:</w:t>
      </w:r>
    </w:p>
    <w:p>
      <w:pPr>
        <w:spacing w:after="0" w:line="231" w:lineRule="exact"/>
        <w:rPr>
          <w:sz w:val="20"/>
          <w:szCs w:val="20"/>
          <w:color w:val="auto"/>
        </w:rPr>
      </w:pPr>
    </w:p>
    <w:p>
      <w:pPr>
        <w:ind w:left="280" w:hanging="277"/>
        <w:spacing w:after="0"/>
        <w:tabs>
          <w:tab w:leader="none" w:pos="28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AbbVie Inc.;</w:t>
      </w:r>
    </w:p>
    <w:p>
      <w:pPr>
        <w:spacing w:after="0" w:line="233" w:lineRule="exact"/>
        <w:rPr>
          <w:rFonts w:ascii="Calibri" w:cs="Calibri" w:eastAsia="Calibri" w:hAnsi="Calibri"/>
          <w:sz w:val="17"/>
          <w:szCs w:val="17"/>
          <w:color w:val="auto"/>
        </w:rPr>
      </w:pPr>
    </w:p>
    <w:p>
      <w:pPr>
        <w:ind w:left="620" w:right="160" w:hanging="617"/>
        <w:spacing w:after="0" w:line="265" w:lineRule="auto"/>
        <w:tabs>
          <w:tab w:leader="none" w:pos="280" w:val="left"/>
        </w:tabs>
        <w:numPr>
          <w:ilvl w:val="0"/>
          <w:numId w:val="26"/>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Calibri" w:cs="Calibri" w:eastAsia="Calibri" w:hAnsi="Calibri"/>
          <w:sz w:val="16"/>
          <w:szCs w:val="16"/>
          <w:color w:val="auto"/>
        </w:rPr>
      </w:pPr>
    </w:p>
    <w:p>
      <w:pPr>
        <w:ind w:left="620" w:right="440" w:hanging="617"/>
        <w:spacing w:after="0" w:line="237" w:lineRule="auto"/>
        <w:tabs>
          <w:tab w:leader="none" w:pos="28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234" w:lineRule="exact"/>
        <w:rPr>
          <w:rFonts w:ascii="Calibri" w:cs="Calibri" w:eastAsia="Calibri" w:hAnsi="Calibri"/>
          <w:sz w:val="17"/>
          <w:szCs w:val="17"/>
          <w:color w:val="auto"/>
        </w:rPr>
      </w:pPr>
    </w:p>
    <w:p>
      <w:pPr>
        <w:ind w:left="620" w:right="100" w:hanging="617"/>
        <w:spacing w:after="0" w:line="237" w:lineRule="auto"/>
        <w:tabs>
          <w:tab w:leader="none" w:pos="28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234" w:lineRule="exact"/>
        <w:rPr>
          <w:rFonts w:ascii="Calibri" w:cs="Calibri" w:eastAsia="Calibri" w:hAnsi="Calibri"/>
          <w:sz w:val="17"/>
          <w:szCs w:val="17"/>
          <w:color w:val="auto"/>
        </w:rPr>
      </w:pPr>
    </w:p>
    <w:p>
      <w:pPr>
        <w:ind w:left="940" w:right="140" w:hanging="318"/>
        <w:spacing w:after="0" w:line="238" w:lineRule="auto"/>
        <w:tabs>
          <w:tab w:leader="none" w:pos="913"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left="940" w:right="40" w:hanging="318"/>
        <w:spacing w:after="0" w:line="238" w:lineRule="auto"/>
        <w:tabs>
          <w:tab w:leader="none" w:pos="921"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left="940" w:right="180" w:hanging="318"/>
        <w:spacing w:after="0" w:line="237" w:lineRule="auto"/>
        <w:tabs>
          <w:tab w:leader="none" w:pos="904"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left="940" w:right="20" w:hanging="318"/>
        <w:spacing w:after="0" w:line="237" w:lineRule="auto"/>
        <w:tabs>
          <w:tab w:leader="none" w:pos="921"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234" w:lineRule="exact"/>
        <w:rPr>
          <w:rFonts w:ascii="Calibri" w:cs="Calibri" w:eastAsia="Calibri" w:hAnsi="Calibri"/>
          <w:sz w:val="17"/>
          <w:szCs w:val="17"/>
          <w:color w:val="auto"/>
        </w:rPr>
      </w:pPr>
    </w:p>
    <w:p>
      <w:pPr>
        <w:ind w:left="620" w:right="200" w:hanging="617"/>
        <w:spacing w:after="0" w:line="237" w:lineRule="auto"/>
        <w:tabs>
          <w:tab w:leader="none" w:pos="28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AbbVie’s other certfying ofcer and I have disclosed, based on our most recent evaluaton of internal control over fnancial reportng, to AbbVie’s auditors and the audit commitee of AbbVie’s board of directors:</w:t>
      </w:r>
    </w:p>
    <w:p>
      <w:pPr>
        <w:spacing w:after="0" w:line="234" w:lineRule="exact"/>
        <w:rPr>
          <w:rFonts w:ascii="Calibri" w:cs="Calibri" w:eastAsia="Calibri" w:hAnsi="Calibri"/>
          <w:sz w:val="17"/>
          <w:szCs w:val="17"/>
          <w:color w:val="auto"/>
        </w:rPr>
      </w:pPr>
    </w:p>
    <w:p>
      <w:pPr>
        <w:ind w:left="940" w:right="120" w:hanging="318"/>
        <w:spacing w:after="0" w:line="237" w:lineRule="auto"/>
        <w:tabs>
          <w:tab w:leader="none" w:pos="913"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234" w:lineRule="exact"/>
        <w:rPr>
          <w:rFonts w:ascii="Calibri" w:cs="Calibri" w:eastAsia="Calibri" w:hAnsi="Calibri"/>
          <w:sz w:val="17"/>
          <w:szCs w:val="17"/>
          <w:color w:val="auto"/>
        </w:rPr>
      </w:pPr>
    </w:p>
    <w:p>
      <w:pPr>
        <w:ind w:left="940" w:right="20" w:hanging="318"/>
        <w:spacing w:after="0" w:line="237" w:lineRule="auto"/>
        <w:tabs>
          <w:tab w:leader="none" w:pos="921"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AbbVie’s internal control over fnancial reportng.</w:t>
      </w:r>
    </w:p>
    <w:p>
      <w:pPr>
        <w:spacing w:after="0" w:line="361" w:lineRule="exact"/>
        <w:rPr>
          <w:sz w:val="20"/>
          <w:szCs w:val="20"/>
          <w:color w:val="auto"/>
        </w:rPr>
      </w:pPr>
    </w:p>
    <w:p>
      <w:pPr>
        <w:ind w:left="20"/>
        <w:spacing w:after="0"/>
        <w:tabs>
          <w:tab w:leader="none" w:pos="600" w:val="left"/>
          <w:tab w:leader="none" w:pos="5340" w:val="left"/>
        </w:tabs>
        <w:rPr>
          <w:sz w:val="20"/>
          <w:szCs w:val="20"/>
          <w:color w:val="auto"/>
        </w:rPr>
      </w:pPr>
      <w:r>
        <w:rPr>
          <w:rFonts w:ascii="Calibri" w:cs="Calibri" w:eastAsia="Calibri" w:hAnsi="Calibri"/>
          <w:sz w:val="17"/>
          <w:szCs w:val="17"/>
          <w:color w:val="auto"/>
        </w:rPr>
        <w:t>Date:</w:t>
        <w:tab/>
        <w:t>November 4, 2024</w:t>
      </w:r>
      <w:r>
        <w:rPr>
          <w:sz w:val="20"/>
          <w:szCs w:val="20"/>
          <w:color w:val="auto"/>
        </w:rPr>
        <w:tab/>
      </w:r>
      <w:r>
        <w:rPr>
          <w:rFonts w:ascii="Calibri" w:cs="Calibri" w:eastAsia="Calibri" w:hAnsi="Calibri"/>
          <w:sz w:val="16"/>
          <w:szCs w:val="16"/>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13970</wp:posOffset>
            </wp:positionV>
            <wp:extent cx="30041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5" w:lineRule="exact"/>
        <w:rPr>
          <w:sz w:val="20"/>
          <w:szCs w:val="20"/>
          <w:color w:val="auto"/>
        </w:rPr>
      </w:pPr>
    </w:p>
    <w:p>
      <w:pPr>
        <w:ind w:left="5360"/>
        <w:spacing w:after="0"/>
        <w:rPr>
          <w:sz w:val="20"/>
          <w:szCs w:val="20"/>
          <w:color w:val="auto"/>
        </w:rPr>
      </w:pPr>
      <w:r>
        <w:rPr>
          <w:rFonts w:ascii="Calibri" w:cs="Calibri" w:eastAsia="Calibri" w:hAnsi="Calibri"/>
          <w:sz w:val="17"/>
          <w:szCs w:val="17"/>
          <w:color w:val="auto"/>
        </w:rPr>
        <w:t>Robert A. Michael, Chief Executve Ofcer</w:t>
      </w:r>
    </w:p>
    <w:p>
      <w:pPr>
        <w:sectPr>
          <w:pgSz w:w="11900" w:h="16838" w:orient="portrait"/>
          <w:cols w:equalWidth="0" w:num="1">
            <w:col w:w="11240"/>
          </w:cols>
          <w:pgMar w:left="320" w:top="851" w:right="339" w:bottom="1440" w:gutter="0" w:footer="0" w:header="0"/>
        </w:sectPr>
      </w:pPr>
    </w:p>
    <w:bookmarkStart w:id="49" w:name="page50"/>
    <w:bookmarkEnd w:id="49"/>
    <w:p>
      <w:pPr>
        <w:jc w:val="right"/>
        <w:spacing w:after="0"/>
        <w:rPr>
          <w:sz w:val="20"/>
          <w:szCs w:val="20"/>
          <w:color w:val="auto"/>
        </w:rPr>
      </w:pPr>
      <w:r>
        <w:rPr>
          <w:rFonts w:ascii="Calibri" w:cs="Calibri" w:eastAsia="Calibri" w:hAnsi="Calibri"/>
          <w:sz w:val="17"/>
          <w:szCs w:val="17"/>
          <w:b w:val="1"/>
          <w:bCs w:val="1"/>
          <w:color w:val="auto"/>
        </w:rPr>
        <w:t>Exhibit 31.2</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Certfcaton of Chief Financial Ofcer</w:t>
      </w:r>
    </w:p>
    <w:p>
      <w:pPr>
        <w:jc w:val="center"/>
        <w:spacing w:after="0" w:line="238" w:lineRule="auto"/>
        <w:rPr>
          <w:sz w:val="20"/>
          <w:szCs w:val="20"/>
          <w:color w:val="auto"/>
        </w:rPr>
      </w:pPr>
      <w:r>
        <w:rPr>
          <w:rFonts w:ascii="Calibri" w:cs="Calibri" w:eastAsia="Calibri" w:hAnsi="Calibri"/>
          <w:sz w:val="17"/>
          <w:szCs w:val="17"/>
          <w:b w:val="1"/>
          <w:bCs w:val="1"/>
          <w:color w:val="auto"/>
        </w:rPr>
        <w:t>Required by Rule 13a-14(a) (17 CFR 240.13a-14(a))</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Scot T. Reents, certfy that:</w:t>
      </w:r>
    </w:p>
    <w:p>
      <w:pPr>
        <w:spacing w:after="0" w:line="231" w:lineRule="exact"/>
        <w:rPr>
          <w:sz w:val="20"/>
          <w:szCs w:val="20"/>
          <w:color w:val="auto"/>
        </w:rPr>
      </w:pPr>
    </w:p>
    <w:p>
      <w:pPr>
        <w:ind w:left="280" w:hanging="277"/>
        <w:spacing w:after="0"/>
        <w:tabs>
          <w:tab w:leader="none" w:pos="28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AbbVie Inc.;</w:t>
      </w:r>
    </w:p>
    <w:p>
      <w:pPr>
        <w:spacing w:after="0" w:line="233" w:lineRule="exact"/>
        <w:rPr>
          <w:rFonts w:ascii="Calibri" w:cs="Calibri" w:eastAsia="Calibri" w:hAnsi="Calibri"/>
          <w:sz w:val="17"/>
          <w:szCs w:val="17"/>
          <w:color w:val="auto"/>
        </w:rPr>
      </w:pPr>
    </w:p>
    <w:p>
      <w:pPr>
        <w:ind w:left="620" w:right="160" w:hanging="617"/>
        <w:spacing w:after="0" w:line="265" w:lineRule="auto"/>
        <w:tabs>
          <w:tab w:leader="none" w:pos="280" w:val="left"/>
        </w:tabs>
        <w:numPr>
          <w:ilvl w:val="0"/>
          <w:numId w:val="27"/>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Calibri" w:cs="Calibri" w:eastAsia="Calibri" w:hAnsi="Calibri"/>
          <w:sz w:val="16"/>
          <w:szCs w:val="16"/>
          <w:color w:val="auto"/>
        </w:rPr>
      </w:pPr>
    </w:p>
    <w:p>
      <w:pPr>
        <w:ind w:left="620" w:right="440" w:hanging="617"/>
        <w:spacing w:after="0" w:line="237" w:lineRule="auto"/>
        <w:tabs>
          <w:tab w:leader="none" w:pos="28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234" w:lineRule="exact"/>
        <w:rPr>
          <w:rFonts w:ascii="Calibri" w:cs="Calibri" w:eastAsia="Calibri" w:hAnsi="Calibri"/>
          <w:sz w:val="17"/>
          <w:szCs w:val="17"/>
          <w:color w:val="auto"/>
        </w:rPr>
      </w:pPr>
    </w:p>
    <w:p>
      <w:pPr>
        <w:ind w:left="620" w:right="100" w:hanging="617"/>
        <w:spacing w:after="0" w:line="237" w:lineRule="auto"/>
        <w:tabs>
          <w:tab w:leader="none" w:pos="28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234" w:lineRule="exact"/>
        <w:rPr>
          <w:rFonts w:ascii="Calibri" w:cs="Calibri" w:eastAsia="Calibri" w:hAnsi="Calibri"/>
          <w:sz w:val="17"/>
          <w:szCs w:val="17"/>
          <w:color w:val="auto"/>
        </w:rPr>
      </w:pPr>
    </w:p>
    <w:p>
      <w:pPr>
        <w:ind w:left="940" w:right="140" w:hanging="318"/>
        <w:spacing w:after="0" w:line="238" w:lineRule="auto"/>
        <w:tabs>
          <w:tab w:leader="none" w:pos="913"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left="940" w:right="40" w:hanging="318"/>
        <w:spacing w:after="0" w:line="238" w:lineRule="auto"/>
        <w:tabs>
          <w:tab w:leader="none" w:pos="921"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left="940" w:right="180" w:hanging="318"/>
        <w:spacing w:after="0" w:line="237" w:lineRule="auto"/>
        <w:tabs>
          <w:tab w:leader="none" w:pos="904"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left="940" w:right="20" w:hanging="318"/>
        <w:spacing w:after="0" w:line="237" w:lineRule="auto"/>
        <w:tabs>
          <w:tab w:leader="none" w:pos="921"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234" w:lineRule="exact"/>
        <w:rPr>
          <w:rFonts w:ascii="Calibri" w:cs="Calibri" w:eastAsia="Calibri" w:hAnsi="Calibri"/>
          <w:sz w:val="17"/>
          <w:szCs w:val="17"/>
          <w:color w:val="auto"/>
        </w:rPr>
      </w:pPr>
    </w:p>
    <w:p>
      <w:pPr>
        <w:ind w:left="620" w:right="200" w:hanging="617"/>
        <w:spacing w:after="0" w:line="237" w:lineRule="auto"/>
        <w:tabs>
          <w:tab w:leader="none" w:pos="28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AbbVie’s other certfying ofcer and I have disclosed, based on our most recent evaluaton of internal control over fnancial reportng, to AbbVie’s auditors and the audit commitee of AbbVie’s board of directors:</w:t>
      </w:r>
    </w:p>
    <w:p>
      <w:pPr>
        <w:spacing w:after="0" w:line="234" w:lineRule="exact"/>
        <w:rPr>
          <w:rFonts w:ascii="Calibri" w:cs="Calibri" w:eastAsia="Calibri" w:hAnsi="Calibri"/>
          <w:sz w:val="17"/>
          <w:szCs w:val="17"/>
          <w:color w:val="auto"/>
        </w:rPr>
      </w:pPr>
    </w:p>
    <w:p>
      <w:pPr>
        <w:ind w:left="940" w:right="120" w:hanging="318"/>
        <w:spacing w:after="0" w:line="237" w:lineRule="auto"/>
        <w:tabs>
          <w:tab w:leader="none" w:pos="913"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234" w:lineRule="exact"/>
        <w:rPr>
          <w:rFonts w:ascii="Calibri" w:cs="Calibri" w:eastAsia="Calibri" w:hAnsi="Calibri"/>
          <w:sz w:val="17"/>
          <w:szCs w:val="17"/>
          <w:color w:val="auto"/>
        </w:rPr>
      </w:pPr>
    </w:p>
    <w:p>
      <w:pPr>
        <w:ind w:left="940" w:right="20" w:hanging="318"/>
        <w:spacing w:after="0" w:line="237" w:lineRule="auto"/>
        <w:tabs>
          <w:tab w:leader="none" w:pos="921"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AbbVie’s internal control over fnancial reportng.</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320" w:type="dxa"/>
            <w:vAlign w:val="bottom"/>
          </w:tcPr>
          <w:p>
            <w:pPr>
              <w:spacing w:after="0"/>
              <w:rPr>
                <w:sz w:val="20"/>
                <w:szCs w:val="20"/>
                <w:color w:val="auto"/>
              </w:rPr>
            </w:pPr>
            <w:r>
              <w:rPr>
                <w:rFonts w:ascii="Calibri" w:cs="Calibri" w:eastAsia="Calibri" w:hAnsi="Calibri"/>
                <w:sz w:val="17"/>
                <w:szCs w:val="17"/>
                <w:color w:val="auto"/>
              </w:rPr>
              <w:t>Date:   November 4, 2024</w:t>
            </w:r>
          </w:p>
        </w:tc>
        <w:tc>
          <w:tcPr>
            <w:tcW w:w="4740" w:type="dxa"/>
            <w:vAlign w:val="bottom"/>
          </w:tcPr>
          <w:p>
            <w:pPr>
              <w:ind w:left="20"/>
              <w:spacing w:after="0"/>
              <w:rPr>
                <w:sz w:val="20"/>
                <w:szCs w:val="20"/>
                <w:color w:val="auto"/>
              </w:rPr>
            </w:pPr>
            <w:r>
              <w:rPr>
                <w:rFonts w:ascii="Calibri" w:cs="Calibri" w:eastAsia="Calibri" w:hAnsi="Calibri"/>
                <w:sz w:val="17"/>
                <w:szCs w:val="17"/>
                <w:color w:val="auto"/>
              </w:rPr>
              <w:t>/s/ Scot T. Reents</w:t>
            </w:r>
          </w:p>
        </w:tc>
      </w:tr>
      <w:tr>
        <w:trPr>
          <w:trHeight w:val="22"/>
        </w:trPr>
        <w:tc>
          <w:tcPr>
            <w:tcW w:w="53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r>
      <w:tr>
        <w:trPr>
          <w:trHeight w:val="198"/>
        </w:trPr>
        <w:tc>
          <w:tcPr>
            <w:tcW w:w="5320" w:type="dxa"/>
            <w:vAlign w:val="bottom"/>
          </w:tcPr>
          <w:p>
            <w:pPr>
              <w:spacing w:after="0"/>
              <w:rPr>
                <w:sz w:val="17"/>
                <w:szCs w:val="17"/>
                <w:color w:val="auto"/>
              </w:rPr>
            </w:pPr>
          </w:p>
        </w:tc>
        <w:tc>
          <w:tcPr>
            <w:tcW w:w="4740" w:type="dxa"/>
            <w:vAlign w:val="bottom"/>
          </w:tcPr>
          <w:p>
            <w:pPr>
              <w:ind w:left="20"/>
              <w:spacing w:after="0" w:line="198" w:lineRule="exact"/>
              <w:rPr>
                <w:sz w:val="20"/>
                <w:szCs w:val="20"/>
                <w:color w:val="auto"/>
              </w:rPr>
            </w:pPr>
            <w:r>
              <w:rPr>
                <w:rFonts w:ascii="Calibri" w:cs="Calibri" w:eastAsia="Calibri" w:hAnsi="Calibri"/>
                <w:sz w:val="17"/>
                <w:szCs w:val="17"/>
                <w:color w:val="auto"/>
              </w:rPr>
              <w:t>Scot T. Reents, Executve Vice President,</w:t>
            </w:r>
          </w:p>
        </w:tc>
      </w:tr>
      <w:tr>
        <w:trPr>
          <w:trHeight w:val="211"/>
        </w:trPr>
        <w:tc>
          <w:tcPr>
            <w:tcW w:w="53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Calibri" w:cs="Calibri" w:eastAsia="Calibri" w:hAnsi="Calibri"/>
                <w:sz w:val="17"/>
                <w:szCs w:val="17"/>
                <w:color w:val="auto"/>
              </w:rPr>
              <w:t>Chief Financial Ofcer</w:t>
            </w:r>
          </w:p>
        </w:tc>
      </w:tr>
    </w:tbl>
    <w:p>
      <w:pPr>
        <w:sectPr>
          <w:pgSz w:w="11900" w:h="16838" w:orient="portrait"/>
          <w:cols w:equalWidth="0" w:num="1">
            <w:col w:w="11240"/>
          </w:cols>
          <w:pgMar w:left="320" w:top="851"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7"/>
          <w:szCs w:val="17"/>
          <w:b w:val="1"/>
          <w:bCs w:val="1"/>
          <w:color w:val="auto"/>
        </w:rPr>
        <w:t>Exhibit 32.1</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Certfcaton Pursuant To</w:t>
      </w:r>
    </w:p>
    <w:p>
      <w:pPr>
        <w:jc w:val="center"/>
        <w:spacing w:after="0" w:line="238" w:lineRule="auto"/>
        <w:rPr>
          <w:sz w:val="20"/>
          <w:szCs w:val="20"/>
          <w:color w:val="auto"/>
        </w:rPr>
      </w:pPr>
      <w:r>
        <w:rPr>
          <w:rFonts w:ascii="Calibri" w:cs="Calibri" w:eastAsia="Calibri" w:hAnsi="Calibri"/>
          <w:sz w:val="17"/>
          <w:szCs w:val="17"/>
          <w:b w:val="1"/>
          <w:bCs w:val="1"/>
          <w:color w:val="auto"/>
        </w:rPr>
        <w:t>18 U.S.C. Secton 1350</w:t>
      </w:r>
    </w:p>
    <w:p>
      <w:pPr>
        <w:jc w:val="center"/>
        <w:spacing w:after="0"/>
        <w:rPr>
          <w:sz w:val="20"/>
          <w:szCs w:val="20"/>
          <w:color w:val="auto"/>
        </w:rPr>
      </w:pPr>
      <w:r>
        <w:rPr>
          <w:rFonts w:ascii="Calibri" w:cs="Calibri" w:eastAsia="Calibri" w:hAnsi="Calibri"/>
          <w:sz w:val="17"/>
          <w:szCs w:val="17"/>
          <w:b w:val="1"/>
          <w:bCs w:val="1"/>
          <w:color w:val="auto"/>
        </w:rPr>
        <w:t>As Adopted Pursuant To</w:t>
      </w:r>
    </w:p>
    <w:p>
      <w:pPr>
        <w:jc w:val="center"/>
        <w:spacing w:after="0" w:line="237" w:lineRule="auto"/>
        <w:rPr>
          <w:sz w:val="20"/>
          <w:szCs w:val="20"/>
          <w:color w:val="auto"/>
        </w:rPr>
      </w:pPr>
      <w:r>
        <w:rPr>
          <w:rFonts w:ascii="Calibri" w:cs="Calibri" w:eastAsia="Calibri" w:hAnsi="Calibri"/>
          <w:sz w:val="17"/>
          <w:szCs w:val="17"/>
          <w:b w:val="1"/>
          <w:bCs w:val="1"/>
          <w:color w:val="auto"/>
        </w:rPr>
        <w:t>Secton 906 of the Sarbanes-Oxley Act of 2002</w:t>
      </w:r>
    </w:p>
    <w:p>
      <w:pPr>
        <w:spacing w:after="0" w:line="234" w:lineRule="exact"/>
        <w:rPr>
          <w:sz w:val="20"/>
          <w:szCs w:val="20"/>
          <w:color w:val="auto"/>
        </w:rPr>
      </w:pPr>
    </w:p>
    <w:p>
      <w:pPr>
        <w:spacing w:after="0" w:line="238" w:lineRule="auto"/>
        <w:rPr>
          <w:sz w:val="20"/>
          <w:szCs w:val="20"/>
          <w:color w:val="auto"/>
        </w:rPr>
      </w:pPr>
      <w:r>
        <w:rPr>
          <w:rFonts w:ascii="Calibri" w:cs="Calibri" w:eastAsia="Calibri" w:hAnsi="Calibri"/>
          <w:sz w:val="17"/>
          <w:szCs w:val="17"/>
          <w:color w:val="auto"/>
        </w:rPr>
        <w:t>In connecton with the Quarterly Report of AbbVie Inc. (the “Company”) on Form 10-Q for the period ended September 30, 2024 as fled with the Securites and Exchange Commission (the “Report”), I, Robert A. Michael, Chief Executve Ofcer of the Company, certfy, pursuant to 18 U.S.C. § 1350, as adopted pursuant to § 906 of the Sarbanes-Oxley Act of 2002, that:</w:t>
      </w:r>
    </w:p>
    <w:p>
      <w:pPr>
        <w:spacing w:after="0" w:line="231" w:lineRule="exact"/>
        <w:rPr>
          <w:sz w:val="20"/>
          <w:szCs w:val="20"/>
          <w:color w:val="auto"/>
        </w:rPr>
      </w:pPr>
    </w:p>
    <w:p>
      <w:pPr>
        <w:ind w:left="660" w:hanging="347"/>
        <w:spacing w:after="0"/>
        <w:tabs>
          <w:tab w:leader="none" w:pos="66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The Report fully complies with the requirements of secton 13(a) or 15(d) of the Securites Exchange Act of 1934; and</w:t>
      </w:r>
    </w:p>
    <w:p>
      <w:pPr>
        <w:spacing w:after="0" w:line="230" w:lineRule="exact"/>
        <w:rPr>
          <w:rFonts w:ascii="Calibri" w:cs="Calibri" w:eastAsia="Calibri" w:hAnsi="Calibri"/>
          <w:sz w:val="17"/>
          <w:szCs w:val="17"/>
          <w:color w:val="auto"/>
        </w:rPr>
      </w:pPr>
    </w:p>
    <w:p>
      <w:pPr>
        <w:ind w:left="660" w:hanging="347"/>
        <w:spacing w:after="0"/>
        <w:tabs>
          <w:tab w:leader="none" w:pos="66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The informaton contained in the Report fairly presents, in all material respects, the fnancial conditon and results of operatons of the Company.</w:t>
      </w:r>
    </w:p>
    <w:p>
      <w:pPr>
        <w:spacing w:after="0" w:line="360"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7490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4904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Robert A. Michael</w:t>
      </w:r>
    </w:p>
    <w:p>
      <w:pPr>
        <w:spacing w:after="0" w:line="1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Chief Executve Ofcer</w:t>
      </w:r>
    </w:p>
    <w:p>
      <w:pPr>
        <w:spacing w:after="0" w:line="1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November 4, 2024</w:t>
      </w:r>
    </w:p>
    <w:p>
      <w:pPr>
        <w:spacing w:after="0" w:line="200" w:lineRule="exact"/>
        <w:rPr>
          <w:sz w:val="20"/>
          <w:szCs w:val="20"/>
          <w:color w:val="auto"/>
        </w:rPr>
      </w:pPr>
    </w:p>
    <w:p>
      <w:pPr>
        <w:spacing w:after="0" w:line="343" w:lineRule="exact"/>
        <w:rPr>
          <w:sz w:val="20"/>
          <w:szCs w:val="20"/>
          <w:color w:val="auto"/>
        </w:rPr>
      </w:pPr>
    </w:p>
    <w:p>
      <w:pPr>
        <w:ind w:right="620"/>
        <w:spacing w:after="0" w:line="237" w:lineRule="auto"/>
        <w:rPr>
          <w:sz w:val="20"/>
          <w:szCs w:val="20"/>
          <w:color w:val="auto"/>
        </w:rPr>
      </w:pPr>
      <w:r>
        <w:rPr>
          <w:rFonts w:ascii="Calibri" w:cs="Calibri" w:eastAsia="Calibri" w:hAnsi="Calibri"/>
          <w:sz w:val="17"/>
          <w:szCs w:val="17"/>
          <w:color w:val="auto"/>
        </w:rPr>
        <w:t>A signed original of this writen statement required by Secton 906 has been provided to AbbVie Inc. and will be retained by AbbVie Inc. and furnished to the Securites and Exchange Commission or its staf upon request.</w:t>
      </w:r>
    </w:p>
    <w:p>
      <w:pPr>
        <w:sectPr>
          <w:pgSz w:w="11900" w:h="16838" w:orient="portrait"/>
          <w:cols w:equalWidth="0" w:num="1">
            <w:col w:w="11240"/>
          </w:cols>
          <w:pgMar w:left="320" w:top="851" w:right="339" w:bottom="1440" w:gutter="0" w:footer="0" w:header="0"/>
        </w:sectPr>
      </w:pPr>
    </w:p>
    <w:bookmarkStart w:id="51" w:name="page52"/>
    <w:bookmarkEnd w:id="51"/>
    <w:p>
      <w:pPr>
        <w:jc w:val="right"/>
        <w:spacing w:after="0"/>
        <w:rPr>
          <w:sz w:val="20"/>
          <w:szCs w:val="20"/>
          <w:color w:val="auto"/>
        </w:rPr>
      </w:pPr>
      <w:r>
        <w:rPr>
          <w:rFonts w:ascii="Calibri" w:cs="Calibri" w:eastAsia="Calibri" w:hAnsi="Calibri"/>
          <w:sz w:val="17"/>
          <w:szCs w:val="17"/>
          <w:b w:val="1"/>
          <w:bCs w:val="1"/>
          <w:color w:val="auto"/>
        </w:rPr>
        <w:t>Exhibit 32.2</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Certfcaton Pursuant To</w:t>
      </w:r>
    </w:p>
    <w:p>
      <w:pPr>
        <w:jc w:val="center"/>
        <w:spacing w:after="0" w:line="238" w:lineRule="auto"/>
        <w:rPr>
          <w:sz w:val="20"/>
          <w:szCs w:val="20"/>
          <w:color w:val="auto"/>
        </w:rPr>
      </w:pPr>
      <w:r>
        <w:rPr>
          <w:rFonts w:ascii="Calibri" w:cs="Calibri" w:eastAsia="Calibri" w:hAnsi="Calibri"/>
          <w:sz w:val="17"/>
          <w:szCs w:val="17"/>
          <w:b w:val="1"/>
          <w:bCs w:val="1"/>
          <w:color w:val="auto"/>
        </w:rPr>
        <w:t>18 U.S.C. Secton 1350</w:t>
      </w:r>
    </w:p>
    <w:p>
      <w:pPr>
        <w:jc w:val="center"/>
        <w:spacing w:after="0"/>
        <w:rPr>
          <w:sz w:val="20"/>
          <w:szCs w:val="20"/>
          <w:color w:val="auto"/>
        </w:rPr>
      </w:pPr>
      <w:r>
        <w:rPr>
          <w:rFonts w:ascii="Calibri" w:cs="Calibri" w:eastAsia="Calibri" w:hAnsi="Calibri"/>
          <w:sz w:val="17"/>
          <w:szCs w:val="17"/>
          <w:b w:val="1"/>
          <w:bCs w:val="1"/>
          <w:color w:val="auto"/>
        </w:rPr>
        <w:t>As Adopted Pursuant To</w:t>
      </w:r>
    </w:p>
    <w:p>
      <w:pPr>
        <w:jc w:val="center"/>
        <w:spacing w:after="0" w:line="237" w:lineRule="auto"/>
        <w:rPr>
          <w:sz w:val="20"/>
          <w:szCs w:val="20"/>
          <w:color w:val="auto"/>
        </w:rPr>
      </w:pPr>
      <w:r>
        <w:rPr>
          <w:rFonts w:ascii="Calibri" w:cs="Calibri" w:eastAsia="Calibri" w:hAnsi="Calibri"/>
          <w:sz w:val="17"/>
          <w:szCs w:val="17"/>
          <w:b w:val="1"/>
          <w:bCs w:val="1"/>
          <w:color w:val="auto"/>
        </w:rPr>
        <w:t>Secton 906 of the Sarbanes-Oxley Act of 2002</w:t>
      </w:r>
    </w:p>
    <w:p>
      <w:pPr>
        <w:spacing w:after="0" w:line="234" w:lineRule="exact"/>
        <w:rPr>
          <w:sz w:val="20"/>
          <w:szCs w:val="20"/>
          <w:color w:val="auto"/>
        </w:rPr>
      </w:pPr>
    </w:p>
    <w:p>
      <w:pPr>
        <w:jc w:val="both"/>
        <w:ind w:right="380"/>
        <w:spacing w:after="0" w:line="238" w:lineRule="auto"/>
        <w:rPr>
          <w:sz w:val="20"/>
          <w:szCs w:val="20"/>
          <w:color w:val="auto"/>
        </w:rPr>
      </w:pPr>
      <w:r>
        <w:rPr>
          <w:rFonts w:ascii="Calibri" w:cs="Calibri" w:eastAsia="Calibri" w:hAnsi="Calibri"/>
          <w:sz w:val="17"/>
          <w:szCs w:val="17"/>
          <w:color w:val="auto"/>
        </w:rPr>
        <w:t>In connecton with the Quarterly Report of AbbVie Inc. (the “Company”) on Form 10-Q for the period ended September 30, 2024 as fled with the Securites and Exchange Commission (the “Report”), I, Scot T. Reents, Executve Vice President, Chief Financial Ofcer of the Company, certfy, pursuant to 18 U.S.C. § 1350, as adopted pursuant to § 906 of the Sarbanes-Oxley Act of 2002, that:</w:t>
      </w:r>
    </w:p>
    <w:p>
      <w:pPr>
        <w:spacing w:after="0" w:line="231" w:lineRule="exact"/>
        <w:rPr>
          <w:sz w:val="20"/>
          <w:szCs w:val="20"/>
          <w:color w:val="auto"/>
        </w:rPr>
      </w:pPr>
    </w:p>
    <w:p>
      <w:pPr>
        <w:ind w:left="660" w:hanging="347"/>
        <w:spacing w:after="0"/>
        <w:tabs>
          <w:tab w:leader="none" w:pos="66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Report fully complies with the requirements of secton 13(a) or 15(d) of the Securites Exchange Act of 1934; and</w:t>
      </w:r>
    </w:p>
    <w:p>
      <w:pPr>
        <w:spacing w:after="0" w:line="230" w:lineRule="exact"/>
        <w:rPr>
          <w:rFonts w:ascii="Calibri" w:cs="Calibri" w:eastAsia="Calibri" w:hAnsi="Calibri"/>
          <w:sz w:val="17"/>
          <w:szCs w:val="17"/>
          <w:color w:val="auto"/>
        </w:rPr>
      </w:pPr>
    </w:p>
    <w:p>
      <w:pPr>
        <w:ind w:left="660" w:hanging="347"/>
        <w:spacing w:after="0"/>
        <w:tabs>
          <w:tab w:leader="none" w:pos="66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informaton contained in the Report fairly presents, in all material respects, the fnancial conditon and results of operatons of the Company.</w:t>
      </w:r>
    </w:p>
    <w:p>
      <w:pPr>
        <w:spacing w:after="0" w:line="360"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/s/ 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7490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4904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Scot T. Reents</w:t>
      </w:r>
    </w:p>
    <w:p>
      <w:pPr>
        <w:spacing w:after="0" w:line="1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Executve Vice President, Chief Financial Ofcer</w:t>
      </w:r>
    </w:p>
    <w:p>
      <w:pPr>
        <w:spacing w:after="0" w:line="1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November 4, 2024</w:t>
      </w:r>
    </w:p>
    <w:p>
      <w:pPr>
        <w:spacing w:after="0" w:line="200" w:lineRule="exact"/>
        <w:rPr>
          <w:sz w:val="20"/>
          <w:szCs w:val="20"/>
          <w:color w:val="auto"/>
        </w:rPr>
      </w:pPr>
    </w:p>
    <w:p>
      <w:pPr>
        <w:spacing w:after="0" w:line="343" w:lineRule="exact"/>
        <w:rPr>
          <w:sz w:val="20"/>
          <w:szCs w:val="20"/>
          <w:color w:val="auto"/>
        </w:rPr>
      </w:pPr>
    </w:p>
    <w:p>
      <w:pPr>
        <w:ind w:right="620"/>
        <w:spacing w:after="0" w:line="237" w:lineRule="auto"/>
        <w:rPr>
          <w:sz w:val="20"/>
          <w:szCs w:val="20"/>
          <w:color w:val="auto"/>
        </w:rPr>
      </w:pPr>
      <w:r>
        <w:rPr>
          <w:rFonts w:ascii="Calibri" w:cs="Calibri" w:eastAsia="Calibri" w:hAnsi="Calibri"/>
          <w:sz w:val="17"/>
          <w:szCs w:val="17"/>
          <w:color w:val="auto"/>
        </w:rPr>
        <w:t>A signed original of this writen statement required by Secton 906 has been provided to AbbVie Inc. and will be retained by AbbVie Inc. and furnished to the Securites and Exchange Commission or its staf upon request.</w:t>
      </w:r>
    </w:p>
    <w:sectPr>
      <w:pgSz w:w="11900" w:h="16838" w:orient="portrait"/>
      <w:cols w:equalWidth="0" w:num="1">
        <w:col w:w="11240"/>
      </w:cols>
      <w:pgMar w:left="320" w:top="8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Roman"/>
      <w:start w:val="4"/>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3"/>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Letter"/>
      <w:start w:val="3"/>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2024-11-04T13:29:13Z</dcterms:created>
  <dcterms:modified xsi:type="dcterms:W3CDTF">2024-11-04T13:29:13Z</dcterms:modified>
</cp:coreProperties>
</file>