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TILTON GLENN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AbbVie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ABBV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0000FF"/>
                <w:w w:val="99"/>
              </w:rPr>
              <w:t>X</w:t>
            </w:r>
          </w:p>
        </w:tc>
        <w:tc>
          <w:tcPr>
            <w:tcW w:w="4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14"/>
                <w:szCs w:val="14"/>
                <w:color w:val="auto"/>
              </w:rPr>
            </w:pP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 N. WAUKEGAN ROAD</w:t>
            </w:r>
          </w:p>
        </w:tc>
        <w:tc>
          <w:tcPr>
            <w:tcW w:w="1200" w:type="dxa"/>
            <w:vAlign w:val="bottom"/>
          </w:tcPr>
          <w:p>
            <w:pPr>
              <w:spacing w:after="0"/>
              <w:rPr>
                <w:sz w:val="19"/>
                <w:szCs w:val="19"/>
                <w:color w:val="auto"/>
              </w:rPr>
            </w:pPr>
          </w:p>
        </w:tc>
        <w:tc>
          <w:tcPr>
            <w:tcW w:w="128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gridSpan w:val="2"/>
          </w:tcPr>
          <w:p>
            <w:pPr>
              <w:spacing w:after="0"/>
              <w:rPr>
                <w:sz w:val="12"/>
                <w:szCs w:val="12"/>
                <w:color w:val="auto"/>
              </w:rPr>
            </w:pPr>
          </w:p>
        </w:tc>
        <w:tc>
          <w:tcPr>
            <w:tcW w:w="2580" w:type="dxa"/>
            <w:vAlign w:val="bottom"/>
            <w:tcBorders>
              <w:bottom w:val="single" w:sz="8" w:color="2C2C2C"/>
            </w:tcBorders>
            <w:gridSpan w:val="6"/>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gridSpan w:val="8"/>
            <w:vMerge w:val="continue"/>
          </w:tcPr>
          <w:p>
            <w:pPr>
              <w:spacing w:after="0"/>
              <w:rPr>
                <w:sz w:val="11"/>
                <w:szCs w:val="11"/>
                <w:color w:val="auto"/>
              </w:rPr>
            </w:pPr>
          </w:p>
        </w:tc>
        <w:tc>
          <w:tcPr>
            <w:tcW w:w="28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0000FF"/>
                <w:w w:val="99"/>
              </w:rPr>
              <w:t>NORTH</w:t>
            </w:r>
          </w:p>
        </w:tc>
        <w:tc>
          <w:tcPr>
            <w:tcW w:w="560" w:type="dxa"/>
            <w:vAlign w:val="bottom"/>
          </w:tcPr>
          <w:p>
            <w:pPr>
              <w:spacing w:after="0"/>
              <w:rPr>
                <w:sz w:val="18"/>
                <w:szCs w:val="18"/>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0000FF"/>
              </w:rPr>
              <w:t>IL</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60064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0000FF"/>
              </w:rPr>
              <w:t>CHICAGO</w:t>
            </w:r>
          </w:p>
        </w:tc>
        <w:tc>
          <w:tcPr>
            <w:tcW w:w="2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286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9"/>
          </w:tcPr>
          <w:p>
            <w:pPr>
              <w:ind w:left="54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5"/>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3120" w:type="dxa"/>
            <w:vAlign w:val="bottom"/>
            <w:tcBorders>
              <w:bottom w:val="single" w:sz="8" w:color="2C2C2C"/>
            </w:tcBorders>
            <w:gridSpan w:val="8"/>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jc w:val="right"/>
              <w:ind w:right="5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60" w:type="dxa"/>
            <w:vAlign w:val="bottom"/>
            <w:gridSpan w:val="15"/>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240"/>
              <w:spacing w:after="0"/>
              <w:rPr>
                <w:sz w:val="20"/>
                <w:szCs w:val="20"/>
                <w:color w:val="auto"/>
              </w:rPr>
            </w:pPr>
            <w:r>
              <w:rPr>
                <w:rFonts w:ascii="Arial" w:cs="Arial" w:eastAsia="Arial" w:hAnsi="Arial"/>
                <w:sz w:val="24"/>
                <w:szCs w:val="24"/>
                <w:color w:val="000000"/>
                <w:w w:val="92"/>
                <w:vertAlign w:val="subscript"/>
              </w:rPr>
              <w:t>$</w:t>
            </w:r>
            <w:r>
              <w:rPr>
                <w:rFonts w:ascii="Arial" w:cs="Arial" w:eastAsia="Arial" w:hAnsi="Arial"/>
                <w:sz w:val="27"/>
                <w:szCs w:val="27"/>
                <w:color w:val="0000FF"/>
                <w:w w:val="92"/>
                <w:vertAlign w:val="subscript"/>
              </w:rPr>
              <w:t>0</w:t>
            </w:r>
            <w:r>
              <w:rPr>
                <w:rFonts w:ascii="Arial" w:cs="Arial" w:eastAsia="Arial" w:hAnsi="Arial"/>
                <w:sz w:val="11"/>
                <w:szCs w:val="11"/>
                <w:color w:val="008000"/>
                <w:w w:val="92"/>
              </w:rPr>
              <w:t>(1)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653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vMerge w:val="restart"/>
          </w:tcPr>
          <w:p>
            <w:pPr>
              <w:ind w:left="220"/>
              <w:spacing w:after="0"/>
              <w:rPr>
                <w:sz w:val="20"/>
                <w:szCs w:val="20"/>
                <w:color w:val="auto"/>
              </w:rPr>
            </w:pPr>
            <w:r>
              <w:rPr>
                <w:rFonts w:ascii="Arial" w:cs="Arial" w:eastAsia="Arial" w:hAnsi="Arial"/>
                <w:sz w:val="14"/>
                <w:szCs w:val="14"/>
                <w:color w:val="0000FF"/>
                <w:w w:val="83"/>
              </w:rPr>
              <w:t>3,148</w:t>
            </w:r>
            <w:r>
              <w:rPr>
                <w:rFonts w:ascii="Arial" w:cs="Arial" w:eastAsia="Arial" w:hAnsi="Arial"/>
                <w:sz w:val="22"/>
                <w:szCs w:val="22"/>
                <w:color w:val="008000"/>
                <w:w w:val="83"/>
                <w:vertAlign w:val="superscript"/>
              </w:rPr>
              <w:t>(2)</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Equivalent</w:t>
            </w: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12/31/2013</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5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653</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gridSpan w:val="2"/>
            <w:vMerge w:val="restart"/>
          </w:tcPr>
          <w:p>
            <w:pPr>
              <w:jc w:val="right"/>
              <w:ind w:right="176"/>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52.81</w:t>
            </w:r>
          </w:p>
        </w:tc>
        <w:tc>
          <w:tcPr>
            <w:tcW w:w="680" w:type="dxa"/>
            <w:vAlign w:val="bottom"/>
            <w:vMerge w:val="continue"/>
          </w:tcPr>
          <w:p>
            <w:pPr>
              <w:spacing w:after="0"/>
              <w:rPr>
                <w:sz w:val="5"/>
                <w:szCs w:val="5"/>
                <w:color w:val="auto"/>
              </w:rPr>
            </w:pP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Director fees credited to a stock equivalent unit account under a grantor trust established by the director and paid, in cash, generally at age 65 or upon retirement from the board. The stock equivalent units earn the same return as if the fees were invested in AbbVie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Balance includes stock equivalent units acquired pursuant to a dividend reinvestment feature.</w:t>
      </w:r>
    </w:p>
    <w:p>
      <w:pPr>
        <w:ind w:left="6860"/>
        <w:spacing w:after="0" w:line="184" w:lineRule="auto"/>
        <w:rPr>
          <w:sz w:val="20"/>
          <w:szCs w:val="20"/>
          <w:color w:val="auto"/>
        </w:rPr>
      </w:pPr>
      <w:r>
        <w:rPr>
          <w:rFonts w:ascii="Arial" w:cs="Arial" w:eastAsia="Arial" w:hAnsi="Arial"/>
          <w:sz w:val="17"/>
          <w:szCs w:val="17"/>
          <w:color w:val="0000FF"/>
        </w:rPr>
        <w:t xml:space="preserve">Steven L. Scrogham, attorney-  </w:t>
      </w:r>
      <w:r>
        <w:rPr>
          <w:rFonts w:ascii="Arial" w:cs="Arial" w:eastAsia="Arial" w:hAnsi="Arial"/>
          <w:sz w:val="34"/>
          <w:szCs w:val="34"/>
          <w:color w:val="0000FF"/>
          <w:vertAlign w:val="subscript"/>
        </w:rPr>
        <w:t>01/03/2014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5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54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44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4624"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2019-12-17T11:07:54Z</dcterms:created>
  <dcterms:modified xsi:type="dcterms:W3CDTF">2019-12-17T11:07:54Z</dcterms:modified>
</cp:coreProperties>
</file>