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7, 2026</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89" w:right="339" w:bottom="1440" w:gutter="0" w:footer="0" w:header="0"/>
        </w:sectPr>
      </w:pP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680"/>
        <w:spacing w:after="0"/>
        <w:rPr>
          <w:sz w:val="20"/>
          <w:szCs w:val="20"/>
          <w:color w:val="auto"/>
        </w:rPr>
      </w:pPr>
      <w:r>
        <w:rPr>
          <w:rFonts w:ascii="Arial" w:cs="Arial" w:eastAsia="Arial" w:hAnsi="Arial"/>
          <w:sz w:val="17"/>
          <w:szCs w:val="17"/>
          <w:color w:val="auto"/>
        </w:rPr>
        <w:t>(State or other Jurisdiction</w:t>
      </w:r>
    </w:p>
    <w:p>
      <w:pPr>
        <w:spacing w:after="0" w:line="26"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001-35565</w:t>
      </w:r>
    </w:p>
    <w:p>
      <w:pPr>
        <w:spacing w:after="0" w:line="40"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32-0375147</w:t>
      </w:r>
    </w:p>
    <w:p>
      <w:pPr>
        <w:spacing w:after="0" w:line="40"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15"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92" w:lineRule="exact"/>
        <w:rPr>
          <w:sz w:val="24"/>
          <w:szCs w:val="24"/>
          <w:color w:val="auto"/>
        </w:rPr>
      </w:pPr>
    </w:p>
    <w:p>
      <w:pPr>
        <w:sectPr>
          <w:pgSz w:w="11900" w:h="16838" w:orient="portrait"/>
          <w:cols w:equalWidth="0" w:num="3">
            <w:col w:w="3800" w:space="720"/>
            <w:col w:w="3540" w:space="720"/>
            <w:col w:w="2460"/>
          </w:cols>
          <w:pgMar w:left="320" w:top="1189" w:right="33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offices)(Zip Code)</w:t>
      </w:r>
    </w:p>
    <w:p>
      <w:pPr>
        <w:sectPr>
          <w:pgSz w:w="11900" w:h="16838" w:orient="portrait"/>
          <w:cols w:equalWidth="0" w:num="1">
            <w:col w:w="11240"/>
          </w:cols>
          <w:pgMar w:left="320" w:top="1189" w:right="339" w:bottom="1440" w:gutter="0" w:footer="0" w:header="0"/>
          <w:type w:val="continuous"/>
        </w:sectPr>
      </w:pPr>
    </w:p>
    <w:p>
      <w:pPr>
        <w:spacing w:after="0" w:line="126"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(847) 932-7900</w:t>
      </w:r>
    </w:p>
    <w:p>
      <w:pPr>
        <w:spacing w:after="0" w:line="142" w:lineRule="exact"/>
        <w:rPr>
          <w:sz w:val="24"/>
          <w:szCs w:val="24"/>
          <w:color w:val="auto"/>
        </w:rPr>
      </w:pPr>
    </w:p>
    <w:p>
      <w:pPr>
        <w:sectPr>
          <w:pgSz w:w="11900" w:h="16838" w:orient="portrait"/>
          <w:cols w:equalWidth="0" w:num="2">
            <w:col w:w="7040" w:space="100"/>
            <w:col w:w="4100"/>
          </w:cols>
          <w:pgMar w:left="320" w:top="1189" w:right="339" w:bottom="1440" w:gutter="0" w:footer="0" w:header="0"/>
          <w:type w:val="continuous"/>
        </w:sect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340" w:right="1820" w:hanging="3332"/>
        <w:spacing w:after="0" w:line="394" w:lineRule="auto"/>
        <w:tabs>
          <w:tab w:leader="none" w:pos="5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217"/>
        </w:trPr>
        <w:tc>
          <w:tcPr>
            <w:tcW w:w="3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Title of each class</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$0.01 Par Value</w:t>
            </w:r>
          </w:p>
        </w:tc>
        <w:tc>
          <w:tcPr>
            <w:tcW w:w="240" w:type="dxa"/>
            <w:vAlign w:val="bottom"/>
          </w:tcPr>
          <w:p>
            <w:pPr>
              <w:spacing w:after="0"/>
              <w:rPr>
                <w:sz w:val="18"/>
                <w:szCs w:val="18"/>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ABBV</w:t>
            </w:r>
          </w:p>
        </w:tc>
        <w:tc>
          <w:tcPr>
            <w:tcW w:w="26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215"/>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NYSE Texas</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0.750% Senior Notes due 2027</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ABBV27</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2028</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ABBV28</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2.625% Senior Notes due 2028</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rPr>
              <w:t>ABBV28B</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2029</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ABBV29</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1.250% Senior Notes due 2031</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ABBV31</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5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ind w:right="60"/>
        <w:spacing w:after="0"/>
        <w:rPr>
          <w:sz w:val="20"/>
          <w:szCs w:val="20"/>
          <w:color w:val="auto"/>
        </w:rPr>
      </w:pPr>
      <w:r>
        <w:rPr>
          <w:rFonts w:ascii="Arial" w:cs="Arial" w:eastAsia="Arial" w:hAnsi="Arial"/>
          <w:sz w:val="20"/>
          <w:szCs w:val="20"/>
          <w:color w:val="auto"/>
        </w:rPr>
        <w:t>Reported GAAP earnings and adjusted non-GAAP earnings for the fourth quarter of 2025 are expected to include acquired IPR&amp;D and milestones expense of $1.3 billion on a pre-tax basis, representing an unfavorable impact of $0.71 to both GAAP diluted earnings per share and adjusted non-GAAP diluted earnings per share. Results for the quarter ended December 31, 2025 have not been finalized and are subject to our financial statement closing procedures. There can be no assurance that our final results will not differ from these preliminary estimates.</w:t>
      </w:r>
    </w:p>
    <w:p>
      <w:pPr>
        <w:spacing w:after="0" w:line="200"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While acquired IPR&amp;D and milestones expense may be incurred upon execution of collaborations, licensing agreements, and other asset acquisitions, AbbVie does not forecast acquired IPR&amp;D and milestones expense due to uncertainty of the future occurrence and timing of these transactions. Adjusted diluted earnings per share guidance for 2025 previously announced on October 31, 2025 excluded the impact of acquired IPR&amp;D and milestones expense that may be incurred beyond the third quarter of 2025. AbbVie’s full-year 2025 adjusted diluted earnings per share guidance range, including the impact of fourth quarter 2025 acquired IPR&amp;D and milestones expense, is $9.90 - $9.94. AbbVie’s fourth quarter 2025 adjusted diluted earnings per share guidance range, including the impact of fourth quarter 2025 acquired IPR&amp;D and milestones expense, is $2.61 - $2.65.</w:t>
      </w:r>
    </w:p>
    <w:p>
      <w:pPr>
        <w:spacing w:after="0" w:line="216" w:lineRule="exact"/>
        <w:rPr>
          <w:sz w:val="20"/>
          <w:szCs w:val="20"/>
          <w:color w:val="auto"/>
        </w:rPr>
      </w:pPr>
    </w:p>
    <w:p>
      <w:pPr>
        <w:ind w:right="760"/>
        <w:spacing w:after="0" w:line="257" w:lineRule="auto"/>
        <w:rPr>
          <w:sz w:val="20"/>
          <w:szCs w:val="20"/>
          <w:color w:val="auto"/>
        </w:rPr>
      </w:pPr>
      <w:r>
        <w:rPr>
          <w:rFonts w:ascii="Arial" w:cs="Arial" w:eastAsia="Arial" w:hAnsi="Arial"/>
          <w:sz w:val="20"/>
          <w:szCs w:val="20"/>
          <w:color w:val="auto"/>
        </w:rPr>
        <w:t>Furnished as Exhibit 99.1 to this Current Report on Form 8-K and incorporated herein by reference is guidance for 2025 including the estimated acquired IPR&amp;D and milestones expense incurred during the fourth quarter of 2025.</w:t>
      </w:r>
    </w:p>
    <w:p>
      <w:pPr>
        <w:spacing w:after="0" w:line="196" w:lineRule="exact"/>
        <w:rPr>
          <w:sz w:val="20"/>
          <w:szCs w:val="20"/>
          <w:color w:val="auto"/>
        </w:rPr>
      </w:pPr>
    </w:p>
    <w:p>
      <w:pPr>
        <w:ind w:right="120"/>
        <w:spacing w:after="0" w:line="255" w:lineRule="auto"/>
        <w:rPr>
          <w:sz w:val="20"/>
          <w:szCs w:val="20"/>
          <w:color w:val="auto"/>
        </w:rPr>
      </w:pPr>
      <w:r>
        <w:rPr>
          <w:rFonts w:ascii="Arial" w:cs="Arial" w:eastAsia="Arial" w:hAnsi="Arial"/>
          <w:sz w:val="20"/>
          <w:szCs w:val="20"/>
          <w:color w:val="auto"/>
        </w:rPr>
        <w:t>The information set forth in this Current Report on Form 8-K, including Exhibit 99.1, shall not be deemed "Filed" for the purpose of Section 18 of the Securities Exchange Act of 1934, as amended (the "Exchange Act"), or otherwise subject to the liabilities thereof, nor shall it be incorporated by reference into future filings by AbbVie Inc. under the Exchange Act or under the Securities Act of 1933, as amended, except to the extent specifically provided in any such filing.</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5"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Some statements in this Current Report on Form 8-K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the impact of global macroeconomic factors, such as economic downturns or uncertainty, international conflict, trade disputes and tariffs, and other uncertainties and risks associated with global business operations. Additional information about the economic, competitive, governmental, technological and other factors that may affect AbbVie's operations is set forth in Item 1A, "Risk Factors," of AbbVie's 2024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20" w:type="dxa"/>
            <w:vAlign w:val="bottom"/>
            <w:gridSpan w:val="4"/>
          </w:tcPr>
          <w:p>
            <w:pPr>
              <w:spacing w:after="0"/>
              <w:rPr>
                <w:sz w:val="20"/>
                <w:szCs w:val="20"/>
                <w:color w:val="auto"/>
              </w:rPr>
            </w:pPr>
            <w:r>
              <w:rPr>
                <w:rFonts w:ascii="Arial" w:cs="Arial" w:eastAsia="Arial" w:hAnsi="Arial"/>
                <w:sz w:val="20"/>
                <w:szCs w:val="20"/>
                <w:color w:val="auto"/>
              </w:rPr>
              <w:t>(d) Exhibits</w:t>
            </w:r>
          </w:p>
        </w:tc>
        <w:tc>
          <w:tcPr>
            <w:tcW w:w="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81"/>
        </w:trPr>
        <w:tc>
          <w:tcPr>
            <w:tcW w:w="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20"/>
                <w:szCs w:val="20"/>
                <w:b w:val="1"/>
                <w:bCs w:val="1"/>
                <w:color w:val="auto"/>
              </w:rPr>
              <w:t>Exhibit No.</w:t>
            </w:r>
          </w:p>
        </w:tc>
        <w:tc>
          <w:tcPr>
            <w:tcW w:w="2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20"/>
                <w:szCs w:val="20"/>
                <w:b w:val="1"/>
                <w:bCs w:val="1"/>
                <w:color w:val="auto"/>
              </w:rPr>
              <w:t>Exhibit</w:t>
            </w:r>
          </w:p>
        </w:tc>
      </w:tr>
      <w:tr>
        <w:trPr>
          <w:trHeight w:val="196"/>
        </w:trPr>
        <w:tc>
          <w:tcPr>
            <w:tcW w:w="2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3051F2"/>
            </w:tcBorders>
          </w:tcPr>
          <w:p>
            <w:pPr>
              <w:spacing w:after="0" w:line="196" w:lineRule="exact"/>
              <w:rPr>
                <w:sz w:val="20"/>
                <w:szCs w:val="20"/>
                <w:color w:val="auto"/>
              </w:rPr>
            </w:pPr>
            <w:r>
              <w:rPr>
                <w:rFonts w:ascii="Arial" w:cs="Arial" w:eastAsia="Arial" w:hAnsi="Arial"/>
                <w:sz w:val="20"/>
                <w:szCs w:val="20"/>
                <w:color w:val="3051F2"/>
                <w:w w:val="97"/>
              </w:rPr>
              <w:t>99.</w:t>
            </w:r>
            <w:r>
              <w:rPr>
                <w:rFonts w:ascii="Arial" w:cs="Arial" w:eastAsia="Arial" w:hAnsi="Arial"/>
                <w:sz w:val="20"/>
                <w:szCs w:val="20"/>
                <w:u w:val="single" w:color="auto"/>
                <w:color w:val="3051F2"/>
                <w:w w:val="97"/>
              </w:rPr>
              <w:t>1</w:t>
            </w:r>
          </w:p>
        </w:tc>
        <w:tc>
          <w:tcPr>
            <w:tcW w:w="9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600" w:type="dxa"/>
            <w:vAlign w:val="bottom"/>
            <w:tcBorders>
              <w:top w:val="single" w:sz="8" w:color="auto"/>
              <w:bottom w:val="single" w:sz="8" w:color="3051F2"/>
            </w:tcBorders>
          </w:tcPr>
          <w:p>
            <w:pPr>
              <w:spacing w:after="0" w:line="196" w:lineRule="exact"/>
              <w:rPr>
                <w:sz w:val="20"/>
                <w:szCs w:val="20"/>
                <w:color w:val="auto"/>
              </w:rPr>
            </w:pPr>
            <w:r>
              <w:rPr>
                <w:rFonts w:ascii="Arial" w:cs="Arial" w:eastAsia="Arial" w:hAnsi="Arial"/>
                <w:sz w:val="20"/>
                <w:szCs w:val="20"/>
                <w:color w:val="3051F2"/>
                <w:w w:val="98"/>
              </w:rPr>
              <w:t>Guidance including the impact of acquired IPR&amp;D and milestones expense.</w:t>
            </w:r>
          </w:p>
        </w:tc>
        <w:tc>
          <w:tcPr>
            <w:tcW w:w="2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87"/>
        </w:trPr>
        <w:tc>
          <w:tcPr>
            <w:tcW w:w="42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Arial" w:cs="Arial" w:eastAsia="Arial" w:hAnsi="Arial"/>
                <w:sz w:val="20"/>
                <w:szCs w:val="20"/>
                <w:color w:val="auto"/>
                <w:w w:val="99"/>
              </w:rPr>
              <w:t>The cover page from this Current Report on Form 8-K formatted in Inline XBRL (included as Exhibit 101).</w:t>
            </w:r>
          </w:p>
        </w:tc>
      </w:tr>
      <w:tr>
        <w:trPr>
          <w:trHeight w:val="969"/>
        </w:trPr>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45"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35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20"/>
                <w:szCs w:val="20"/>
                <w:b w:val="1"/>
                <w:bCs w:val="1"/>
                <w:color w:val="auto"/>
              </w:rPr>
              <w:t>ABBVIE INC.</w:t>
            </w:r>
          </w:p>
        </w:tc>
      </w:tr>
      <w:tr>
        <w:trPr>
          <w:trHeight w:val="505"/>
        </w:trPr>
        <w:tc>
          <w:tcPr>
            <w:tcW w:w="3520" w:type="dxa"/>
            <w:vAlign w:val="bottom"/>
          </w:tcPr>
          <w:p>
            <w:pPr>
              <w:spacing w:after="0"/>
              <w:rPr>
                <w:sz w:val="20"/>
                <w:szCs w:val="20"/>
                <w:color w:val="auto"/>
              </w:rPr>
            </w:pPr>
            <w:r>
              <w:rPr>
                <w:rFonts w:ascii="Arial" w:cs="Arial" w:eastAsia="Arial" w:hAnsi="Arial"/>
                <w:sz w:val="20"/>
                <w:szCs w:val="20"/>
                <w:color w:val="auto"/>
              </w:rPr>
              <w:t>Date:  January 7, 2026</w:t>
            </w:r>
          </w:p>
        </w:tc>
        <w:tc>
          <w:tcPr>
            <w:tcW w:w="7700" w:type="dxa"/>
            <w:vAlign w:val="bottom"/>
            <w:gridSpan w:val="2"/>
          </w:tcPr>
          <w:p>
            <w:pPr>
              <w:ind w:left="1460"/>
              <w:spacing w:after="0"/>
              <w:rPr>
                <w:sz w:val="20"/>
                <w:szCs w:val="20"/>
                <w:color w:val="auto"/>
              </w:rPr>
            </w:pPr>
            <w:r>
              <w:rPr>
                <w:rFonts w:ascii="Arial" w:cs="Arial" w:eastAsia="Arial" w:hAnsi="Arial"/>
                <w:sz w:val="20"/>
                <w:szCs w:val="20"/>
                <w:color w:val="auto"/>
              </w:rPr>
              <w:t>By:   /s/ Scott T. Reents</w:t>
            </w:r>
          </w:p>
        </w:tc>
      </w:tr>
      <w:tr>
        <w:trPr>
          <w:trHeight w:val="244"/>
        </w:trPr>
        <w:tc>
          <w:tcPr>
            <w:tcW w:w="35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T. Reents</w:t>
            </w:r>
          </w:p>
        </w:tc>
      </w:tr>
      <w:tr>
        <w:trPr>
          <w:trHeight w:val="257"/>
        </w:trPr>
        <w:tc>
          <w:tcPr>
            <w:tcW w:w="35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Executive Vice President,</w:t>
            </w:r>
          </w:p>
        </w:tc>
      </w:tr>
      <w:tr>
        <w:trPr>
          <w:trHeight w:val="261"/>
        </w:trPr>
        <w:tc>
          <w:tcPr>
            <w:tcW w:w="35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885" w:right="339" w:bottom="1440" w:gutter="0" w:footer="0" w:header="0"/>
        </w:sectPr>
      </w:pPr>
    </w:p>
    <w:bookmarkStart w:id="3" w:name="page4"/>
    <w:bookmarkEnd w:id="3"/>
    <w:p>
      <w:pPr>
        <w:ind w:left="5060"/>
        <w:spacing w:after="0"/>
        <w:rPr>
          <w:sz w:val="20"/>
          <w:szCs w:val="20"/>
          <w:color w:val="auto"/>
        </w:rPr>
      </w:pPr>
      <w:r>
        <w:rPr>
          <w:rFonts w:ascii="Arial" w:cs="Arial" w:eastAsia="Arial" w:hAnsi="Arial"/>
          <w:sz w:val="20"/>
          <w:szCs w:val="20"/>
          <w:b w:val="1"/>
          <w:bCs w:val="1"/>
          <w:color w:val="auto"/>
        </w:rPr>
        <w:t>AbbVie Inc.</w:t>
      </w:r>
    </w:p>
    <w:p>
      <w:pPr>
        <w:spacing w:after="0" w:line="33" w:lineRule="exact"/>
        <w:rPr>
          <w:sz w:val="20"/>
          <w:szCs w:val="20"/>
          <w:color w:val="auto"/>
        </w:rPr>
      </w:pPr>
    </w:p>
    <w:p>
      <w:pPr>
        <w:ind w:left="2080"/>
        <w:spacing w:after="0"/>
        <w:rPr>
          <w:sz w:val="20"/>
          <w:szCs w:val="20"/>
          <w:color w:val="auto"/>
        </w:rPr>
      </w:pPr>
      <w:r>
        <w:rPr>
          <w:rFonts w:ascii="Arial" w:cs="Arial" w:eastAsia="Arial" w:hAnsi="Arial"/>
          <w:sz w:val="20"/>
          <w:szCs w:val="20"/>
          <w:b w:val="1"/>
          <w:bCs w:val="1"/>
          <w:color w:val="auto"/>
        </w:rPr>
        <w:t>Guidance Including the Impact of Acquired IPR&amp;D and Milestones Expense</w:t>
      </w:r>
    </w:p>
    <w:p>
      <w:pPr>
        <w:jc w:val="center"/>
        <w:ind w:right="20"/>
        <w:spacing w:after="0"/>
        <w:rPr>
          <w:sz w:val="20"/>
          <w:szCs w:val="20"/>
          <w:color w:val="auto"/>
        </w:rPr>
      </w:pPr>
      <w:r>
        <w:rPr>
          <w:rFonts w:ascii="Arial" w:cs="Arial" w:eastAsia="Arial" w:hAnsi="Arial"/>
          <w:sz w:val="20"/>
          <w:szCs w:val="20"/>
          <w:b w:val="1"/>
          <w:bCs w:val="1"/>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00" w:type="dxa"/>
            <w:vAlign w:val="bottom"/>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Quarter Ended December 31, 2025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Full-Year Ended December 31, 2025</w:t>
            </w: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99"/>
              </w:rPr>
              <w:t>Acquired</w:t>
            </w:r>
          </w:p>
        </w:tc>
        <w:tc>
          <w:tcPr>
            <w:tcW w:w="220" w:type="dxa"/>
            <w:vAlign w:val="bottom"/>
          </w:tcPr>
          <w:p>
            <w:pPr>
              <w:spacing w:after="0"/>
              <w:rPr>
                <w:sz w:val="20"/>
                <w:szCs w:val="20"/>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Adjusted Diluted EPS</w:t>
            </w:r>
          </w:p>
        </w:tc>
        <w:tc>
          <w:tcPr>
            <w:tcW w:w="12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99"/>
              </w:rPr>
              <w:t>Acquired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center"/>
              <w:ind w:right="131"/>
              <w:spacing w:after="0" w:line="181" w:lineRule="exact"/>
              <w:rPr>
                <w:sz w:val="20"/>
                <w:szCs w:val="20"/>
                <w:color w:val="auto"/>
              </w:rPr>
            </w:pPr>
            <w:r>
              <w:rPr>
                <w:rFonts w:ascii="Arial" w:cs="Arial" w:eastAsia="Arial" w:hAnsi="Arial"/>
                <w:sz w:val="18"/>
                <w:szCs w:val="18"/>
                <w:b w:val="1"/>
                <w:bCs w:val="1"/>
                <w:color w:val="auto"/>
                <w:w w:val="98"/>
              </w:rPr>
              <w:t>IPR&amp;D and</w:t>
            </w:r>
          </w:p>
        </w:tc>
        <w:tc>
          <w:tcPr>
            <w:tcW w:w="220" w:type="dxa"/>
            <w:vAlign w:val="bottom"/>
          </w:tcPr>
          <w:p>
            <w:pPr>
              <w:spacing w:after="0"/>
              <w:rPr>
                <w:sz w:val="8"/>
                <w:szCs w:val="8"/>
                <w:color w:val="auto"/>
              </w:rPr>
            </w:pPr>
          </w:p>
        </w:tc>
        <w:tc>
          <w:tcPr>
            <w:tcW w:w="23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vMerge w:val="restart"/>
          </w:tcPr>
          <w:p>
            <w:pPr>
              <w:jc w:val="center"/>
              <w:ind w:right="151"/>
              <w:spacing w:after="0" w:line="181" w:lineRule="exact"/>
              <w:rPr>
                <w:sz w:val="20"/>
                <w:szCs w:val="20"/>
                <w:color w:val="auto"/>
              </w:rPr>
            </w:pPr>
            <w:r>
              <w:rPr>
                <w:rFonts w:ascii="Arial" w:cs="Arial" w:eastAsia="Arial" w:hAnsi="Arial"/>
                <w:sz w:val="18"/>
                <w:szCs w:val="18"/>
                <w:b w:val="1"/>
                <w:bCs w:val="1"/>
                <w:color w:val="auto"/>
              </w:rPr>
              <w:t>IPR&amp;D and</w:t>
            </w: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3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Range</w:t>
            </w: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25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Adjusted Diluted EPS Range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31"/>
              <w:spacing w:after="0" w:line="149" w:lineRule="exact"/>
              <w:rPr>
                <w:sz w:val="20"/>
                <w:szCs w:val="20"/>
                <w:color w:val="auto"/>
              </w:rPr>
            </w:pPr>
            <w:r>
              <w:rPr>
                <w:rFonts w:ascii="Arial" w:cs="Arial" w:eastAsia="Arial" w:hAnsi="Arial"/>
                <w:sz w:val="17"/>
                <w:szCs w:val="17"/>
                <w:b w:val="1"/>
                <w:bCs w:val="1"/>
                <w:color w:val="auto"/>
              </w:rPr>
              <w:t>Milestones</w:t>
            </w: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51"/>
              <w:spacing w:after="0" w:line="149" w:lineRule="exact"/>
              <w:rPr>
                <w:sz w:val="20"/>
                <w:szCs w:val="20"/>
                <w:color w:val="auto"/>
              </w:rPr>
            </w:pPr>
            <w:r>
              <w:rPr>
                <w:rFonts w:ascii="Arial" w:cs="Arial" w:eastAsia="Arial" w:hAnsi="Arial"/>
                <w:sz w:val="17"/>
                <w:szCs w:val="17"/>
                <w:b w:val="1"/>
                <w:bCs w:val="1"/>
                <w:color w:val="auto"/>
              </w:rPr>
              <w:t>Milestones</w:t>
            </w:r>
          </w:p>
        </w:tc>
        <w:tc>
          <w:tcPr>
            <w:tcW w:w="254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Previously announced guidance</w:t>
            </w:r>
          </w:p>
        </w:tc>
        <w:tc>
          <w:tcPr>
            <w:tcW w:w="12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99"/>
              </w:rPr>
              <w:t>Expense</w:t>
            </w:r>
          </w:p>
        </w:tc>
        <w:tc>
          <w:tcPr>
            <w:tcW w:w="220" w:type="dxa"/>
            <w:vAlign w:val="bottom"/>
          </w:tcPr>
          <w:p>
            <w:pPr>
              <w:spacing w:after="0"/>
              <w:rPr>
                <w:sz w:val="20"/>
                <w:szCs w:val="20"/>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Low</w:t>
            </w:r>
          </w:p>
        </w:tc>
        <w:tc>
          <w:tcPr>
            <w:tcW w:w="3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180" w:type="dxa"/>
            <w:vAlign w:val="bottom"/>
          </w:tcPr>
          <w:p>
            <w:pPr>
              <w:jc w:val="center"/>
              <w:ind w:right="151"/>
              <w:spacing w:after="0"/>
              <w:rPr>
                <w:sz w:val="20"/>
                <w:szCs w:val="20"/>
                <w:color w:val="auto"/>
              </w:rPr>
            </w:pPr>
            <w:r>
              <w:rPr>
                <w:rFonts w:ascii="Arial" w:cs="Arial" w:eastAsia="Arial" w:hAnsi="Arial"/>
                <w:sz w:val="18"/>
                <w:szCs w:val="18"/>
                <w:b w:val="1"/>
                <w:bCs w:val="1"/>
                <w:color w:val="auto"/>
                <w:w w:val="99"/>
              </w:rPr>
              <w:t>Expense</w:t>
            </w:r>
          </w:p>
        </w:tc>
        <w:tc>
          <w:tcPr>
            <w:tcW w:w="28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164"/>
        </w:trPr>
        <w:tc>
          <w:tcPr>
            <w:tcW w:w="3500" w:type="dxa"/>
            <w:vAlign w:val="bottom"/>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500" w:type="dxa"/>
            <w:vAlign w:val="bottom"/>
          </w:tcPr>
          <w:p>
            <w:pPr>
              <w:spacing w:after="0" w:line="181" w:lineRule="exact"/>
              <w:rPr>
                <w:sz w:val="20"/>
                <w:szCs w:val="20"/>
                <w:color w:val="auto"/>
              </w:rPr>
            </w:pPr>
            <w:r>
              <w:rPr>
                <w:rFonts w:ascii="Arial" w:cs="Arial" w:eastAsia="Arial" w:hAnsi="Arial"/>
                <w:sz w:val="18"/>
                <w:szCs w:val="18"/>
                <w:b w:val="1"/>
                <w:bCs w:val="1"/>
                <w:color w:val="auto"/>
              </w:rPr>
              <w:t>excluding Q4 2025 acquired IPR&amp;D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left="310"/>
              <w:spacing w:after="0"/>
              <w:rPr>
                <w:sz w:val="20"/>
                <w:szCs w:val="20"/>
                <w:color w:val="auto"/>
              </w:rPr>
            </w:pPr>
            <w:r>
              <w:rPr>
                <w:rFonts w:ascii="Arial" w:cs="Arial" w:eastAsia="Arial" w:hAnsi="Arial"/>
                <w:sz w:val="18"/>
                <w:szCs w:val="18"/>
                <w:color w:val="auto"/>
                <w:w w:val="96"/>
              </w:rPr>
              <w:t>3.32</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ind w:left="270"/>
              <w:spacing w:after="0"/>
              <w:rPr>
                <w:sz w:val="20"/>
                <w:szCs w:val="20"/>
                <w:color w:val="auto"/>
              </w:rPr>
            </w:pPr>
            <w:r>
              <w:rPr>
                <w:rFonts w:ascii="Arial" w:cs="Arial" w:eastAsia="Arial" w:hAnsi="Arial"/>
                <w:sz w:val="18"/>
                <w:szCs w:val="18"/>
                <w:color w:val="auto"/>
                <w:w w:val="96"/>
              </w:rPr>
              <w:t>3.36</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3,751</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10.61</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20"/>
                <w:szCs w:val="20"/>
                <w:color w:val="auto"/>
              </w:rPr>
            </w:pPr>
            <w:r>
              <w:rPr>
                <w:rFonts w:ascii="Arial" w:cs="Arial" w:eastAsia="Arial" w:hAnsi="Arial"/>
                <w:sz w:val="18"/>
                <w:szCs w:val="18"/>
                <w:b w:val="1"/>
                <w:bCs w:val="1"/>
                <w:color w:val="auto"/>
              </w:rPr>
              <w:t>milestones expense</w:t>
            </w:r>
          </w:p>
        </w:tc>
        <w:tc>
          <w:tcPr>
            <w:tcW w:w="1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120"/>
              <w:spacing w:after="0" w:line="189" w:lineRule="exact"/>
              <w:rPr>
                <w:sz w:val="20"/>
                <w:szCs w:val="20"/>
                <w:color w:val="auto"/>
              </w:rPr>
            </w:pPr>
            <w:r>
              <w:rPr>
                <w:rFonts w:ascii="Arial" w:cs="Arial" w:eastAsia="Arial" w:hAnsi="Arial"/>
                <w:sz w:val="18"/>
                <w:szCs w:val="18"/>
                <w:color w:val="auto"/>
              </w:rPr>
              <w:t>Q4 2025 acquired IPR&amp;D and milestones</w:t>
            </w:r>
          </w:p>
        </w:tc>
        <w:tc>
          <w:tcPr>
            <w:tcW w:w="120" w:type="dxa"/>
            <w:vAlign w:val="bottom"/>
          </w:tcPr>
          <w:p>
            <w:pPr>
              <w:spacing w:after="0"/>
              <w:rPr>
                <w:sz w:val="16"/>
                <w:szCs w:val="16"/>
                <w:color w:val="auto"/>
              </w:rPr>
            </w:pP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1,265</w:t>
            </w:r>
          </w:p>
        </w:tc>
        <w:tc>
          <w:tcPr>
            <w:tcW w:w="220" w:type="dxa"/>
            <w:vAlign w:val="bottom"/>
          </w:tcPr>
          <w:p>
            <w:pPr>
              <w:spacing w:after="0"/>
              <w:rPr>
                <w:sz w:val="16"/>
                <w:szCs w:val="16"/>
                <w:color w:val="auto"/>
              </w:rPr>
            </w:pPr>
          </w:p>
        </w:tc>
        <w:tc>
          <w:tcPr>
            <w:tcW w:w="1020" w:type="dxa"/>
            <w:vAlign w:val="bottom"/>
            <w:vMerge w:val="restart"/>
          </w:tcPr>
          <w:p>
            <w:pPr>
              <w:jc w:val="center"/>
              <w:ind w:left="290"/>
              <w:spacing w:after="0"/>
              <w:rPr>
                <w:sz w:val="20"/>
                <w:szCs w:val="20"/>
                <w:color w:val="auto"/>
              </w:rPr>
            </w:pPr>
            <w:r>
              <w:rPr>
                <w:rFonts w:ascii="Arial" w:cs="Arial" w:eastAsia="Arial" w:hAnsi="Arial"/>
                <w:sz w:val="18"/>
                <w:szCs w:val="18"/>
                <w:color w:val="auto"/>
              </w:rPr>
              <w:t>(0.71)</w:t>
            </w:r>
          </w:p>
        </w:tc>
        <w:tc>
          <w:tcPr>
            <w:tcW w:w="360" w:type="dxa"/>
            <w:vAlign w:val="bottom"/>
          </w:tcPr>
          <w:p>
            <w:pPr>
              <w:spacing w:after="0"/>
              <w:rPr>
                <w:sz w:val="16"/>
                <w:szCs w:val="16"/>
                <w:color w:val="auto"/>
              </w:rPr>
            </w:pPr>
          </w:p>
        </w:tc>
        <w:tc>
          <w:tcPr>
            <w:tcW w:w="860" w:type="dxa"/>
            <w:vAlign w:val="bottom"/>
            <w:vMerge w:val="restart"/>
          </w:tcPr>
          <w:p>
            <w:pPr>
              <w:jc w:val="center"/>
              <w:ind w:left="250"/>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1,265</w:t>
            </w: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(0.71)</w:t>
            </w:r>
          </w:p>
        </w:tc>
        <w:tc>
          <w:tcPr>
            <w:tcW w:w="3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35"/>
        </w:trPr>
        <w:tc>
          <w:tcPr>
            <w:tcW w:w="3500" w:type="dxa"/>
            <w:vAlign w:val="bottom"/>
          </w:tcPr>
          <w:p>
            <w:pPr>
              <w:ind w:left="120"/>
              <w:spacing w:after="0"/>
              <w:rPr>
                <w:sz w:val="20"/>
                <w:szCs w:val="20"/>
                <w:color w:val="auto"/>
              </w:rPr>
            </w:pPr>
            <w:r>
              <w:rPr>
                <w:rFonts w:ascii="Arial" w:cs="Arial" w:eastAsia="Arial" w:hAnsi="Arial"/>
                <w:sz w:val="18"/>
                <w:szCs w:val="18"/>
                <w:color w:val="auto"/>
              </w:rPr>
              <w:t>expense</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500" w:type="dxa"/>
            <w:vAlign w:val="bottom"/>
          </w:tcPr>
          <w:p>
            <w:pPr>
              <w:spacing w:after="0" w:line="164" w:lineRule="exact"/>
              <w:rPr>
                <w:sz w:val="20"/>
                <w:szCs w:val="20"/>
                <w:color w:val="auto"/>
              </w:rPr>
            </w:pPr>
            <w:r>
              <w:rPr>
                <w:rFonts w:ascii="Arial" w:cs="Arial" w:eastAsia="Arial" w:hAnsi="Arial"/>
                <w:sz w:val="18"/>
                <w:szCs w:val="18"/>
                <w:b w:val="1"/>
                <w:bCs w:val="1"/>
                <w:color w:val="auto"/>
              </w:rPr>
              <w:t>Guidance including Q4 2025 Acquired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1,265</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left="310"/>
              <w:spacing w:after="0"/>
              <w:rPr>
                <w:sz w:val="20"/>
                <w:szCs w:val="20"/>
                <w:color w:val="auto"/>
              </w:rPr>
            </w:pPr>
            <w:r>
              <w:rPr>
                <w:rFonts w:ascii="Arial" w:cs="Arial" w:eastAsia="Arial" w:hAnsi="Arial"/>
                <w:sz w:val="18"/>
                <w:szCs w:val="18"/>
                <w:color w:val="auto"/>
                <w:w w:val="96"/>
              </w:rPr>
              <w:t>2.61</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center"/>
              <w:ind w:left="270"/>
              <w:spacing w:after="0"/>
              <w:rPr>
                <w:sz w:val="20"/>
                <w:szCs w:val="20"/>
                <w:color w:val="auto"/>
              </w:rPr>
            </w:pPr>
            <w:r>
              <w:rPr>
                <w:rFonts w:ascii="Arial" w:cs="Arial" w:eastAsia="Arial" w:hAnsi="Arial"/>
                <w:sz w:val="18"/>
                <w:szCs w:val="18"/>
                <w:color w:val="auto"/>
                <w:w w:val="96"/>
              </w:rPr>
              <w:t>2.65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5,016</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9.90</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Arial" w:cs="Arial" w:eastAsia="Arial" w:hAnsi="Arial"/>
                <w:sz w:val="18"/>
                <w:szCs w:val="18"/>
                <w:b w:val="1"/>
                <w:bCs w:val="1"/>
                <w:color w:val="auto"/>
              </w:rPr>
              <w:t>IPR&amp;D and milestones expense</w:t>
            </w:r>
          </w:p>
        </w:tc>
        <w:tc>
          <w:tcPr>
            <w:tcW w:w="1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sectPr>
      <w:pgSz w:w="11900" w:h="16838" w:orient="portrait"/>
      <w:cols w:equalWidth="0" w:num="1">
        <w:col w:w="11220"/>
      </w:cols>
      <w:pgMar w:left="340" w:top="8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2026-01-07T15:14:54Z</dcterms:created>
  <dcterms:modified xsi:type="dcterms:W3CDTF">2026-01-07T15:14:54Z</dcterms:modified>
</cp:coreProperties>
</file>