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452d2_fwp.htm"/>
      <w:bookmarkStart w:id="1" w:name="kstm2621452d2_fwp"/>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August 4,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Free Writing Prospectus supplementing the</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 Supplement dated</w:t>
        <w:br/>
        <w:t>August 4, 2026 and the</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February 14, 2025</w:t>
        <w:br/>
        <w:t>Registration No. 333-284980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AbbVie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 Senior Floating Rate Notes due 2028 (the “Floating Rate Notes”)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$1,000,000,000 4.500% Senior Notes due 2028 (the “2028 Notes”)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$1,250,000,000 4.650% Senior Notes due 2030 (the “2030 Notes”)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 4.875% Senior Notes due 2031 (the “2031 Notes”)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$1,250,000,000 5.050% Senior Notes due 2033 (the “2033 Notes”)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 5.300% Senior Notes due 2036 (the “2036 Notes”)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$1,000,000,000 5.450% Senior Notes due 2038 (the “2038 Notes”)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 6.000% Senior Notes due 2056 (the “2056 Notes”)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 6.100% Senior Notes due 2066 (the “2066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information in this pricing term sheet, dated August 4, 2026 (the “Pricing Term Sheet”) supplements the preliminary prospectus supplement, dated August 4, 2026 (the “Preliminary Prospectus Supplement”) of AbbVie Inc. and should be read together with the Preliminary Prospectus Supplement. The information in this Pricing Term Sheet supersedes the information contained in the Preliminary Prospectus Supplement to the extent that it is inconsistent therewith. Unless otherwise indicated, capitalized terms used but not defined herein have the meaning assigned to such terms in the Preliminary Prospectus Supplement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Each Series of the 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0"/>
        <w:gridCol w:w="60"/>
        <w:gridCol w:w="7965"/>
      </w:tblGrid>
      <w:tr>
        <w:trPr/>
        <w:tc>
          <w:tcPr>
            <w:tcW w:w="21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Issuer:</w:t>
            </w:r>
          </w:p>
        </w:tc>
        <w:tc>
          <w:tcPr>
            <w:tcW w:w="60" w:type="dxa"/>
            <w:tcBorders/>
            <w:vAlign w:val="center"/>
          </w:tcPr>
          <w:p>
            <w:pPr>
              <w:pStyle w:val="TableContents"/>
              <w:bidi w:val="0"/>
              <w:spacing w:before="0" w:after="283"/>
              <w:jc w:val="left"/>
              <w:rPr/>
            </w:pPr>
            <w:r>
              <w:rPr/>
              <w:t> </w:t>
            </w:r>
          </w:p>
        </w:tc>
        <w:tc>
          <w:tcPr>
            <w:tcW w:w="7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AbbVie Inc.</w:t>
            </w:r>
          </w:p>
        </w:tc>
      </w:tr>
      <w:tr>
        <w:trPr/>
        <w:tc>
          <w:tcPr>
            <w:tcW w:w="21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Trade Date:</w:t>
            </w:r>
          </w:p>
        </w:tc>
        <w:tc>
          <w:tcPr>
            <w:tcW w:w="60" w:type="dxa"/>
            <w:tcBorders/>
            <w:vAlign w:val="center"/>
          </w:tcPr>
          <w:p>
            <w:pPr>
              <w:pStyle w:val="TableContents"/>
              <w:bidi w:val="0"/>
              <w:spacing w:before="0" w:after="283"/>
              <w:jc w:val="left"/>
              <w:rPr/>
            </w:pPr>
            <w:r>
              <w:rPr/>
              <w:t> </w:t>
            </w:r>
          </w:p>
        </w:tc>
        <w:tc>
          <w:tcPr>
            <w:tcW w:w="7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4, 2026</w:t>
            </w:r>
          </w:p>
        </w:tc>
      </w:tr>
      <w:tr>
        <w:trPr/>
        <w:tc>
          <w:tcPr>
            <w:tcW w:w="21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Settlement Date*:</w:t>
            </w:r>
          </w:p>
        </w:tc>
        <w:tc>
          <w:tcPr>
            <w:tcW w:w="60" w:type="dxa"/>
            <w:tcBorders/>
            <w:vAlign w:val="center"/>
          </w:tcPr>
          <w:p>
            <w:pPr>
              <w:pStyle w:val="TableContents"/>
              <w:bidi w:val="0"/>
              <w:spacing w:before="0" w:after="283"/>
              <w:jc w:val="left"/>
              <w:rPr/>
            </w:pPr>
            <w:r>
              <w:rPr/>
              <w:t> </w:t>
            </w:r>
          </w:p>
        </w:tc>
        <w:tc>
          <w:tcPr>
            <w:tcW w:w="7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18, 2026 (T+10)</w:t>
            </w:r>
          </w:p>
        </w:tc>
      </w:tr>
      <w:tr>
        <w:trPr/>
        <w:tc>
          <w:tcPr>
            <w:tcW w:w="21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Issuer Ratings**:</w:t>
            </w:r>
          </w:p>
        </w:tc>
        <w:tc>
          <w:tcPr>
            <w:tcW w:w="60" w:type="dxa"/>
            <w:tcBorders/>
            <w:vAlign w:val="center"/>
          </w:tcPr>
          <w:p>
            <w:pPr>
              <w:pStyle w:val="TableContents"/>
              <w:bidi w:val="0"/>
              <w:spacing w:before="0" w:after="283"/>
              <w:jc w:val="left"/>
              <w:rPr/>
            </w:pPr>
            <w:r>
              <w:rPr/>
              <w:t> </w:t>
            </w:r>
          </w:p>
        </w:tc>
        <w:tc>
          <w:tcPr>
            <w:tcW w:w="7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 (Stable) by Moody’s Investors Service, Inc. / A- (Positive) by S&amp;P Global Ratings, a division of S&amp;P Global Inc.</w:t>
            </w:r>
          </w:p>
        </w:tc>
      </w:tr>
      <w:tr>
        <w:trPr/>
        <w:tc>
          <w:tcPr>
            <w:tcW w:w="21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Form of Offering:</w:t>
            </w:r>
          </w:p>
        </w:tc>
        <w:tc>
          <w:tcPr>
            <w:tcW w:w="60" w:type="dxa"/>
            <w:tcBorders/>
            <w:vAlign w:val="center"/>
          </w:tcPr>
          <w:p>
            <w:pPr>
              <w:pStyle w:val="TableContents"/>
              <w:bidi w:val="0"/>
              <w:spacing w:before="0" w:after="283"/>
              <w:jc w:val="left"/>
              <w:rPr/>
            </w:pPr>
            <w:r>
              <w:rPr/>
              <w:t> </w:t>
            </w:r>
          </w:p>
        </w:tc>
        <w:tc>
          <w:tcPr>
            <w:tcW w:w="7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SEC-registered (Registration No. 333-284980)</w:t>
            </w:r>
          </w:p>
        </w:tc>
      </w:tr>
      <w:tr>
        <w:trPr/>
        <w:tc>
          <w:tcPr>
            <w:tcW w:w="21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Joint Book-Running Managers:</w:t>
            </w:r>
          </w:p>
        </w:tc>
        <w:tc>
          <w:tcPr>
            <w:tcW w:w="60" w:type="dxa"/>
            <w:tcBorders/>
            <w:vAlign w:val="center"/>
          </w:tcPr>
          <w:p>
            <w:pPr>
              <w:pStyle w:val="TableContents"/>
              <w:bidi w:val="0"/>
              <w:spacing w:before="0" w:after="283"/>
              <w:jc w:val="left"/>
              <w:rPr/>
            </w:pPr>
            <w:r>
              <w:rPr/>
              <w:t> </w:t>
            </w:r>
          </w:p>
        </w:tc>
        <w:tc>
          <w:tcPr>
            <w:tcW w:w="79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 Americas Securities, LLC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 (</w:t>
            </w:r>
            <w:r>
              <w:rPr>
                <w:rFonts w:ascii="Times New Roman;Times;Serif" w:hAnsi="Times New Roman;Times;Serif"/>
                <w:b w:val="false"/>
                <w:i/>
                <w:caps w:val="false"/>
                <w:smallCaps w:val="false"/>
                <w:sz w:val="20"/>
              </w:rPr>
              <w:t>Floating Rate Notes and 2028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 (</w:t>
            </w:r>
            <w:r>
              <w:rPr>
                <w:rFonts w:ascii="Times New Roman;Times;Serif" w:hAnsi="Times New Roman;Times;Serif"/>
                <w:b w:val="false"/>
                <w:i/>
                <w:caps w:val="false"/>
                <w:smallCaps w:val="false"/>
                <w:sz w:val="20"/>
              </w:rPr>
              <w:t>2030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 (</w:t>
            </w:r>
            <w:r>
              <w:rPr>
                <w:rFonts w:ascii="Times New Roman;Times;Serif" w:hAnsi="Times New Roman;Times;Serif"/>
                <w:b w:val="false"/>
                <w:i/>
                <w:caps w:val="false"/>
                <w:smallCaps w:val="false"/>
                <w:sz w:val="20"/>
              </w:rPr>
              <w:t>2038 Notes and 2066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 (</w:t>
            </w:r>
            <w:r>
              <w:rPr>
                <w:rFonts w:ascii="Times New Roman;Times;Serif" w:hAnsi="Times New Roman;Times;Serif"/>
                <w:b w:val="false"/>
                <w:i/>
                <w:caps w:val="false"/>
                <w:smallCaps w:val="false"/>
                <w:sz w:val="20"/>
              </w:rPr>
              <w:t>2036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HSBC Securities (USA) Inc. (</w:t>
            </w:r>
            <w:r>
              <w:rPr>
                <w:rFonts w:ascii="Times New Roman;Times;Serif" w:hAnsi="Times New Roman;Times;Serif"/>
                <w:b w:val="false"/>
                <w:i/>
                <w:caps w:val="false"/>
                <w:smallCaps w:val="false"/>
                <w:sz w:val="20"/>
              </w:rPr>
              <w:t>2033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 (</w:t>
            </w:r>
            <w:r>
              <w:rPr>
                <w:rFonts w:ascii="Times New Roman;Times;Serif" w:hAnsi="Times New Roman;Times;Serif"/>
                <w:b w:val="false"/>
                <w:i/>
                <w:caps w:val="false"/>
                <w:smallCaps w:val="false"/>
                <w:sz w:val="20"/>
              </w:rPr>
              <w:t>2031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 (</w:t>
            </w:r>
            <w:r>
              <w:rPr>
                <w:rFonts w:ascii="Times New Roman;Times;Serif" w:hAnsi="Times New Roman;Times;Serif"/>
                <w:b w:val="false"/>
                <w:i/>
                <w:caps w:val="false"/>
                <w:smallCaps w:val="false"/>
                <w:sz w:val="20"/>
              </w:rPr>
              <w:t>2056 Notes</w:t>
            </w:r>
            <w:r>
              <w:rPr>
                <w:rFonts w:ascii="Times New Roman;Times;Serif" w:hAnsi="Times New Roman;Times;Serif"/>
                <w:b w:val="false"/>
                <w:i w:val="false"/>
                <w:caps w:val="false"/>
                <w:smallCaps w:val="false"/>
                <w:sz w:val="20"/>
              </w:rPr>
              <w:t>)</w:t>
            </w:r>
          </w:p>
        </w:tc>
      </w:tr>
      <w:tr>
        <w:trPr/>
        <w:tc>
          <w:tcPr>
            <w:tcW w:w="21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Co-Managers:</w:t>
            </w:r>
          </w:p>
        </w:tc>
        <w:tc>
          <w:tcPr>
            <w:tcW w:w="60" w:type="dxa"/>
            <w:tcBorders/>
            <w:vAlign w:val="center"/>
          </w:tcPr>
          <w:p>
            <w:pPr>
              <w:pStyle w:val="TableContents"/>
              <w:bidi w:val="0"/>
              <w:spacing w:before="0" w:after="283"/>
              <w:jc w:val="left"/>
              <w:rPr/>
            </w:pPr>
            <w:r>
              <w:rPr/>
              <w:t> </w:t>
            </w:r>
          </w:p>
        </w:tc>
        <w:tc>
          <w:tcPr>
            <w:tcW w:w="79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 (</w:t>
            </w:r>
            <w:r>
              <w:rPr>
                <w:rFonts w:ascii="Times New Roman;Times;Serif" w:hAnsi="Times New Roman;Times;Serif"/>
                <w:b w:val="false"/>
                <w:i/>
                <w:caps w:val="false"/>
                <w:smallCaps w:val="false"/>
                <w:sz w:val="20"/>
              </w:rPr>
              <w:t>2030 Notes, 2031 Notes, 2033 Notes, 2036 Notes, 2038 Notes, 2056 Notes and 2066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 (</w:t>
            </w:r>
            <w:r>
              <w:rPr>
                <w:rFonts w:ascii="Times New Roman;Times;Serif" w:hAnsi="Times New Roman;Times;Serif"/>
                <w:b w:val="false"/>
                <w:i/>
                <w:caps w:val="false"/>
                <w:smallCaps w:val="false"/>
                <w:sz w:val="20"/>
              </w:rPr>
              <w:t>Floating Rate Notes, 2028 Notes, 2031 Notes, 2033 Notes, 2036 Notes, 2038 Notes, 2056 Notes and 2066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 (</w:t>
            </w:r>
            <w:r>
              <w:rPr>
                <w:rFonts w:ascii="Times New Roman;Times;Serif" w:hAnsi="Times New Roman;Times;Serif"/>
                <w:b w:val="false"/>
                <w:i/>
                <w:caps w:val="false"/>
                <w:smallCaps w:val="false"/>
                <w:sz w:val="20"/>
              </w:rPr>
              <w:t>Floating Rate Notes, 2028 Notes, 2030 Notes, 2031 Notes, 2033 Notes, 2036 Notes and 2056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 (</w:t>
            </w:r>
            <w:r>
              <w:rPr>
                <w:rFonts w:ascii="Times New Roman;Times;Serif" w:hAnsi="Times New Roman;Times;Serif"/>
                <w:b w:val="false"/>
                <w:i/>
                <w:caps w:val="false"/>
                <w:smallCaps w:val="false"/>
                <w:sz w:val="20"/>
              </w:rPr>
              <w:t>Floating Rate Notes, 2028 Notes, 2030 Notes, 2031 Notes, 2033 Notes, 2038 Notes, 2056 Notes and 2066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HSBC Securities (USA) Inc. (</w:t>
            </w:r>
            <w:r>
              <w:rPr>
                <w:rFonts w:ascii="Times New Roman;Times;Serif" w:hAnsi="Times New Roman;Times;Serif"/>
                <w:b w:val="false"/>
                <w:i/>
                <w:caps w:val="false"/>
                <w:smallCaps w:val="false"/>
                <w:sz w:val="20"/>
              </w:rPr>
              <w:t>Floating Rate Notes, 2028 Notes, 2030 Notes, 2031 Notes, 2036 Notes, 2038 Notes, 2056 Notes and 2066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 (</w:t>
            </w:r>
            <w:r>
              <w:rPr>
                <w:rFonts w:ascii="Times New Roman;Times;Serif" w:hAnsi="Times New Roman;Times;Serif"/>
                <w:b w:val="false"/>
                <w:i/>
                <w:caps w:val="false"/>
                <w:smallCaps w:val="false"/>
                <w:sz w:val="20"/>
              </w:rPr>
              <w:t>Floating Rate Notes, 2028 Notes, 2030 Notes, 2033 Notes, 2036 Notes, 2038 Notes, 2056 Notes and 2066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 (</w:t>
            </w:r>
            <w:r>
              <w:rPr>
                <w:rFonts w:ascii="Times New Roman;Times;Serif" w:hAnsi="Times New Roman;Times;Serif"/>
                <w:b w:val="false"/>
                <w:i/>
                <w:caps w:val="false"/>
                <w:smallCaps w:val="false"/>
                <w:sz w:val="20"/>
              </w:rPr>
              <w:t>Floating Rate Notes, 2028 Notes, 2030 Notes, 2031 Notes, 2033 Notes, 2036 Notes, 2038 Notes and 2066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Lloyds Securities Inc.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Santander US Capital Markets LLC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Siebert Williams Shank &amp; Co., LLC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Blaylock Van, LLC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CastleOak Securities, L.P.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Independence Point Securities LLC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Penserra Securities LLC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Seelaus &amp; Co., LLC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the Mandatorily Redeemable 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1"/>
        <w:gridCol w:w="60"/>
        <w:gridCol w:w="8934"/>
      </w:tblGrid>
      <w:tr>
        <w:trPr/>
        <w:tc>
          <w:tcPr>
            <w:tcW w:w="121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Special Mandatory Redemption:</w:t>
            </w:r>
          </w:p>
        </w:tc>
        <w:tc>
          <w:tcPr>
            <w:tcW w:w="60"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Issuer publicly announces that the Acquisition Agreement has been terminated prior to the consummation of the Specified Acquisition, or notifies the Trustee in writing that it will not pursue the consummation of the Specified Acquisition, the Issuer will be required to redeem all and not less than all of the Floating Rate Notes, 2028 Notes, 2030 Notes, 2031 Notes, 2033 Notes, 2036 Notes and 2038 Notes (collectively, the “Mandatorily Redeemable Notes”) then outstanding at a redemption price equal to 101% of the principal amount thereof, plus accrued and unpaid interest thereon to, but excluding, the Special Mandatory Redemption Date. The 2056 Notes and the 2066 Notes (collectively, the “Long-Term Notes”) will not be subject to any Special Mandatory Redemption.  There is no escrow account for, or security interest in, the proceeds of this offering for the benefit of holders of the Notes. See “</w:t>
            </w:r>
            <w:r>
              <w:rPr>
                <w:rFonts w:ascii="Times New Roman;Times;Serif" w:hAnsi="Times New Roman;Times;Serif"/>
                <w:i/>
                <w:sz w:val="20"/>
              </w:rPr>
              <w:t>Description of Notes—Special Mandatory Redemption</w:t>
            </w:r>
            <w:r>
              <w:rPr>
                <w:rFonts w:ascii="Times New Roman;Times;Serif" w:hAnsi="Times New Roman;Times;Serif"/>
                <w:sz w:val="20"/>
              </w:rPr>
              <w:t>” in the preliminary prospectus supplement.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Senior Floating Rate Notes due 2028</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2540"/>
        <w:gridCol w:w="60"/>
        <w:gridCol w:w="7340"/>
      </w:tblGrid>
      <w:tr>
        <w:trPr/>
        <w:tc>
          <w:tcPr>
            <w:tcW w:w="25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Principal Amount: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$500,000,000</w:t>
            </w:r>
          </w:p>
        </w:tc>
      </w:tr>
      <w:tr>
        <w:trPr/>
        <w:tc>
          <w:tcPr>
            <w:tcW w:w="25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Final Maturity Date:</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18, 2028</w:t>
            </w:r>
          </w:p>
        </w:tc>
      </w:tr>
      <w:tr>
        <w:trPr/>
        <w:tc>
          <w:tcPr>
            <w:tcW w:w="25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Public Offering Price:</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100.000%, plus accrued and unpaid interest, if any, from August 18, 2026</w:t>
            </w:r>
          </w:p>
        </w:tc>
      </w:tr>
      <w:tr>
        <w:trPr/>
        <w:tc>
          <w:tcPr>
            <w:tcW w:w="25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Coupon:</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Compounded SOFR + 42 bps, accruing from and including August 18, 2026</w:t>
            </w:r>
          </w:p>
        </w:tc>
      </w:tr>
      <w:tr>
        <w:trPr/>
        <w:tc>
          <w:tcPr>
            <w:tcW w:w="25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18, May 18, August 18 and November 18, commencing November 18, 2026</w:t>
            </w:r>
          </w:p>
        </w:tc>
      </w:tr>
      <w:tr>
        <w:trPr/>
        <w:tc>
          <w:tcPr>
            <w:tcW w:w="25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Day Count Convention:</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Actual / 360</w:t>
            </w:r>
          </w:p>
        </w:tc>
      </w:tr>
      <w:tr>
        <w:trPr/>
        <w:tc>
          <w:tcPr>
            <w:tcW w:w="25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Redemption:</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redeemable prior to maturity, other than pursuant to a Special Mandatory Redemption</w:t>
            </w:r>
          </w:p>
        </w:tc>
      </w:tr>
      <w:tr>
        <w:trPr/>
        <w:tc>
          <w:tcPr>
            <w:tcW w:w="25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Make-Whole Call:</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25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 Call:</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25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 ISIN:</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00287Y EL9 / US00287YEL92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4.500% Senior Notes due 2028</w:t>
      </w:r>
    </w:p>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3275"/>
        <w:gridCol w:w="60"/>
        <w:gridCol w:w="5900"/>
      </w:tblGrid>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Principal Amount: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$1,000,000,000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Final Maturity Date:</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18, 2028</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Public Offering Price:</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99.970%, plus accrued and unpaid interest, if any, from August 18, 2026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4.250% due July 31, 2028</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Price and Yield:</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100-03 ¼ / 4.196%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Spread to Benchmark Treasury: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T+32 bps</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Coupon: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4.500%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18 and August 18, commencing February 18, 2027</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Day Count Convention: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 / 360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Yield to Maturity: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4.516%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Make-Whole Call:</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Make-whole call at T+ 5 bps </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 Call:</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 ISIN: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00287Y EK1 / US00287YEK10</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4.650% Senior Notes due 2030</w:t>
      </w:r>
    </w:p>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3275"/>
        <w:gridCol w:w="60"/>
        <w:gridCol w:w="5900"/>
      </w:tblGrid>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Principal Amount: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$1,250,000,000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Final Maturity Date:</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2030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Public Offering Price:</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99.862%, plus accrued and unpaid interest, if any, from August 18, 2026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4.125% due July 15, 2029</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Price and Yield:</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99-21 ¾ / 4.241%</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Spread to Benchmark Treasury: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T+45 bps</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Coupon: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4.650%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and September 15, commencing March 15, 2027</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Day Count Convention: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 / 360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Yield to Maturity: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4.691%</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Make-Whole Call:</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Make-whole call at T+ 10 bps</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 Call:</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or after February 15, 2030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 ISIN: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00287Y EM7 / US00287YEM75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4.875% Senior Notes due 2031</w:t>
      </w:r>
    </w:p>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3275"/>
        <w:gridCol w:w="60"/>
        <w:gridCol w:w="5900"/>
      </w:tblGrid>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Principal Amount: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$1,500,000,000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Final Maturity Date:</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2031</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Public Offering Price:</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99.977%, plus accrued and unpaid interest, if any, from August 18, 2026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4.375% due July 31, 2031</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Price and Yield:</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100-06+ / 4.329%</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Spread to Benchmark Treasury: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T+55 bps</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Coupon: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4.875%</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and September 15, commencing March 15, 2027</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Day Count Convention: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 / 360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Yield to Maturity: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4.879%</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Make-Whole Call:</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Make-whole call at T+10 bps</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 Call:</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or after August 15, 2031</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 ISIN: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00287Y EN5 / US00287YEN58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5.050% Senior Notes due 2033</w:t>
      </w:r>
    </w:p>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3275"/>
        <w:gridCol w:w="60"/>
        <w:gridCol w:w="5900"/>
      </w:tblGrid>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Principal Amount: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$1,250,000,000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Final Maturity Date:</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2033</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Public Offering Price:</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99.889%, plus accrued and unpaid interest, if any, from August 18, 2026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4.375% due July 31, 2033</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Price and Yield:</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99-14+ / 4.468%</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Spread to Benchmark Treasury: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T+60 bps</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Coupon: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5.050%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and September 15, commencing March 15, 2027</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Day Count Convention: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 / 360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Yield to Maturity: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5.068%</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Make-Whole Call:</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Make-whole call at T+10 bps</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 Call:</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or after July 15, 2033</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 ISIN: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00287Y EP0 / US00287YEP07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5.300% Senior Notes due 2036</w:t>
      </w:r>
    </w:p>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3275"/>
        <w:gridCol w:w="60"/>
        <w:gridCol w:w="5900"/>
      </w:tblGrid>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Principal Amount: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$1,500,000,000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Final Maturity Date:</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2036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Public Offering Price:</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99.832%, plus accrued and unpaid interest, if any, from August 18, 2026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4.375% due May 15, 2036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Price and Yield:</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98-02+ / 4.621%</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Spread to Benchmark Treasury: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T+70 bps</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Coupon: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5.300%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and September 15, commencing March 15, 2027</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Day Count Convention: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 / 360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Yield to Maturity: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5.321%</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Make-Whole Call:</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Make-whole call at T+15 bps</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 Call:</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or after June 15, 2036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 ISIN: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00287Y EQ8 / US00287YEQ89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5.450% Senior Notes due 2038</w:t>
      </w:r>
    </w:p>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3275"/>
        <w:gridCol w:w="60"/>
        <w:gridCol w:w="5900"/>
      </w:tblGrid>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Principal Amount: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$1,000,000,000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Final Maturity Date:</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2038</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Public Offering Price:</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99.810%, plus accrued and unpaid interest, if any, from August 18, 2026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4.375% due May 15, 2036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Price and Yield:</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98-02+ / 4.621%</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Spread to Benchmark Treasury: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T+85 bps</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Coupon: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5.450%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and September 15, commencing March 15, 2027</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Day Count Convention: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 / 360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Yield to Maturity: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5.471%</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Make-Whole Call:</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Make-whole call at T+15 bps</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 Call:</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or after June 15, 2038</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 ISIN: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00287Y ER6 / US00287YER62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6.000% Senior Notes due 2056</w:t>
      </w:r>
    </w:p>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3275"/>
        <w:gridCol w:w="60"/>
        <w:gridCol w:w="5900"/>
      </w:tblGrid>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Principal Amount: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$1,500,000,000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Final Maturity Date:</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2056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Public Offering Price:</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99.441%, plus accrued and unpaid interest, if any, from August 18, 2026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4.750% due February 15, 2056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Price and Yield:</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93-12+ / 5.190%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Spread to Benchmark Treasury: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T+85 bps</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Coupon: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6.000%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and September 15, commencing March 15, 2027</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Day Count Convention: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 / 360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Yield to Maturity: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6.040%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Make-Whole Call:</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Make-whole call at T+15 bps</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 Call:</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or after March 15, 2056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 ISIN: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00287Y ES4 / US00287YES46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6.100% Senior Notes due 2066</w:t>
      </w:r>
    </w:p>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3275"/>
        <w:gridCol w:w="60"/>
        <w:gridCol w:w="5900"/>
      </w:tblGrid>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Principal Amount: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$500,000,000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Final Maturity Date:</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2066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Public Offering Price:</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99.843%, plus accrued and unpaid interest, if any, from August 18, 2026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4.750% due February 15, 2056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Price and Yield:</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93-12+ / 5.190%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Spread to Benchmark Treasury: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T+92 bps</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Coupon: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6.100%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and September 15, commencing March 15, 2027</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Day Count Convention: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 / 360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Yield to Maturity:</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6.110%</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Make-Whole Call:</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Make-whole call at T+15 bps</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 Call:</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or after March 15, 2066</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 ISIN:</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00287Y ET2 / US00287YET29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 registration statement (including a preliminary prospectus supplement and an accompanying prospectus) with the Securities and Exchange Commission (“SEC”) for the offering to which this communication relates. Before you invest, you should read the prospectus in that registration statement and other documents that the Issuer has filed with the SEC, including the preliminary prospectus supplement, for more complete information about the Issuer and this offering. You may get these documents for free by visiting the SEC website at www.sec.gov. Alternatively, the Issuer, any underwriter or any dealer participating in the offering will arrange to send you the preliminary prospectus supplement and the accompanying prospectus if you request it by contacting Morgan Stanley &amp; Co. LLC at 1-866-718-1649, BofA Securities, Inc. at 1-800-294-1322, J.P. Morgan Securities LLC collect at 1-212-834-4533 and SG Americas Securities, LLC, at 1-855-881-2108.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expects to deliver the Notes against payment for the Notes on or about August 18, 2026, which will be the tenth business day following the date of the pricing of the Notes (this settlement cycle being referred to as “T+10”). Under Rule 15c6-1 of the Exchange Act, trades in the secondary market generally are required to settle in one business day, unless the parties to a trade expressly agree otherwise. Accordingly, purchasers who wish to trade Notes on the date of pricing will be required, by virtue of the fact that the Notes initially will settle in T+10, to specify alternative settlement arrangements to prevent a failed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**These Issuer ratings are not a recommendation to buy, sell or hold the Notes offered hereby. The ratings may be subject to revision or withdrawal at any time by the relevant rating agency. Each of the Issuer ratings included herein should be evaluated independently of any other Issuer rating.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used but not defined herein shall have the meanings ascribed thereto in the Issuer’s preliminary prospectus supplement, dated August 4, 2026, to the Issuer’s prospectus, dated February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1945</Words>
  <Characters>10630</Characters>
  <CharactersWithSpaces>12451</CharactersWithSpaces>
  <Paragraphs>484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