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LIDDY EDWARD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AbbVie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ABBV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0000FF"/>
                <w:w w:val="99"/>
              </w:rPr>
              <w:t>X</w:t>
            </w:r>
          </w:p>
        </w:tc>
        <w:tc>
          <w:tcPr>
            <w:tcW w:w="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14"/>
                <w:szCs w:val="1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 N. WAUKEGAN ROAD</w:t>
            </w:r>
          </w:p>
        </w:tc>
        <w:tc>
          <w:tcPr>
            <w:tcW w:w="1200" w:type="dxa"/>
            <w:vAlign w:val="bottom"/>
          </w:tcPr>
          <w:p>
            <w:pPr>
              <w:spacing w:after="0"/>
              <w:rPr>
                <w:sz w:val="19"/>
                <w:szCs w:val="19"/>
                <w:color w:val="auto"/>
              </w:rPr>
            </w:pPr>
          </w:p>
        </w:tc>
        <w:tc>
          <w:tcPr>
            <w:tcW w:w="1280" w:type="dxa"/>
            <w:vAlign w:val="bottom"/>
            <w:gridSpan w:val="5"/>
          </w:tcPr>
          <w:p>
            <w:pPr>
              <w:ind w:left="240"/>
              <w:spacing w:after="0"/>
              <w:rPr>
                <w:sz w:val="20"/>
                <w:szCs w:val="20"/>
                <w:color w:val="auto"/>
              </w:rPr>
            </w:pPr>
            <w:r>
              <w:rPr>
                <w:rFonts w:ascii="Arial" w:cs="Arial" w:eastAsia="Arial" w:hAnsi="Arial"/>
                <w:sz w:val="18"/>
                <w:szCs w:val="18"/>
                <w:color w:val="0000FF"/>
              </w:rPr>
              <w:t>09/30/2014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gridSpan w:val="2"/>
          </w:tcPr>
          <w:p>
            <w:pPr>
              <w:spacing w:after="0"/>
              <w:rPr>
                <w:sz w:val="12"/>
                <w:szCs w:val="12"/>
                <w:color w:val="auto"/>
              </w:rPr>
            </w:pPr>
          </w:p>
        </w:tc>
        <w:tc>
          <w:tcPr>
            <w:tcW w:w="2580" w:type="dxa"/>
            <w:vAlign w:val="bottom"/>
            <w:tcBorders>
              <w:bottom w:val="single" w:sz="8" w:color="2C2C2C"/>
            </w:tcBorders>
            <w:gridSpan w:val="6"/>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4"/>
                <w:szCs w:val="4"/>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20" w:type="dxa"/>
            <w:vAlign w:val="bottom"/>
            <w:gridSpan w:val="8"/>
            <w:vMerge w:val="continue"/>
          </w:tcPr>
          <w:p>
            <w:pPr>
              <w:spacing w:after="0"/>
              <w:rPr>
                <w:sz w:val="11"/>
                <w:szCs w:val="11"/>
                <w:color w:val="auto"/>
              </w:rPr>
            </w:pPr>
          </w:p>
        </w:tc>
        <w:tc>
          <w:tcPr>
            <w:tcW w:w="28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0000FF"/>
                <w:w w:val="99"/>
              </w:rPr>
              <w:t>NORTH</w:t>
            </w:r>
          </w:p>
        </w:tc>
        <w:tc>
          <w:tcPr>
            <w:tcW w:w="560" w:type="dxa"/>
            <w:vAlign w:val="bottom"/>
          </w:tcPr>
          <w:p>
            <w:pPr>
              <w:spacing w:after="0"/>
              <w:rPr>
                <w:sz w:val="18"/>
                <w:szCs w:val="18"/>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0000FF"/>
              </w:rPr>
              <w:t>IL</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60064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CHICAGO</w:t>
            </w:r>
          </w:p>
        </w:tc>
        <w:tc>
          <w:tcPr>
            <w:tcW w:w="2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286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9"/>
          </w:tcPr>
          <w:p>
            <w:pPr>
              <w:ind w:left="3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3120" w:type="dxa"/>
            <w:vAlign w:val="bottom"/>
            <w:tcBorders>
              <w:bottom w:val="single" w:sz="8" w:color="2C2C2C"/>
            </w:tcBorders>
            <w:gridSpan w:val="8"/>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8"/>
          </w:tcPr>
          <w:p>
            <w:pPr>
              <w:jc w:val="right"/>
              <w:ind w:right="5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760" w:type="dxa"/>
            <w:vAlign w:val="bottom"/>
            <w:gridSpan w:val="15"/>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240"/>
              <w:spacing w:after="0"/>
              <w:rPr>
                <w:sz w:val="20"/>
                <w:szCs w:val="20"/>
                <w:color w:val="auto"/>
              </w:rPr>
            </w:pPr>
            <w:r>
              <w:rPr>
                <w:rFonts w:ascii="Arial" w:cs="Arial" w:eastAsia="Arial" w:hAnsi="Arial"/>
                <w:sz w:val="24"/>
                <w:szCs w:val="24"/>
                <w:color w:val="000000"/>
                <w:w w:val="92"/>
                <w:vertAlign w:val="subscript"/>
              </w:rPr>
              <w:t>$</w:t>
            </w:r>
            <w:r>
              <w:rPr>
                <w:rFonts w:ascii="Arial" w:cs="Arial" w:eastAsia="Arial" w:hAnsi="Arial"/>
                <w:sz w:val="27"/>
                <w:szCs w:val="27"/>
                <w:color w:val="0000FF"/>
                <w:w w:val="92"/>
                <w:vertAlign w:val="subscript"/>
              </w:rPr>
              <w:t>0</w:t>
            </w:r>
            <w:r>
              <w:rPr>
                <w:rFonts w:ascii="Arial" w:cs="Arial" w:eastAsia="Arial" w:hAnsi="Arial"/>
                <w:sz w:val="11"/>
                <w:szCs w:val="11"/>
                <w:color w:val="008000"/>
                <w:w w:val="92"/>
              </w:rPr>
              <w:t>(1)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597</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0000FF"/>
                <w:w w:val="78"/>
              </w:rPr>
              <w:t>11,361</w:t>
            </w:r>
            <w:r>
              <w:rPr>
                <w:rFonts w:ascii="Arial" w:cs="Arial" w:eastAsia="Arial" w:hAnsi="Arial"/>
                <w:sz w:val="22"/>
                <w:szCs w:val="22"/>
                <w:color w:val="008000"/>
                <w:w w:val="78"/>
                <w:vertAlign w:val="superscript"/>
              </w:rPr>
              <w:t>(2)</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Equivalent</w:t>
            </w: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09/30/2014</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6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597</w:t>
            </w: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restart"/>
          </w:tcPr>
          <w:p>
            <w:pPr>
              <w:jc w:val="right"/>
              <w:ind w:right="176"/>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57.76</w:t>
            </w:r>
          </w:p>
        </w:tc>
        <w:tc>
          <w:tcPr>
            <w:tcW w:w="680" w:type="dxa"/>
            <w:vAlign w:val="bottom"/>
            <w:vMerge w:val="continue"/>
          </w:tcPr>
          <w:p>
            <w:pPr>
              <w:spacing w:after="0"/>
              <w:rPr>
                <w:sz w:val="5"/>
                <w:szCs w:val="5"/>
                <w:color w:val="auto"/>
              </w:rPr>
            </w:pP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Director fees credited to stock equivalent unit accounts established by the director at Abbott Laboratories and AbbVie. The stock equivalent units in the Abbott account will be paid, in cash, generally at age</w:t>
      </w:r>
    </w:p>
    <w:p>
      <w:pPr>
        <w:spacing w:after="0" w:line="22" w:lineRule="exact"/>
        <w:rPr>
          <w:rFonts w:ascii="Arial" w:cs="Arial" w:eastAsia="Arial" w:hAnsi="Arial"/>
          <w:sz w:val="12"/>
          <w:szCs w:val="12"/>
          <w:color w:val="008000"/>
        </w:rPr>
      </w:pPr>
    </w:p>
    <w:p>
      <w:pPr>
        <w:ind w:left="40" w:right="180" w:firstLine="9"/>
        <w:spacing w:after="0" w:line="230" w:lineRule="auto"/>
        <w:tabs>
          <w:tab w:leader="none" w:pos="209"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or upon retirement from Abbott's board, and the stock equivalent units in the AbbVie account will be paid, in cash, generally at age 65 or upon retirement from AbbVie's board. The stock equivalent units in each account earn the same return as if the fees were invested in AbbVie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Balance includes stock equivalent units acquired pursuant to a dividend equivalent reinvestment feature.</w:t>
      </w:r>
    </w:p>
    <w:p>
      <w:pPr>
        <w:ind w:left="6860"/>
        <w:spacing w:after="0" w:line="184"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4"/>
          <w:szCs w:val="34"/>
          <w:color w:val="0000FF"/>
          <w:vertAlign w:val="subscript"/>
        </w:rPr>
        <w:t>10/02/2014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5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Edward M. Liddy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72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2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65"/>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983"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2019-12-17T10:30:39Z</dcterms:created>
  <dcterms:modified xsi:type="dcterms:W3CDTF">2019-12-17T10:30:39Z</dcterms:modified>
</cp:coreProperties>
</file>