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702945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 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73025</wp:posOffset>
            </wp:positionV>
            <wp:extent cx="1405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1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237" w:lineRule="exact"/>
        <w:rPr>
          <w:sz w:val="24"/>
          <w:szCs w:val="24"/>
          <w:color w:val="auto"/>
        </w:rPr>
      </w:pPr>
    </w:p>
    <w:p>
      <w:pPr>
        <w:jc w:val="center"/>
        <w:ind w:left="1500" w:right="480"/>
        <w:spacing w:after="0" w:line="286" w:lineRule="auto"/>
        <w:rPr>
          <w:sz w:val="20"/>
          <w:szCs w:val="20"/>
          <w:color w:val="auto"/>
        </w:rPr>
      </w:pPr>
      <w:r>
        <w:rPr>
          <w:rFonts w:ascii="Times New Roman" w:cs="Times New Roman" w:eastAsia="Times New Roman" w:hAnsi="Times New Roman"/>
          <w:sz w:val="18"/>
          <w:szCs w:val="18"/>
          <w:b w:val="1"/>
          <w:bCs w:val="1"/>
          <w:color w:val="auto"/>
        </w:rPr>
        <w:t>FOR ANNUAL REPORTS OF EMPLOYEE STOCK PURCHASE, SAVINGS AND SIMILAR PLANS PURSUANT TO SECTION 15(d) OF THE SECURITIES EXCHANGE ACT OF 1934</w:t>
      </w:r>
    </w:p>
    <w:p>
      <w:pPr>
        <w:spacing w:after="0" w:line="155"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ind w:left="1020" w:right="159" w:hanging="322"/>
        <w:spacing w:after="0" w:line="286" w:lineRule="auto"/>
        <w:tabs>
          <w:tab w:leader="none" w:pos="10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15(d) OF THE SECURITIES EXCHANGE ACT OF 1934</w:t>
      </w:r>
    </w:p>
    <w:p>
      <w:pPr>
        <w:spacing w:after="0" w:line="155"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1020" w:right="79" w:hanging="322"/>
        <w:spacing w:after="0" w:line="286" w:lineRule="auto"/>
        <w:tabs>
          <w:tab w:leader="none" w:pos="10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15(d) OF THE SECURITIES EXCHANGE ACT OF 1934</w:t>
      </w:r>
    </w:p>
    <w:p>
      <w:pPr>
        <w:spacing w:after="0" w:line="155" w:lineRule="exact"/>
        <w:rPr>
          <w:sz w:val="24"/>
          <w:szCs w:val="24"/>
          <w:color w:val="auto"/>
        </w:rPr>
      </w:pPr>
    </w:p>
    <w:p>
      <w:pPr>
        <w:ind w:left="60"/>
        <w:spacing w:after="0"/>
        <w:tabs>
          <w:tab w:leader="none" w:pos="33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25"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Commission File Number 001-35565</w:t>
      </w:r>
    </w:p>
    <w:p>
      <w:pPr>
        <w:spacing w:after="0" w:line="229" w:lineRule="exact"/>
        <w:rPr>
          <w:sz w:val="24"/>
          <w:szCs w:val="24"/>
          <w:color w:val="auto"/>
        </w:rPr>
      </w:pPr>
    </w:p>
    <w:p>
      <w:pPr>
        <w:ind w:left="700" w:hanging="650"/>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title of the plan and the address of the plan, if different from that of the issuer named below:</w:t>
      </w:r>
    </w:p>
    <w:p>
      <w:pPr>
        <w:spacing w:after="0" w:line="221"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ABBVIE SAVINGS PROGRAM</w:t>
      </w:r>
    </w:p>
    <w:p>
      <w:pPr>
        <w:spacing w:after="0" w:line="229" w:lineRule="exact"/>
        <w:rPr>
          <w:rFonts w:ascii="Times New Roman" w:cs="Times New Roman" w:eastAsia="Times New Roman" w:hAnsi="Times New Roman"/>
          <w:sz w:val="18"/>
          <w:szCs w:val="18"/>
          <w:color w:val="auto"/>
        </w:rPr>
      </w:pPr>
    </w:p>
    <w:p>
      <w:pPr>
        <w:ind w:left="700" w:hanging="650"/>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 of the securities held pursuant to the plan and the address of its principal executive office:</w:t>
      </w:r>
    </w:p>
    <w:p>
      <w:pPr>
        <w:spacing w:after="0" w:line="221"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AbbVie Inc.</w:t>
      </w:r>
    </w:p>
    <w:p>
      <w:pPr>
        <w:spacing w:after="0" w:line="31" w:lineRule="exact"/>
        <w:rPr>
          <w:rFonts w:ascii="Times New Roman" w:cs="Times New Roman" w:eastAsia="Times New Roman" w:hAnsi="Times New Roman"/>
          <w:sz w:val="18"/>
          <w:szCs w:val="18"/>
          <w:color w:val="auto"/>
        </w:rPr>
      </w:pPr>
    </w:p>
    <w:p>
      <w:pPr>
        <w:jc w:val="both"/>
        <w:ind w:left="700" w:right="6399"/>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b w:val="1"/>
          <w:bCs w:val="1"/>
          <w:color w:val="auto"/>
        </w:rPr>
        <w:t>1 North Waukegan Road North Chicago, IL 60064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523240</wp:posOffset>
            </wp:positionV>
            <wp:extent cx="565785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111760</wp:posOffset>
            </wp:positionV>
            <wp:extent cx="56578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146050</wp:posOffset>
            </wp:positionV>
            <wp:extent cx="565785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AbbVie Savings Plan</w:t>
      </w:r>
    </w:p>
    <w:p>
      <w:pPr>
        <w:spacing w:after="0" w:line="225" w:lineRule="exact"/>
        <w:rPr>
          <w:sz w:val="20"/>
          <w:szCs w:val="20"/>
          <w:color w:val="auto"/>
        </w:rPr>
      </w:pPr>
    </w:p>
    <w:p>
      <w:pPr>
        <w:ind w:left="60" w:right="3439"/>
        <w:spacing w:after="0" w:line="268" w:lineRule="auto"/>
        <w:rPr>
          <w:sz w:val="20"/>
          <w:szCs w:val="20"/>
          <w:color w:val="auto"/>
        </w:rPr>
      </w:pPr>
      <w:r>
        <w:rPr>
          <w:rFonts w:ascii="Times New Roman" w:cs="Times New Roman" w:eastAsia="Times New Roman" w:hAnsi="Times New Roman"/>
          <w:sz w:val="18"/>
          <w:szCs w:val="18"/>
          <w:b w:val="1"/>
          <w:bCs w:val="1"/>
          <w:color w:val="auto"/>
        </w:rPr>
        <w:t>FINANCIAL STATEMENTS AND SUPPLEMENTAL SCHEDULE December 31, 2025 and 2024 and for the Year Ended December 31, 2025 With 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602615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380" w:type="dxa"/>
            <w:vAlign w:val="bottom"/>
            <w:gridSpan w:val="9"/>
          </w:tcPr>
          <w:p>
            <w:pPr>
              <w:ind w:left="20"/>
              <w:spacing w:after="0"/>
              <w:rPr>
                <w:sz w:val="20"/>
                <w:szCs w:val="20"/>
                <w:color w:val="auto"/>
              </w:rPr>
            </w:pPr>
            <w:r>
              <w:rPr>
                <w:rFonts w:ascii="Times New Roman" w:cs="Times New Roman" w:eastAsia="Times New Roman" w:hAnsi="Times New Roman"/>
                <w:sz w:val="18"/>
                <w:szCs w:val="18"/>
                <w:b w:val="1"/>
                <w:bCs w:val="1"/>
                <w:color w:val="auto"/>
              </w:rPr>
              <w:t>AbbVie Savings Plan</w:t>
            </w: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7380" w:type="dxa"/>
            <w:vAlign w:val="bottom"/>
            <w:gridSpan w:val="9"/>
          </w:tcPr>
          <w:p>
            <w:pPr>
              <w:ind w:left="20"/>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380" w:type="dxa"/>
            <w:vAlign w:val="bottom"/>
            <w:gridSpan w:val="9"/>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 and 2024 and for the Year Ended December 31, 2025</w:t>
            </w: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40" w:type="dxa"/>
            <w:vAlign w:val="bottom"/>
            <w:gridSpan w:val="2"/>
          </w:tcPr>
          <w:p>
            <w:pPr>
              <w:ind w:left="10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6"/>
        </w:trPr>
        <w:tc>
          <w:tcPr>
            <w:tcW w:w="7380" w:type="dxa"/>
            <w:vAlign w:val="bottom"/>
            <w:gridSpan w:val="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15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4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STATEMENTS</w:t>
            </w:r>
          </w:p>
        </w:tc>
        <w:tc>
          <w:tcPr>
            <w:tcW w:w="1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360" w:type="dxa"/>
            <w:vAlign w:val="bottom"/>
            <w:gridSpan w:val="8"/>
          </w:tcPr>
          <w:p>
            <w:pPr>
              <w:ind w:left="320"/>
              <w:spacing w:after="0" w:line="176" w:lineRule="exact"/>
              <w:rPr>
                <w:sz w:val="20"/>
                <w:szCs w:val="20"/>
                <w:color w:val="auto"/>
              </w:rPr>
            </w:pPr>
            <w:r>
              <w:rPr>
                <w:rFonts w:ascii="Times New Roman" w:cs="Times New Roman" w:eastAsia="Times New Roman" w:hAnsi="Times New Roman"/>
                <w:sz w:val="18"/>
                <w:szCs w:val="18"/>
                <w:color w:val="0000EE"/>
              </w:rPr>
              <w:t>STATEMENTS OF NET ASSETS AVAILABLE FOR BENEFITS</w:t>
            </w:r>
          </w:p>
        </w:tc>
        <w:tc>
          <w:tcPr>
            <w:tcW w:w="15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4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7360" w:type="dxa"/>
            <w:vAlign w:val="bottom"/>
            <w:gridSpan w:val="8"/>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0000EE"/>
              </w:rPr>
              <w:t>STATEMENT OF CHANGES IN NET ASSETS AVAILABLE FOR BENEFITS</w:t>
            </w:r>
          </w:p>
        </w:tc>
        <w:tc>
          <w:tcPr>
            <w:tcW w:w="15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174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360" w:type="dxa"/>
            <w:vAlign w:val="bottom"/>
            <w:gridSpan w:val="8"/>
          </w:tcPr>
          <w:p>
            <w:pPr>
              <w:ind w:left="320"/>
              <w:spacing w:after="0" w:line="17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15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4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380" w:type="dxa"/>
            <w:vAlign w:val="bottom"/>
            <w:gridSpan w:val="9"/>
          </w:tcPr>
          <w:p>
            <w:pPr>
              <w:ind w:left="20"/>
              <w:spacing w:after="0" w:line="176" w:lineRule="exact"/>
              <w:rPr>
                <w:sz w:val="20"/>
                <w:szCs w:val="20"/>
                <w:color w:val="auto"/>
              </w:rPr>
            </w:pPr>
            <w:r>
              <w:rPr>
                <w:rFonts w:ascii="Times New Roman" w:cs="Times New Roman" w:eastAsia="Times New Roman" w:hAnsi="Times New Roman"/>
                <w:sz w:val="18"/>
                <w:szCs w:val="18"/>
                <w:color w:val="0000EE"/>
              </w:rPr>
              <w:t>SUPPLEMENTAL SCHEDULE</w:t>
            </w:r>
          </w:p>
        </w:tc>
        <w:tc>
          <w:tcPr>
            <w:tcW w:w="1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40" w:type="dxa"/>
            <w:vAlign w:val="bottom"/>
            <w:tcBorders>
              <w:top w:val="single" w:sz="8" w:color="0000EE"/>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360" w:type="dxa"/>
            <w:vAlign w:val="bottom"/>
            <w:gridSpan w:val="8"/>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0000EE"/>
              </w:rPr>
              <w:t>SCHEDULE H, LINE 4i - SCHEDULE OF ASSETS (HELD AT END OF YEAR)</w:t>
            </w:r>
          </w:p>
        </w:tc>
        <w:tc>
          <w:tcPr>
            <w:tcW w:w="15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993"/>
        </w:trPr>
        <w:tc>
          <w:tcPr>
            <w:tcW w:w="2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2040" w:type="dxa"/>
            <w:vAlign w:val="bottom"/>
            <w:tcBorders>
              <w:top w:val="single" w:sz="8" w:color="0000EE"/>
              <w:bottom w:val="single" w:sz="8" w:color="auto"/>
            </w:tcBorders>
          </w:tcPr>
          <w:p>
            <w:pPr>
              <w:spacing w:after="0"/>
              <w:rPr>
                <w:sz w:val="24"/>
                <w:szCs w:val="24"/>
                <w:color w:val="auto"/>
              </w:rPr>
            </w:pPr>
          </w:p>
        </w:tc>
        <w:tc>
          <w:tcPr>
            <w:tcW w:w="1020" w:type="dxa"/>
            <w:vAlign w:val="bottom"/>
            <w:tcBorders>
              <w:top w:val="single" w:sz="8" w:color="0000EE"/>
              <w:bottom w:val="single" w:sz="8" w:color="auto"/>
            </w:tcBorders>
          </w:tcPr>
          <w:p>
            <w:pPr>
              <w:spacing w:after="0"/>
              <w:rPr>
                <w:sz w:val="24"/>
                <w:szCs w:val="24"/>
                <w:color w:val="auto"/>
              </w:rPr>
            </w:pPr>
          </w:p>
        </w:tc>
        <w:tc>
          <w:tcPr>
            <w:tcW w:w="1740" w:type="dxa"/>
            <w:vAlign w:val="bottom"/>
            <w:tcBorders>
              <w:top w:val="single" w:sz="8" w:color="0000EE"/>
              <w:bottom w:val="single" w:sz="8" w:color="auto"/>
            </w:tcBorders>
          </w:tcPr>
          <w:p>
            <w:pPr>
              <w:spacing w:after="0"/>
              <w:rPr>
                <w:sz w:val="24"/>
                <w:szCs w:val="24"/>
                <w:color w:val="auto"/>
              </w:rPr>
            </w:pPr>
          </w:p>
        </w:tc>
        <w:tc>
          <w:tcPr>
            <w:tcW w:w="66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060" w:type="dxa"/>
            <w:vAlign w:val="bottom"/>
            <w:tcBorders>
              <w:top w:val="single" w:sz="8" w:color="CCEEFF"/>
              <w:bottom w:val="single" w:sz="8" w:color="auto"/>
            </w:tcBorders>
          </w:tcPr>
          <w:p>
            <w:pPr>
              <w:spacing w:after="0"/>
              <w:rPr>
                <w:sz w:val="24"/>
                <w:szCs w:val="24"/>
                <w:color w:val="auto"/>
              </w:rPr>
            </w:pPr>
          </w:p>
        </w:tc>
        <w:tc>
          <w:tcPr>
            <w:tcW w:w="1520" w:type="dxa"/>
            <w:vAlign w:val="bottom"/>
            <w:tcBorders>
              <w:top w:val="single" w:sz="8" w:color="CCEEFF"/>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Plan Participants and the Plan Administrator of AbbVie Savings Plan</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AbbVie Savings Plan (the Plan) as of December 31, 2025, and 2024, and the related statement of changes in net assets available for benefits for the year ended December 31, 2025, and the related notes (collectively referred to as the “financial statements”). In our opinion, the financial statements present fairly, in all material respects, the net assets available for benefits of the Plan at December 31, 2025, and 2024, and the changes in its net assets available for benefits for the year ended December 31, 2025, in conformity with U.S. generally accepted accounting principles.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left="60" w:right="239"/>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83"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187"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Supplemental Schedule Required by ERISA</w:t>
      </w:r>
    </w:p>
    <w:p>
      <w:pPr>
        <w:spacing w:after="0" w:line="229"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The accompanying supplemental schedule of assets (held at end of year) as of December 31, 2025 (referred to as the “supplemental schedule”), has been subjected to audit procedures performed in conjunction with the audit of the Plan’s financial statements. The information in the supplemental schedule is the responsibility of the Plan’s management. Our audit procedures included determining whether the information reconciles to the financial statements or the underlying accounting and other records, as applicable, and performing procedures to test the completeness and accuracy of the information presented in the supplemental schedule. In forming our opinion on the information, we evaluated whether such information, including its form and content, is presented in conformity with the Department of Labor’s Rules and Regulations for Reporting and Disclosure under the Employee Retirement Income Security Act of 1974. In our opinion, the information is fairly stated, in all material respects, in relation to the financial statements as a whole.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Plan’s auditor since 2018.</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June 24, 2026</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AbbVie Savings Plan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STATEMENTS OF NET ASSETS AVAILABLE FOR BENEFITS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160020</wp:posOffset>
            </wp:positionV>
            <wp:extent cx="56578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92"/>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Pr>
          <w:p>
            <w:pPr>
              <w:spacing w:after="0"/>
              <w:rPr>
                <w:sz w:val="14"/>
                <w:szCs w:val="14"/>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92"/>
              <w:spacing w:after="0"/>
              <w:rPr>
                <w:sz w:val="20"/>
                <w:szCs w:val="20"/>
                <w:color w:val="auto"/>
              </w:rPr>
            </w:pPr>
            <w:r>
              <w:rPr>
                <w:rFonts w:ascii="Times New Roman" w:cs="Times New Roman" w:eastAsia="Times New Roman" w:hAnsi="Times New Roman"/>
                <w:sz w:val="14"/>
                <w:szCs w:val="14"/>
                <w:color w:val="auto"/>
              </w:rPr>
              <w:t>2024</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0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15,718,310</w:t>
            </w:r>
          </w:p>
        </w:tc>
        <w:tc>
          <w:tcPr>
            <w:tcW w:w="8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13,183,237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Employer contributions receivable</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152,317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81,721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Transactions pending investment</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15,952,348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13,388,913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investment management fees</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Transactions pending redemption</w:t>
            </w:r>
          </w:p>
        </w:tc>
        <w:tc>
          <w:tcPr>
            <w:tcW w:w="10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10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AVAILABLE FOR BENEFITS</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15,951,929</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13,387,810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tc>
        <w:tc>
          <w:tcPr>
            <w:tcW w:w="1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AbbVie Savings Plan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STATEMENT OF CHANGES IN NET ASSETS AVAILABLE FOR BENEFITS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160020</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Contributions</w:t>
            </w: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Employer</w:t>
            </w:r>
          </w:p>
        </w:tc>
        <w:tc>
          <w:tcPr>
            <w:tcW w:w="1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Participant</w:t>
            </w: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468,482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Rollovers</w:t>
            </w:r>
          </w:p>
        </w:tc>
        <w:tc>
          <w:tcPr>
            <w:tcW w:w="15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contributions</w:t>
            </w: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935,400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 income</w:t>
            </w: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appreciation in fair value of investments</w:t>
            </w: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2,556,605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and dividends</w:t>
            </w:r>
          </w:p>
        </w:tc>
        <w:tc>
          <w:tcPr>
            <w:tcW w:w="15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investment income</w:t>
            </w: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2,644,533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 on notes receivable from participants</w:t>
            </w:r>
          </w:p>
        </w:tc>
        <w:tc>
          <w:tcPr>
            <w:tcW w:w="15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additions</w:t>
            </w: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3,585,442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Deductions</w:t>
            </w: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Benefits paid to participants</w:t>
            </w: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1,123,737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expenses</w:t>
            </w:r>
          </w:p>
        </w:tc>
        <w:tc>
          <w:tcPr>
            <w:tcW w:w="15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deductions</w:t>
            </w:r>
          </w:p>
        </w:tc>
        <w:tc>
          <w:tcPr>
            <w:tcW w:w="15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1,128,377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increase prior to transfers</w:t>
            </w: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2,457,065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Transfers to the Plan</w:t>
            </w:r>
          </w:p>
        </w:tc>
        <w:tc>
          <w:tcPr>
            <w:tcW w:w="15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NET INCREASE</w:t>
            </w: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2,564,119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Beginning of year</w:t>
            </w:r>
          </w:p>
        </w:tc>
        <w:tc>
          <w:tcPr>
            <w:tcW w:w="15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13,387,810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End of year</w:t>
            </w: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15,951,929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tc>
        <w:tc>
          <w:tcPr>
            <w:tcW w:w="1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08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AbbVie Savings Plan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151765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A - DESCRIPTION OF THE PLAN</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description of the AbbVie Savings Plan (the “Plan”) provides only general information. Participants should refer to the Plan document for a more complete description of the Plan’s provisions.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general, United States employees of AbbVie Inc. (“AbbVie”) and selected participating subsidiaries and affiliates may, after their date of hire, voluntarily participate in the Plan. Any eligible employee who begins employment or re-employment on or after January 1, 2022, and any eligible employee who first becomes eligible to participate in the Plan on or after January 1, 2022, shall be covered by the AbbVie Savings Plan Plus (“ASP+”) provisions set forth in the Plan document. The ASP+ provisions provide for automatic enrollment into the Plan and matching contribution and annual company contribution formulas that differ from those that apply to participants who joined the Plan before January 1, 2022. The Plan is subject to the provisions of the Employee Retirement Income Security Act of 1974 (“ERISA”), as amended.</w:t>
      </w:r>
    </w:p>
    <w:p>
      <w:pPr>
        <w:spacing w:after="0" w:line="18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Empower Retirement serves as the recordkeeper and Empower Trust Company, LLC (“Trustee”) serves as the custodian and trustee.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Mergers</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Effective February 12, 2024, ImmunoGen, Inc. became a wholly owned subsidiary of AbbVie. On March 3, 2025, the ImmunoGen, Inc. 401(k) Plan and Trust merged into the Plan and net assets totaling approximately $62.6 million were transferred into the Plan.</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Effective August 1, 2024, Cerevel Therapeutics, LLC became a wholly owned subsidiary of AbbVie. On March 3, 2025, the Cerevel Therapeutics, LLC 401(k) Plan merged into the Plan and net assets totaling approximately $41.4 million were transferred into the Plan.</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Effective January 23, 2025, Nimble Therapeutics, Inc. became a wholly owned subsidiary of AbbVie. On December 4, 2025, the Nimble Therapeutics, Inc. 401(k) Plan merged into the Plan and net assets totaling approximately $3.0 million were transferred into the Plan.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Contributions and Vesting</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Contributions to the Plan are paid to the AbbVie Savings Plan Trust (“Trust”). The Trust is administered by the Trustee and an investment committee comprised of AbbVie employees (the “Committee”).</w:t>
      </w:r>
    </w:p>
    <w:p>
      <w:pPr>
        <w:spacing w:after="0" w:line="16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Eligible employees electing to participate may choose to make their contributions from pre-tax earnings, after-tax earnings or both. The Plan permits Roth 401(k) after-tax contributions and a Roth 401(k) conversion feature. Participants who have attained age 50 before the end of the Plan year and who are making the maximum pre-tax or Roth contributions are eligible to make catch-up contributions. The pre-tax contributions are an elective deferral feature, which is a cash or deferred arrangement under the provisions of Section 401(k) of the Internal Revenue Code (“IRC”). All the contributions are subject to certain limitations of the IRC. Participant contributions may be invested in any of the investment options offered by the Plan.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AbbVie Savings Plan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151765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A - DESCRIPTION OF THE PLAN – Continued</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Contributions and Vesting - Continued</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Eligible employees who are not covered by ASP+ and who elect to participate in the Plan may contribute from 2% to 50% of their eligible earnings to the Trust. Eligible employees covered by ASP+ and who elect to participate in the Plan may contribute from 1% to 50% of their eligible earnings to the Trust. Following the 30-day period from an employee’s hire or eligibility date, employees covered by ASP+ who have not affirmatively enrolled in the Plan and elected a specified contribution type and percentage or who have not opted out of automatic contributions, will be automatically enrolled in the Plan to contribute 3% of their pre-tax earnings.</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Employer matching contributions to the Plan are made each payroll period based on the participating employees’ eligible earnings. Catch-up contributions are not eligible for matching contributions. The amount of the employer matching contribution for participants not covered by ASP+ is determined by the Board of Directors of AbbVie and, for the year ended December 31, 2025, was 5% of the participant’s eligible earnings if the employee elected to contribute at least 2% to the Plan. For participants covered by ASP+, contributions are matched dollar for dollar up to 6% of the participant’s eligible earnings.</w:t>
      </w:r>
    </w:p>
    <w:p>
      <w:pPr>
        <w:spacing w:after="0" w:line="187"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In addition, ASP+ participants receive an annual employer contribution if the ASP+ participant is employed by AbbVie on the last day of the Plan year or separated from employment during the Plan year due to death or qualifying retirement. The annual employer contribution is equal to a percentage of eligible compensation based on each eligible ASP+ participant’s age plus years of credited service according to the following schedule:</w:t>
      </w:r>
    </w:p>
    <w:p>
      <w:pPr>
        <w:spacing w:after="0" w:line="189"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5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Age + Years of Credited Service (whole years)</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tcPr>
          <w:p>
            <w:pPr>
              <w:jc w:val="center"/>
              <w:ind w:right="173"/>
              <w:spacing w:after="0"/>
              <w:rPr>
                <w:sz w:val="20"/>
                <w:szCs w:val="20"/>
                <w:color w:val="auto"/>
              </w:rPr>
            </w:pPr>
            <w:r>
              <w:rPr>
                <w:rFonts w:ascii="Times New Roman" w:cs="Times New Roman" w:eastAsia="Times New Roman" w:hAnsi="Times New Roman"/>
                <w:sz w:val="14"/>
                <w:szCs w:val="14"/>
                <w:color w:val="auto"/>
              </w:rPr>
              <w:t>Contribution Percentage</w:t>
            </w:r>
          </w:p>
        </w:tc>
        <w:tc>
          <w:tcPr>
            <w:tcW w:w="180" w:type="dxa"/>
            <w:vAlign w:val="bottom"/>
          </w:tcPr>
          <w:p>
            <w:pPr>
              <w:spacing w:after="0"/>
              <w:rPr>
                <w:sz w:val="14"/>
                <w:szCs w:val="14"/>
                <w:color w:val="auto"/>
              </w:rPr>
            </w:pPr>
          </w:p>
        </w:tc>
      </w:tr>
      <w:tr>
        <w:trPr>
          <w:trHeight w:val="210"/>
        </w:trPr>
        <w:tc>
          <w:tcPr>
            <w:tcW w:w="5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Less than 30</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center"/>
              <w:ind w:right="153"/>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30-39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00" w:type="dxa"/>
            <w:vAlign w:val="bottom"/>
          </w:tcPr>
          <w:p>
            <w:pPr>
              <w:jc w:val="center"/>
              <w:ind w:right="153"/>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5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40-49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100" w:type="dxa"/>
            <w:vAlign w:val="bottom"/>
            <w:shd w:val="clear" w:color="auto" w:fill="CCEEFF"/>
          </w:tcPr>
          <w:p>
            <w:pPr>
              <w:jc w:val="center"/>
              <w:ind w:right="153"/>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50-59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00" w:type="dxa"/>
            <w:vAlign w:val="bottom"/>
          </w:tcPr>
          <w:p>
            <w:pPr>
              <w:jc w:val="center"/>
              <w:ind w:right="153"/>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5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60-69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100" w:type="dxa"/>
            <w:vAlign w:val="bottom"/>
            <w:shd w:val="clear" w:color="auto" w:fill="CCEEFF"/>
          </w:tcPr>
          <w:p>
            <w:pPr>
              <w:jc w:val="center"/>
              <w:ind w:right="153"/>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34"/>
        </w:trPr>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70 or more</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00" w:type="dxa"/>
            <w:vAlign w:val="bottom"/>
          </w:tcPr>
          <w:p>
            <w:pPr>
              <w:jc w:val="center"/>
              <w:ind w:right="153"/>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bl>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Employer contributions are invested according to the employee’s investment elections.</w:t>
      </w:r>
    </w:p>
    <w:p>
      <w:pPr>
        <w:spacing w:after="0" w:line="22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Plan offers a variety of investment options, including AbbVie common shares. AbbVie was established by the January 1, 2013 separation of Abbott Laboratories (“Abbott”) into two publicly traded companies. The separation was a tax-free distribution where Abbott shareholders received one share of AbbVie stock for every share of Abbott held as of the close of business on December 12, 2012, the record date for the distribution. Effective January 1, 2013, AbbVie participants may no longer make new contributions or transfer funds to purchase Abbott stock in the Plan; however, they may continue to hold Abbott stock in their Plan accounts.</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Cash dividends on shares of AbbVie common shares are (1) paid in cash to the participants or beneficiaries, (2) paid to the Plan and distributed in cash to participants or beneficiaries no later than 90 days after the close of the Plan year in which paid or (3) paid to the Plan and credited to the applicable accounts in which shares are held, as elected by each participant or beneficiary in accordance with rules established by the Plan administrator.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AbbVie Savings Plan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151765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A - DESCRIPTION OF THE PLAN -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Contributions and Vesting - Continued</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Participants are at all times fully vested in their own contributions and earnings thereon. Vesting in employer matching contributions is based on the following vesting schedule:</w:t>
      </w:r>
    </w:p>
    <w:p>
      <w:pPr>
        <w:spacing w:after="0" w:line="158" w:lineRule="exact"/>
        <w:rPr>
          <w:sz w:val="20"/>
          <w:szCs w:val="20"/>
          <w:color w:val="auto"/>
        </w:rPr>
      </w:pPr>
    </w:p>
    <w:tbl>
      <w:tblPr>
        <w:tblLayout w:type="fixed"/>
        <w:tblInd w:w="96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Pr>
          <w:p>
            <w:pPr>
              <w:jc w:val="center"/>
              <w:ind w:left="259"/>
              <w:spacing w:after="0"/>
              <w:rPr>
                <w:sz w:val="20"/>
                <w:szCs w:val="20"/>
                <w:color w:val="auto"/>
              </w:rPr>
            </w:pPr>
            <w:r>
              <w:rPr>
                <w:rFonts w:ascii="Times New Roman" w:cs="Times New Roman" w:eastAsia="Times New Roman" w:hAnsi="Times New Roman"/>
                <w:sz w:val="14"/>
                <w:szCs w:val="14"/>
                <w:color w:val="auto"/>
                <w:w w:val="96"/>
              </w:rPr>
              <w:t>Vesting</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71"/>
        </w:trPr>
        <w:tc>
          <w:tcPr>
            <w:tcW w:w="4900" w:type="dxa"/>
            <w:vAlign w:val="bottom"/>
            <w:gridSpan w:val="2"/>
          </w:tcPr>
          <w:p>
            <w:pPr>
              <w:jc w:val="center"/>
              <w:ind w:right="128"/>
              <w:spacing w:after="0"/>
              <w:rPr>
                <w:sz w:val="20"/>
                <w:szCs w:val="20"/>
                <w:color w:val="auto"/>
              </w:rPr>
            </w:pPr>
            <w:r>
              <w:rPr>
                <w:rFonts w:ascii="Times New Roman" w:cs="Times New Roman" w:eastAsia="Times New Roman" w:hAnsi="Times New Roman"/>
                <w:sz w:val="14"/>
                <w:szCs w:val="14"/>
                <w:color w:val="auto"/>
              </w:rPr>
              <w:t>Years of Credited Service</w:t>
            </w:r>
          </w:p>
        </w:tc>
        <w:tc>
          <w:tcPr>
            <w:tcW w:w="1680" w:type="dxa"/>
            <w:vAlign w:val="bottom"/>
          </w:tcPr>
          <w:p>
            <w:pPr>
              <w:jc w:val="center"/>
              <w:ind w:left="259"/>
              <w:spacing w:after="0"/>
              <w:rPr>
                <w:sz w:val="20"/>
                <w:szCs w:val="20"/>
                <w:color w:val="auto"/>
              </w:rPr>
            </w:pPr>
            <w:r>
              <w:rPr>
                <w:rFonts w:ascii="Times New Roman" w:cs="Times New Roman" w:eastAsia="Times New Roman" w:hAnsi="Times New Roman"/>
                <w:sz w:val="14"/>
                <w:szCs w:val="14"/>
                <w:color w:val="auto"/>
              </w:rPr>
              <w:t>Percentage</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09"/>
        </w:trPr>
        <w:tc>
          <w:tcPr>
            <w:tcW w:w="4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Less than 2 years</w:t>
            </w:r>
          </w:p>
        </w:tc>
        <w:tc>
          <w:tcPr>
            <w:tcW w:w="18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8"/>
                <w:szCs w:val="18"/>
                <w:color w:val="auto"/>
              </w:rPr>
              <w:t>0</w:t>
            </w:r>
          </w:p>
        </w:tc>
        <w:tc>
          <w:tcPr>
            <w:tcW w:w="3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34"/>
        </w:trPr>
        <w:tc>
          <w:tcPr>
            <w:tcW w:w="4900" w:type="dxa"/>
            <w:vAlign w:val="bottom"/>
            <w:gridSpan w:val="2"/>
          </w:tcPr>
          <w:p>
            <w:pPr>
              <w:jc w:val="center"/>
              <w:ind w:right="128"/>
              <w:spacing w:after="0"/>
              <w:rPr>
                <w:sz w:val="20"/>
                <w:szCs w:val="20"/>
                <w:color w:val="auto"/>
              </w:rPr>
            </w:pPr>
            <w:r>
              <w:rPr>
                <w:rFonts w:ascii="Times New Roman" w:cs="Times New Roman" w:eastAsia="Times New Roman" w:hAnsi="Times New Roman"/>
                <w:sz w:val="18"/>
                <w:szCs w:val="18"/>
                <w:color w:val="auto"/>
              </w:rPr>
              <w:t>2 years or more</w:t>
            </w:r>
          </w:p>
        </w:tc>
        <w:tc>
          <w:tcPr>
            <w:tcW w:w="1680" w:type="dxa"/>
            <w:vAlign w:val="bottom"/>
          </w:tcPr>
          <w:p>
            <w:pPr>
              <w:jc w:val="right"/>
              <w:ind w:right="459"/>
              <w:spacing w:after="0"/>
              <w:rPr>
                <w:sz w:val="20"/>
                <w:szCs w:val="20"/>
                <w:color w:val="auto"/>
              </w:rPr>
            </w:pPr>
            <w:r>
              <w:rPr>
                <w:rFonts w:ascii="Times New Roman" w:cs="Times New Roman" w:eastAsia="Times New Roman" w:hAnsi="Times New Roman"/>
                <w:sz w:val="18"/>
                <w:szCs w:val="18"/>
                <w:color w:val="auto"/>
              </w:rPr>
              <w:t>100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Vesting in the annual employer contribution for ASP+ participants is based on the following vesting schedule:</w:t>
      </w:r>
    </w:p>
    <w:p>
      <w:pPr>
        <w:spacing w:after="0" w:line="222" w:lineRule="exact"/>
        <w:rPr>
          <w:sz w:val="20"/>
          <w:szCs w:val="20"/>
          <w:color w:val="auto"/>
        </w:rPr>
      </w:pPr>
    </w:p>
    <w:tbl>
      <w:tblPr>
        <w:tblLayout w:type="fixed"/>
        <w:tblInd w:w="96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Vested</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71"/>
        </w:trPr>
        <w:tc>
          <w:tcPr>
            <w:tcW w:w="526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color w:val="auto"/>
              </w:rPr>
              <w:t>Years of Credited Service</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Percentage</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10"/>
        </w:trPr>
        <w:tc>
          <w:tcPr>
            <w:tcW w:w="4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Less than 1</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3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26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color w:val="auto"/>
                <w:w w:val="99"/>
              </w:rPr>
              <w:t>5 or more</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Non-vested portions of employer contributions and earnings thereon are forfeited upon the earlier of (a) the date of distribution of the vested portion of the participant’s full balance or (b) the date on which the participant incurs five consecutive “break years” (i.e., a 12-consecutive month period of severance). Forfeitures are used to (1) restore any forfeitures of participants who are reemployed with AbbVie before incurring five consecutive break years, (2) fund corrective allocations or contributions and/or (3) reduce future employer contributions. In 2025, forfeitures reduced AbbVie’s employer contributions by approximately $4.1 million. Approximately $3.6 million and $1.8 million of forfeitures were available at the end of 2025 and 2024, respectively.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29" w:lineRule="exact"/>
        <w:rPr>
          <w:sz w:val="20"/>
          <w:szCs w:val="20"/>
          <w:color w:val="auto"/>
        </w:rPr>
      </w:pPr>
    </w:p>
    <w:p>
      <w:pPr>
        <w:jc w:val="both"/>
        <w:ind w:left="60" w:right="59"/>
        <w:spacing w:after="0" w:line="238" w:lineRule="auto"/>
        <w:rPr>
          <w:sz w:val="20"/>
          <w:szCs w:val="20"/>
          <w:color w:val="auto"/>
        </w:rPr>
      </w:pPr>
      <w:r>
        <w:rPr>
          <w:rFonts w:ascii="Times New Roman" w:cs="Times New Roman" w:eastAsia="Times New Roman" w:hAnsi="Times New Roman"/>
          <w:sz w:val="18"/>
          <w:szCs w:val="18"/>
          <w:color w:val="auto"/>
        </w:rPr>
        <w:t>Following retirement, termination or death, participants or their beneficiaries receive distributions in cash and/or AbbVie common shares and may receive them in installments, lump sums or direct rollovers, as applicable. Also, participants may elect to defer distribution to a future date but, after termination of employment, distribution must be made or commence by the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of April following the year the participant reaches age 73. When participants defer distributions, their account balance remains in the Plan, and they may continue to transfer funds among the Plan’s investment options. In-service withdrawals are available in certain circumstances as defined by the Plan. The Plan also permits hardship withdrawals for participants who meet the criteria outlined in the Plan document.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AbbVie Savings Plan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151765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A - DESCRIPTION OF THE PLAN -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Expenses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Investment fees for mutual funds and collective trusts are charged against the net assets of the respective fund. All other expenses incident to the administration of the Plan and Trust are charged to the Trust, except to the extent AbbVie pays such expenses directly. Expenses paid by AbbVie are excluded from these financial statements. To the extent that any expense is specifically attributable to a participant’s account (including, but not limited to, a managed account service fee, loan fee, Qualified Domestic Relations Order review fee, brokerage fee, or check fee), such expense is charged to the account of the participant.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Participant Accounts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Each participant’s account is credited with the participant’s contributions and employer contributions and allocations of plan earnings and charged with any participant account fees. Plan earnings are allocated based on the participant’s share of net earnings or losses of their respective elected investment options. The benefit to which a participant is entitled is the benefit that can be provided from the participant’s vested account.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Notes Receivable from Participants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Participants may borrow from their accounts a minimum of $1,000 up to a maximum equal to the lesser of $50,000 or 50% of their vested account balance, subject to IRC limitations and restrictions and Plan rules, and may have one or two loans outstanding. The loans are secured by the balance in the participant’s account. Participants pay interest on such loans at the prime rate on the first business day of the month the loan is made. Loans must be repaid within five years unless the loan is used for the purchase of the primary residence of the employee, in which case the repayment period can be extended to a period of fifteen years. Repayment is made through periodic payroll deductions, but a loan may be repaid in a lump sum at any time. For employees terminating employment with AbbVie during the repayment period who do not repay their loan before distribution of their Plan account, the balance of the outstanding loan is netted from their Plan distribution.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B - SUMMARY OF SIGNIFICANT ACCOUNTING POLICIES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of Accounting</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financial statements have been prepared using the accrual basis of accounting.</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changes therein, and disclosure of contingent assets and liabilities. Actual results may differ from those estimates.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AbbVie Savings Plan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151765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B - SUMMARY OF SIGNIFICANT ACCOUNTING POLICIES -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 Valuation</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Investments are reported at fair value. Fair value is the price that would be received to sell an asset or paid to transfer a liability in an orderly transaction between market participants at the measurement date. The Plan uses the following methods and significant assumptions to estimate the fair value of investments: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Interest bearing cash</w:t>
      </w:r>
      <w:r>
        <w:rPr>
          <w:rFonts w:ascii="Times New Roman" w:cs="Times New Roman" w:eastAsia="Times New Roman" w:hAnsi="Times New Roman"/>
          <w:sz w:val="18"/>
          <w:szCs w:val="18"/>
          <w:color w:val="auto"/>
        </w:rPr>
        <w:t xml:space="preserve"> - Valued at its holding amount.</w:t>
      </w:r>
    </w:p>
    <w:p>
      <w:pPr>
        <w:spacing w:after="0" w:line="225"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u w:val="single" w:color="auto"/>
          <w:color w:val="auto"/>
        </w:rPr>
        <w:t>Common stock, mutual funds and collective trust funds</w:t>
      </w:r>
      <w:r>
        <w:rPr>
          <w:rFonts w:ascii="Times New Roman" w:cs="Times New Roman" w:eastAsia="Times New Roman" w:hAnsi="Times New Roman"/>
          <w:sz w:val="18"/>
          <w:szCs w:val="18"/>
          <w:color w:val="auto"/>
        </w:rPr>
        <w:t xml:space="preserve"> - Valued at the published net asset value (“NAV”) or market price per share.</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u w:val="single" w:color="auto"/>
          <w:color w:val="auto"/>
        </w:rPr>
        <w:t>Self-directed brokerage accounts</w:t>
      </w:r>
      <w:r>
        <w:rPr>
          <w:rFonts w:ascii="Times New Roman" w:cs="Times New Roman" w:eastAsia="Times New Roman" w:hAnsi="Times New Roman"/>
          <w:sz w:val="18"/>
          <w:szCs w:val="18"/>
          <w:color w:val="auto"/>
        </w:rPr>
        <w:t xml:space="preserve"> – Include various securities, mainly consisting of cash and cash equivalents, common stock, exchange-traded funds, and mutual funds, which are valued at the closing price reported in the active market in which the securities are traded.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fair value hierarchy under the accounting standard for fair value measurements consists of the following three levels:</w:t>
      </w:r>
    </w:p>
    <w:p>
      <w:pPr>
        <w:spacing w:after="0" w:line="225" w:lineRule="exact"/>
        <w:rPr>
          <w:sz w:val="20"/>
          <w:szCs w:val="20"/>
          <w:color w:val="auto"/>
        </w:rPr>
      </w:pPr>
    </w:p>
    <w:p>
      <w:pPr>
        <w:ind w:left="720" w:right="79" w:hanging="319"/>
        <w:spacing w:after="0" w:line="261"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Valuations based on unadjusted quoted prices in active markets for identical assets that the Plan has the ability to access;</w:t>
      </w:r>
    </w:p>
    <w:p>
      <w:pPr>
        <w:jc w:val="both"/>
        <w:ind w:left="720" w:right="79" w:hanging="319"/>
        <w:spacing w:after="0" w:line="250"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Valuations based on quoted prices for similar instruments in active markets, quoted prices for identical or similar instruments in markets that are not active, and model-based valuations in which all significant inputs are observable in the market; and</w:t>
      </w:r>
    </w:p>
    <w:p>
      <w:pPr>
        <w:spacing w:after="0" w:line="1" w:lineRule="exact"/>
        <w:rPr>
          <w:rFonts w:ascii="Times New Roman" w:cs="Times New Roman" w:eastAsia="Times New Roman" w:hAnsi="Times New Roman"/>
          <w:sz w:val="18"/>
          <w:szCs w:val="18"/>
          <w:color w:val="auto"/>
        </w:rPr>
      </w:pPr>
    </w:p>
    <w:p>
      <w:pPr>
        <w:jc w:val="both"/>
        <w:ind w:left="720" w:right="79" w:hanging="319"/>
        <w:spacing w:after="0" w:line="255"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Valuations using significant inputs that are unobservable in the market and include the use of judgment by the company’s management about the assumptions market participants would use in pricing the asset or liability.</w:t>
      </w:r>
    </w:p>
    <w:p>
      <w:pPr>
        <w:spacing w:after="0" w:line="186"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fair value hierarchy levels of the Plan’s assets at fair value at December 31, (dollars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860" w:type="dxa"/>
            <w:vAlign w:val="bottom"/>
            <w:vMerge w:val="restart"/>
          </w:tcPr>
          <w:p>
            <w:pPr>
              <w:ind w:left="23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580" w:type="dxa"/>
            <w:vAlign w:val="bottom"/>
            <w:gridSpan w:val="7"/>
          </w:tcPr>
          <w:p>
            <w:pPr>
              <w:ind w:left="280"/>
              <w:spacing w:after="0"/>
              <w:rPr>
                <w:sz w:val="20"/>
                <w:szCs w:val="20"/>
                <w:color w:val="auto"/>
              </w:rPr>
            </w:pPr>
            <w:r>
              <w:rPr>
                <w:rFonts w:ascii="Times New Roman" w:cs="Times New Roman" w:eastAsia="Times New Roman" w:hAnsi="Times New Roman"/>
                <w:sz w:val="14"/>
                <w:szCs w:val="14"/>
                <w:color w:val="auto"/>
              </w:rPr>
              <w:t>Basis of Fair Value Measurement</w:t>
            </w:r>
          </w:p>
        </w:tc>
        <w:tc>
          <w:tcPr>
            <w:tcW w:w="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0"/>
        </w:trPr>
        <w:tc>
          <w:tcPr>
            <w:tcW w:w="486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gridSpan w:val="2"/>
            <w:vMerge w:val="continue"/>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860" w:type="dxa"/>
            <w:vAlign w:val="bottom"/>
            <w:vMerge w:val="continue"/>
          </w:tcPr>
          <w:p>
            <w:pPr>
              <w:spacing w:after="0"/>
              <w:rPr>
                <w:sz w:val="12"/>
                <w:szCs w:val="12"/>
                <w:color w:val="auto"/>
              </w:rPr>
            </w:pPr>
          </w:p>
        </w:tc>
        <w:tc>
          <w:tcPr>
            <w:tcW w:w="28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215"/>
              <w:spacing w:after="0" w:line="142" w:lineRule="exact"/>
              <w:rPr>
                <w:sz w:val="20"/>
                <w:szCs w:val="20"/>
                <w:color w:val="auto"/>
              </w:rPr>
            </w:pPr>
            <w:r>
              <w:rPr>
                <w:rFonts w:ascii="Times New Roman" w:cs="Times New Roman" w:eastAsia="Times New Roman" w:hAnsi="Times New Roman"/>
                <w:sz w:val="14"/>
                <w:szCs w:val="14"/>
                <w:color w:val="auto"/>
              </w:rPr>
              <w:t>Level 1</w:t>
            </w:r>
          </w:p>
        </w:tc>
        <w:tc>
          <w:tcPr>
            <w:tcW w:w="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Level 2</w:t>
            </w:r>
          </w:p>
        </w:tc>
        <w:tc>
          <w:tcPr>
            <w:tcW w:w="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Level 3</w:t>
            </w:r>
          </w:p>
        </w:tc>
        <w:tc>
          <w:tcPr>
            <w:tcW w:w="280" w:type="dxa"/>
            <w:vAlign w:val="bottom"/>
            <w:gridSpan w:val="2"/>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bearing cash</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3,047,016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3,047,016</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Collective trust funds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12,461,950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12,461,950</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Self-directed brokerage accounts</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204,031</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204,031</w:t>
            </w:r>
          </w:p>
        </w:tc>
        <w:tc>
          <w:tcPr>
            <w:tcW w:w="0" w:type="dxa"/>
            <w:vAlign w:val="bottom"/>
          </w:tcPr>
          <w:p>
            <w:pPr>
              <w:spacing w:after="0"/>
              <w:rPr>
                <w:sz w:val="1"/>
                <w:szCs w:val="1"/>
                <w:color w:val="auto"/>
              </w:rPr>
            </w:pPr>
          </w:p>
        </w:tc>
      </w:tr>
      <w:tr>
        <w:trPr>
          <w:trHeight w:val="210"/>
        </w:trPr>
        <w:tc>
          <w:tcPr>
            <w:tcW w:w="4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60" w:type="dxa"/>
            <w:vAlign w:val="bottom"/>
          </w:tcPr>
          <w:p>
            <w:pPr>
              <w:spacing w:after="0"/>
              <w:rPr>
                <w:sz w:val="18"/>
                <w:szCs w:val="18"/>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$ 15,718,310</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$ 15,718,310</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860" w:type="dxa"/>
            <w:vAlign w:val="bottom"/>
            <w:vMerge w:val="restart"/>
          </w:tcPr>
          <w:p>
            <w:pPr>
              <w:ind w:left="23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580" w:type="dxa"/>
            <w:vAlign w:val="bottom"/>
            <w:gridSpan w:val="7"/>
          </w:tcPr>
          <w:p>
            <w:pPr>
              <w:ind w:left="280"/>
              <w:spacing w:after="0"/>
              <w:rPr>
                <w:sz w:val="20"/>
                <w:szCs w:val="20"/>
                <w:color w:val="auto"/>
              </w:rPr>
            </w:pPr>
            <w:r>
              <w:rPr>
                <w:rFonts w:ascii="Times New Roman" w:cs="Times New Roman" w:eastAsia="Times New Roman" w:hAnsi="Times New Roman"/>
                <w:sz w:val="14"/>
                <w:szCs w:val="14"/>
                <w:color w:val="auto"/>
              </w:rPr>
              <w:t>Basis of Fair Value Measurement</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354"/>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86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line="20" w:lineRule="exact"/>
              <w:rPr>
                <w:sz w:val="1"/>
                <w:szCs w:val="1"/>
                <w:color w:val="auto"/>
              </w:rPr>
            </w:pPr>
          </w:p>
        </w:tc>
      </w:tr>
      <w:tr>
        <w:trPr>
          <w:trHeight w:val="142"/>
        </w:trPr>
        <w:tc>
          <w:tcPr>
            <w:tcW w:w="4860" w:type="dxa"/>
            <w:vAlign w:val="bottom"/>
            <w:vMerge w:val="continue"/>
          </w:tcPr>
          <w:p>
            <w:pPr>
              <w:spacing w:after="0"/>
              <w:rPr>
                <w:sz w:val="12"/>
                <w:szCs w:val="12"/>
                <w:color w:val="auto"/>
              </w:rPr>
            </w:pPr>
          </w:p>
        </w:tc>
        <w:tc>
          <w:tcPr>
            <w:tcW w:w="28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215"/>
              <w:spacing w:after="0" w:line="142" w:lineRule="exact"/>
              <w:rPr>
                <w:sz w:val="20"/>
                <w:szCs w:val="20"/>
                <w:color w:val="auto"/>
              </w:rPr>
            </w:pPr>
            <w:r>
              <w:rPr>
                <w:rFonts w:ascii="Times New Roman" w:cs="Times New Roman" w:eastAsia="Times New Roman" w:hAnsi="Times New Roman"/>
                <w:sz w:val="14"/>
                <w:szCs w:val="14"/>
                <w:color w:val="auto"/>
              </w:rPr>
              <w:t>Level 1</w:t>
            </w:r>
          </w:p>
        </w:tc>
        <w:tc>
          <w:tcPr>
            <w:tcW w:w="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Level 2</w:t>
            </w:r>
          </w:p>
        </w:tc>
        <w:tc>
          <w:tcPr>
            <w:tcW w:w="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Level 3</w:t>
            </w:r>
          </w:p>
        </w:tc>
        <w:tc>
          <w:tcPr>
            <w:tcW w:w="280" w:type="dxa"/>
            <w:vAlign w:val="bottom"/>
            <w:gridSpan w:val="2"/>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bearing cash</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2,583,223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2,583,223</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Collective trust funds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10,447,456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10,447,456</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Self-directed brokerage accounts</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149,210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149,210</w:t>
            </w:r>
          </w:p>
        </w:tc>
        <w:tc>
          <w:tcPr>
            <w:tcW w:w="0" w:type="dxa"/>
            <w:vAlign w:val="bottom"/>
          </w:tcPr>
          <w:p>
            <w:pPr>
              <w:spacing w:after="0"/>
              <w:rPr>
                <w:sz w:val="1"/>
                <w:szCs w:val="1"/>
                <w:color w:val="auto"/>
              </w:rPr>
            </w:pPr>
          </w:p>
        </w:tc>
      </w:tr>
      <w:tr>
        <w:trPr>
          <w:trHeight w:val="209"/>
        </w:trPr>
        <w:tc>
          <w:tcPr>
            <w:tcW w:w="4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60" w:type="dxa"/>
            <w:vAlign w:val="bottom"/>
          </w:tcPr>
          <w:p>
            <w:pPr>
              <w:spacing w:after="0"/>
              <w:rPr>
                <w:sz w:val="18"/>
                <w:szCs w:val="18"/>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$ 13,183,237</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$ 13,183,237</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AbbVie Savings Plan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151765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B - SUMMARY OF SIGNIFICANT ACCOUNTING POLICIES -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Notes Receivable from Participants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Notes receivable from participants are measured at their unpaid balance plus any accrued but unpaid interest. Delinquent loans are reclassified as distributions based upon the terms of the Plan. No allowance for credit losses has been recorded as of December 31, 2025 and 2024.</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 Recognition</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Purchases and sales of securities are recorded on a trade-date basis. Interest income is recorded on an accrual basis. Dividends are recorded on the ex-dividend date. Net realized and unrealized appreciation/depreciation is recorded in the accompanying statement of changes in net assets available for benefits as net appreciation in fair value of investments.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Payment of Benefits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Benefits are recorded when paid.</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C – INVESTMENTS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summary of AbbVie common share data as of December 31, is presented below:</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316"/>
              <w:spacing w:after="0"/>
              <w:rPr>
                <w:sz w:val="20"/>
                <w:szCs w:val="20"/>
                <w:color w:val="auto"/>
              </w:rPr>
            </w:pPr>
            <w:r>
              <w:rPr>
                <w:rFonts w:ascii="Times New Roman" w:cs="Times New Roman" w:eastAsia="Times New Roman" w:hAnsi="Times New Roman"/>
                <w:sz w:val="14"/>
                <w:szCs w:val="14"/>
                <w:color w:val="auto"/>
              </w:rPr>
              <w:t>2025</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316"/>
              <w:spacing w:after="0"/>
              <w:rPr>
                <w:sz w:val="20"/>
                <w:szCs w:val="20"/>
                <w:color w:val="auto"/>
              </w:rPr>
            </w:pPr>
            <w:r>
              <w:rPr>
                <w:rFonts w:ascii="Times New Roman" w:cs="Times New Roman" w:eastAsia="Times New Roman" w:hAnsi="Times New Roman"/>
                <w:sz w:val="14"/>
                <w:szCs w:val="14"/>
                <w:color w:val="auto"/>
              </w:rPr>
              <w:t>2024</w:t>
            </w:r>
          </w:p>
        </w:tc>
      </w:tr>
      <w:tr>
        <w:trPr>
          <w:trHeight w:val="178"/>
        </w:trPr>
        <w:tc>
          <w:tcPr>
            <w:tcW w:w="624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AbbVie common shares, 11,638,215 and 12,340,181 shares, respectively, (dollars in</w:t>
            </w:r>
          </w:p>
        </w:tc>
        <w:tc>
          <w:tcPr>
            <w:tcW w:w="3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r>
      <w:tr>
        <w:trPr>
          <w:trHeight w:val="234"/>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thousands)</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2,659,216</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2,192,850</w:t>
            </w:r>
          </w:p>
        </w:tc>
      </w:tr>
      <w:tr>
        <w:trPr>
          <w:trHeight w:val="234"/>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Market value per share</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228.49</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177.70</w:t>
            </w:r>
          </w:p>
        </w:tc>
      </w:tr>
    </w:tbl>
    <w:p>
      <w:pPr>
        <w:spacing w:after="0" w:line="17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general, the investments provided by the Plan are exposed to various risks, such as interest rate, credit and overall market volatility risks. Due to the level of risk associated with certain investment securities, it is reasonably possible that changes in the values of investment securities will occur in the near term and that such changes could materially affect participant accounts and the amounts reported in the statements of net assets available for benefits.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D - RELATED-PARTY AND PARTY-IN-INTEREST TRANSACTIONS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Plan invests in the common stock of AbbVie. These transactions qualify as party-in-interest transactions; however, they are exempt from the prohibited transaction rules under ERISA. During 2025, the Plan received $79.0 million in common stock dividends from AbbVie.</w:t>
      </w:r>
    </w:p>
    <w:p>
      <w:pPr>
        <w:spacing w:after="0" w:line="1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Participants pay fees to the recordkeeper for loan and withdrawal transaction processing and also pay commissions on purchases and sales of AbbVie shares and sales of Abbott stock. These transactions qualify as permitted party-in-interest transactions.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E - PLAN TERMINATION</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Plan may be terminated or contributions discontinued at any time by AbbVie upon written notice to the Trustee and the Committee. All participants’ account balances are fully vested upon Plan termination. Upon termination of the Plan, distributions of each participant’s share in the Trust, as determined by the terms of the Plan, will be made to each participant. At the present time, AbbVie has no intention of terminating the Plan.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AbbVie Savings Plan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151765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F - TAX STATUS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Plan has received a determination letter from the IRS dated August 20, 2018, stating that the Plan is qualified under Section 401(a) of the IRC, and, therefore, the related trust is exempt from taxation. Subsequent to this determination by the IRS, the Plan was amended and restated. Once qualified, the Plan is required to operate in conformity with the IRC to maintain its qualified status. The Plan administrator believes the Plan is being operated in compliance with the applicable requirements of the IRC and, therefore, believes the Plan, as amended and restated, is qualified and the related trust is tax-exempt.</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Accounting principles generally accepted in the United States of America require Plan management to evaluate tax positions taken by the Plan and recognize a tax liability if the Plan has taken an uncertain position that more likely than not would not be sustained upon examination by the IRS or other applicable taxing authorities. The Plan administrator has analyzed the tax positions taken by the Plan and has concluded that there are no uncertain positions taken or expected to be taken. The Plan is subject to routine audits by taxing jurisdictions; however, there are currently no audits for any tax periods in progress.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G – SUBSEQUENT EVENTS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AbbVie has evaluated subsequent events and there were no subsequent events that require recognition or additional disclosure in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SUPPLEMENTAL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916305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AbbVie Savings Plan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EIN: 320375147, Plan Number: 001</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SCHEDULE H, LINE 4i - SCHEDULE OF ASSETS (HELD AT END OF YEAR)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40" w:type="dxa"/>
            <w:vAlign w:val="bottom"/>
          </w:tcPr>
          <w:p>
            <w:pPr>
              <w:ind w:left="2480"/>
              <w:spacing w:after="0"/>
              <w:rPr>
                <w:sz w:val="20"/>
                <w:szCs w:val="20"/>
                <w:color w:val="auto"/>
              </w:rPr>
            </w:pPr>
            <w:r>
              <w:rPr>
                <w:rFonts w:ascii="Times New Roman" w:cs="Times New Roman" w:eastAsia="Times New Roman" w:hAnsi="Times New Roman"/>
                <w:sz w:val="14"/>
                <w:szCs w:val="14"/>
                <w:color w:val="auto"/>
              </w:rPr>
              <w:t>Identity of party involved/</w:t>
            </w:r>
          </w:p>
        </w:tc>
        <w:tc>
          <w:tcPr>
            <w:tcW w:w="1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   Cost (a)</w:t>
            </w:r>
          </w:p>
        </w:tc>
        <w:tc>
          <w:tcPr>
            <w:tcW w:w="36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center"/>
              <w:ind w:right="110"/>
              <w:spacing w:after="0"/>
              <w:rPr>
                <w:sz w:val="20"/>
                <w:szCs w:val="20"/>
                <w:color w:val="auto"/>
              </w:rPr>
            </w:pPr>
            <w:r>
              <w:rPr>
                <w:rFonts w:ascii="Times New Roman" w:cs="Times New Roman" w:eastAsia="Times New Roman" w:hAnsi="Times New Roman"/>
                <w:sz w:val="14"/>
                <w:szCs w:val="14"/>
                <w:color w:val="auto"/>
              </w:rPr>
              <w:t>Current</w:t>
            </w:r>
          </w:p>
        </w:tc>
        <w:tc>
          <w:tcPr>
            <w:tcW w:w="0" w:type="dxa"/>
            <w:vAlign w:val="bottom"/>
          </w:tcPr>
          <w:p>
            <w:pPr>
              <w:spacing w:after="0"/>
              <w:rPr>
                <w:sz w:val="1"/>
                <w:szCs w:val="1"/>
                <w:color w:val="auto"/>
              </w:rPr>
            </w:pPr>
          </w:p>
        </w:tc>
      </w:tr>
      <w:tr>
        <w:trPr>
          <w:trHeight w:val="171"/>
        </w:trPr>
        <w:tc>
          <w:tcPr>
            <w:tcW w:w="6440" w:type="dxa"/>
            <w:vAlign w:val="bottom"/>
          </w:tcPr>
          <w:p>
            <w:pPr>
              <w:ind w:left="2240"/>
              <w:spacing w:after="0"/>
              <w:rPr>
                <w:sz w:val="20"/>
                <w:szCs w:val="20"/>
                <w:color w:val="auto"/>
              </w:rPr>
            </w:pPr>
            <w:r>
              <w:rPr>
                <w:rFonts w:ascii="Times New Roman" w:cs="Times New Roman" w:eastAsia="Times New Roman" w:hAnsi="Times New Roman"/>
                <w:sz w:val="14"/>
                <w:szCs w:val="14"/>
                <w:color w:val="auto"/>
              </w:rPr>
              <w:t>description of asset/ rate/ maturity</w:t>
            </w:r>
          </w:p>
        </w:tc>
        <w:tc>
          <w:tcPr>
            <w:tcW w:w="1160" w:type="dxa"/>
            <w:vAlign w:val="bottom"/>
            <w:gridSpan w:val="2"/>
            <w:vMerge w:val="continue"/>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000" w:type="dxa"/>
            <w:vAlign w:val="bottom"/>
            <w:gridSpan w:val="2"/>
          </w:tcPr>
          <w:p>
            <w:pPr>
              <w:jc w:val="center"/>
              <w:ind w:right="130"/>
              <w:spacing w:after="0"/>
              <w:rPr>
                <w:sz w:val="20"/>
                <w:szCs w:val="20"/>
                <w:color w:val="auto"/>
              </w:rPr>
            </w:pPr>
            <w:r>
              <w:rPr>
                <w:rFonts w:ascii="Times New Roman" w:cs="Times New Roman" w:eastAsia="Times New Roman" w:hAnsi="Times New Roman"/>
                <w:sz w:val="14"/>
                <w:szCs w:val="14"/>
                <w:color w:val="auto"/>
                <w:w w:val="98"/>
              </w:rPr>
              <w:t>value</w:t>
            </w:r>
          </w:p>
        </w:tc>
        <w:tc>
          <w:tcPr>
            <w:tcW w:w="0" w:type="dxa"/>
            <w:vAlign w:val="bottom"/>
          </w:tcPr>
          <w:p>
            <w:pPr>
              <w:spacing w:after="0"/>
              <w:rPr>
                <w:sz w:val="1"/>
                <w:szCs w:val="1"/>
                <w:color w:val="auto"/>
              </w:rPr>
            </w:pPr>
          </w:p>
        </w:tc>
      </w:tr>
      <w:tr>
        <w:trPr>
          <w:trHeight w:val="209"/>
        </w:trPr>
        <w:tc>
          <w:tcPr>
            <w:tcW w:w="6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*AbbVie Inc., common stock</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2,659,216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Abbott Laboratories, common stock</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387,800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bearing cash</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Vanguard Federal Money Market</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Collective trust funds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 Group EuroPacific Growth Trust, Class U2</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 Group Growth Fund of America, Class U4</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1,225,666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 Group Washington Mutual Investors Trust, Class U3</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493,597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FIAM Core Plus Collective Investment Trust Class U</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402,607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Galliard Stable Return Fund W</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Galliard Managed Income Fund Core</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 Street Target Retirement 2025 Securities Lending Series Fund Class IV</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387,584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State Street Target Retirement 2030 Securities Lending Series Fund Class IV</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674,828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 Street Target Retirement 2035 Securities Lending Series Fund Class IV</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795,215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State Street Target Retirement 2040 Securities Lending Series Fund Class IV</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829,694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 Street Target Retirement 2045 Securities Lending Series Fund Class IV</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695,552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State Street Target Retirement 2050 Securities Lending Series Fund Class IV</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516,905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 Street Target Retirement 2055 Securities Lending Series Fund Class IV</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State Street Target Retirement 2060 Securities Lending Series Fund Class IV</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 Street Target Retirement 2065 Securities Lending Series Fund Class IV</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State Street Target Retirement 2070 Securities Lending Series Fund Class IV</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 Street Target Retirement Income Securities Lending Series Fund Class IV</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44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State Street Global Allcap Equity Ex-US Index Securities Lending Series Fund Class</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759,598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 Street S&amp;P 500 Index Securities Lending Series Fund Class X</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2,707,096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State Street US Bond Index Securities Lending Series Fund Class X</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286,229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 Street US Extended Market Index Securities Lending Series Fund Class X</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809,291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Wellington CIF II SMID Cap Research Class S5</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Self-directed brokerage accounts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*Loans to participants, 3.25% to 9.50%</w:t>
            </w:r>
          </w:p>
        </w:tc>
        <w:tc>
          <w:tcPr>
            <w:tcW w:w="22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15,800,031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*Represents a party-in-interest transaction.</w:t>
            </w: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4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 Cost information omitted as all investments are fully participant directed.</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AbbVie Puerto Rico Savings Plan</w:t>
      </w:r>
    </w:p>
    <w:p>
      <w:pPr>
        <w:spacing w:after="0" w:line="225" w:lineRule="exact"/>
        <w:rPr>
          <w:sz w:val="20"/>
          <w:szCs w:val="20"/>
          <w:color w:val="auto"/>
        </w:rPr>
      </w:pPr>
    </w:p>
    <w:p>
      <w:pPr>
        <w:ind w:left="60" w:right="3439"/>
        <w:spacing w:after="0" w:line="268" w:lineRule="auto"/>
        <w:rPr>
          <w:sz w:val="20"/>
          <w:szCs w:val="20"/>
          <w:color w:val="auto"/>
        </w:rPr>
      </w:pPr>
      <w:r>
        <w:rPr>
          <w:rFonts w:ascii="Times New Roman" w:cs="Times New Roman" w:eastAsia="Times New Roman" w:hAnsi="Times New Roman"/>
          <w:sz w:val="18"/>
          <w:szCs w:val="18"/>
          <w:b w:val="1"/>
          <w:bCs w:val="1"/>
          <w:color w:val="auto"/>
        </w:rPr>
        <w:t>FINANCIAL STATEMENTS AND SUPPLEMENTAL SCHEDULE December 31, 2025 and 2024 and for the Year Ended December 31, 2025 With 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739775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380" w:type="dxa"/>
            <w:vAlign w:val="bottom"/>
            <w:gridSpan w:val="9"/>
          </w:tcPr>
          <w:p>
            <w:pPr>
              <w:ind w:left="20"/>
              <w:spacing w:after="0"/>
              <w:rPr>
                <w:sz w:val="20"/>
                <w:szCs w:val="20"/>
                <w:color w:val="auto"/>
              </w:rPr>
            </w:pPr>
            <w:r>
              <w:rPr>
                <w:rFonts w:ascii="Times New Roman" w:cs="Times New Roman" w:eastAsia="Times New Roman" w:hAnsi="Times New Roman"/>
                <w:sz w:val="18"/>
                <w:szCs w:val="18"/>
                <w:b w:val="1"/>
                <w:bCs w:val="1"/>
                <w:color w:val="auto"/>
              </w:rPr>
              <w:t>AbbVie Puerto Rico Savings Plan</w:t>
            </w: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7380" w:type="dxa"/>
            <w:vAlign w:val="bottom"/>
            <w:gridSpan w:val="9"/>
          </w:tcPr>
          <w:p>
            <w:pPr>
              <w:ind w:left="20"/>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380" w:type="dxa"/>
            <w:vAlign w:val="bottom"/>
            <w:gridSpan w:val="9"/>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 and 2024 and for the Year Ended December 31, 2025</w:t>
            </w: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40" w:type="dxa"/>
            <w:vAlign w:val="bottom"/>
            <w:gridSpan w:val="2"/>
          </w:tcPr>
          <w:p>
            <w:pPr>
              <w:ind w:left="10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6"/>
        </w:trPr>
        <w:tc>
          <w:tcPr>
            <w:tcW w:w="7380" w:type="dxa"/>
            <w:vAlign w:val="bottom"/>
            <w:gridSpan w:val="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15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4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STATEMENTS</w:t>
            </w:r>
          </w:p>
        </w:tc>
        <w:tc>
          <w:tcPr>
            <w:tcW w:w="1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360" w:type="dxa"/>
            <w:vAlign w:val="bottom"/>
            <w:gridSpan w:val="8"/>
          </w:tcPr>
          <w:p>
            <w:pPr>
              <w:ind w:left="320"/>
              <w:spacing w:after="0" w:line="176" w:lineRule="exact"/>
              <w:rPr>
                <w:sz w:val="20"/>
                <w:szCs w:val="20"/>
                <w:color w:val="auto"/>
              </w:rPr>
            </w:pPr>
            <w:r>
              <w:rPr>
                <w:rFonts w:ascii="Times New Roman" w:cs="Times New Roman" w:eastAsia="Times New Roman" w:hAnsi="Times New Roman"/>
                <w:sz w:val="18"/>
                <w:szCs w:val="18"/>
                <w:color w:val="0000EE"/>
              </w:rPr>
              <w:t>STATEMENTS OF NET ASSETS AVAILABLE FOR BENEFITS</w:t>
            </w:r>
          </w:p>
        </w:tc>
        <w:tc>
          <w:tcPr>
            <w:tcW w:w="15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4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7360" w:type="dxa"/>
            <w:vAlign w:val="bottom"/>
            <w:gridSpan w:val="8"/>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0000EE"/>
              </w:rPr>
              <w:t>STATEMENT OF CHANGES IN NET ASSETS AVAILABLE FOR BENEFITS</w:t>
            </w:r>
          </w:p>
        </w:tc>
        <w:tc>
          <w:tcPr>
            <w:tcW w:w="15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174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360" w:type="dxa"/>
            <w:vAlign w:val="bottom"/>
            <w:gridSpan w:val="8"/>
          </w:tcPr>
          <w:p>
            <w:pPr>
              <w:ind w:left="320"/>
              <w:spacing w:after="0" w:line="17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15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4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380" w:type="dxa"/>
            <w:vAlign w:val="bottom"/>
            <w:gridSpan w:val="9"/>
          </w:tcPr>
          <w:p>
            <w:pPr>
              <w:ind w:left="20"/>
              <w:spacing w:after="0" w:line="176" w:lineRule="exact"/>
              <w:rPr>
                <w:sz w:val="20"/>
                <w:szCs w:val="20"/>
                <w:color w:val="auto"/>
              </w:rPr>
            </w:pPr>
            <w:r>
              <w:rPr>
                <w:rFonts w:ascii="Times New Roman" w:cs="Times New Roman" w:eastAsia="Times New Roman" w:hAnsi="Times New Roman"/>
                <w:sz w:val="18"/>
                <w:szCs w:val="18"/>
                <w:color w:val="0000EE"/>
              </w:rPr>
              <w:t>SUPPLEMENTAL SCHEDULE</w:t>
            </w:r>
          </w:p>
        </w:tc>
        <w:tc>
          <w:tcPr>
            <w:tcW w:w="1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40" w:type="dxa"/>
            <w:vAlign w:val="bottom"/>
            <w:tcBorders>
              <w:top w:val="single" w:sz="8" w:color="0000EE"/>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360" w:type="dxa"/>
            <w:vAlign w:val="bottom"/>
            <w:gridSpan w:val="8"/>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0000EE"/>
              </w:rPr>
              <w:t>SCHEDULE H, LINE 4i - SCHEDULE OF ASSETS (HELD AT END OF YEAR)</w:t>
            </w:r>
          </w:p>
        </w:tc>
        <w:tc>
          <w:tcPr>
            <w:tcW w:w="15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06"/>
        </w:trPr>
        <w:tc>
          <w:tcPr>
            <w:tcW w:w="2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2040" w:type="dxa"/>
            <w:vAlign w:val="bottom"/>
            <w:tcBorders>
              <w:top w:val="single" w:sz="8" w:color="0000EE"/>
              <w:bottom w:val="single" w:sz="8" w:color="auto"/>
            </w:tcBorders>
          </w:tcPr>
          <w:p>
            <w:pPr>
              <w:spacing w:after="0"/>
              <w:rPr>
                <w:sz w:val="24"/>
                <w:szCs w:val="24"/>
                <w:color w:val="auto"/>
              </w:rPr>
            </w:pPr>
          </w:p>
        </w:tc>
        <w:tc>
          <w:tcPr>
            <w:tcW w:w="1020" w:type="dxa"/>
            <w:vAlign w:val="bottom"/>
            <w:tcBorders>
              <w:top w:val="single" w:sz="8" w:color="0000EE"/>
              <w:bottom w:val="single" w:sz="8" w:color="auto"/>
            </w:tcBorders>
          </w:tcPr>
          <w:p>
            <w:pPr>
              <w:spacing w:after="0"/>
              <w:rPr>
                <w:sz w:val="24"/>
                <w:szCs w:val="24"/>
                <w:color w:val="auto"/>
              </w:rPr>
            </w:pPr>
          </w:p>
        </w:tc>
        <w:tc>
          <w:tcPr>
            <w:tcW w:w="1740" w:type="dxa"/>
            <w:vAlign w:val="bottom"/>
            <w:tcBorders>
              <w:top w:val="single" w:sz="8" w:color="0000EE"/>
              <w:bottom w:val="single" w:sz="8" w:color="auto"/>
            </w:tcBorders>
          </w:tcPr>
          <w:p>
            <w:pPr>
              <w:spacing w:after="0"/>
              <w:rPr>
                <w:sz w:val="24"/>
                <w:szCs w:val="24"/>
                <w:color w:val="auto"/>
              </w:rPr>
            </w:pPr>
          </w:p>
        </w:tc>
        <w:tc>
          <w:tcPr>
            <w:tcW w:w="66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060" w:type="dxa"/>
            <w:vAlign w:val="bottom"/>
            <w:tcBorders>
              <w:top w:val="single" w:sz="8" w:color="CCEEFF"/>
              <w:bottom w:val="single" w:sz="8" w:color="auto"/>
            </w:tcBorders>
          </w:tcPr>
          <w:p>
            <w:pPr>
              <w:spacing w:after="0"/>
              <w:rPr>
                <w:sz w:val="24"/>
                <w:szCs w:val="24"/>
                <w:color w:val="auto"/>
              </w:rPr>
            </w:pPr>
          </w:p>
        </w:tc>
        <w:tc>
          <w:tcPr>
            <w:tcW w:w="1520" w:type="dxa"/>
            <w:vAlign w:val="bottom"/>
            <w:tcBorders>
              <w:top w:val="single" w:sz="8" w:color="CCEEFF"/>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Plan Participants and the Plan Administrator of AbbVie Puerto Rico Savings Plan</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AbbVie Puerto Rico Savings Plan (the Plan) as of December 31, 2025 and 2024, and the related statement of changes in net assets available for benefits for the year ended December 31, 2025, and the related notes (collectively referred to as the “financial statements”). In our opinion, the financial statements present fairly, in all material respects, the net assets available for benefits of the Plan at December 31, 2025, and 2024, and the changes in its net assets available for benefits for the year ended December 31, 2025, in conformity with U.S. generally accepted accounting principles.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left="60" w:right="239"/>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83"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187"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Supplemental Schedule Required by ERISA</w:t>
      </w:r>
    </w:p>
    <w:p>
      <w:pPr>
        <w:spacing w:after="0" w:line="229"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The accompanying supplemental schedule of assets (held at end of year) as of December 31, 2025 (referred to as the “supplemental schedule”), has been subjected to audit procedures performed in conjunction with the audit of the Plan’s financial statements. The information in the supplemental schedule is the responsibility of the Plan’s management. Our audit procedures included determining whether the information reconciles to the financial statements or the underlying accounting and other records, as applicable, and performing procedures to test the completeness and accuracy of the information presented in the supplemental schedule. In forming our opinion on the information, we evaluated whether such information, including its form and content, is presented in conformity with the Department of Labor’s Rules and Regulations for Reporting and Disclosure under the Employee Retirement Income Security Act of 1974. In our opinion, the information is fairly stated, in all material respects, in relation to the financial statements as a whole.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Plan’s auditor since 2018</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June 24, 2026</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AbbVie Puerto Rico Savings Plan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STATEMENTS OF NET ASSETS AVAILABLE FOR BENEFITS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160020</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600" w:type="dxa"/>
            <w:vAlign w:val="bottom"/>
          </w:tcPr>
          <w:p>
            <w:pPr>
              <w:spacing w:after="0"/>
              <w:rPr>
                <w:sz w:val="15"/>
                <w:szCs w:val="15"/>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ind w:right="313"/>
              <w:spacing w:after="0"/>
              <w:rPr>
                <w:sz w:val="20"/>
                <w:szCs w:val="20"/>
                <w:color w:val="auto"/>
              </w:rPr>
            </w:pPr>
            <w:r>
              <w:rPr>
                <w:rFonts w:ascii="Times New Roman" w:cs="Times New Roman" w:eastAsia="Times New Roman" w:hAnsi="Times New Roman"/>
                <w:sz w:val="14"/>
                <w:szCs w:val="14"/>
                <w:color w:val="auto"/>
              </w:rPr>
              <w:t>2025</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293"/>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09"/>
        </w:trPr>
        <w:tc>
          <w:tcPr>
            <w:tcW w:w="5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0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8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665,280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552,504</w:t>
            </w:r>
          </w:p>
        </w:tc>
        <w:tc>
          <w:tcPr>
            <w:tcW w:w="0" w:type="dxa"/>
            <w:vAlign w:val="bottom"/>
          </w:tcPr>
          <w:p>
            <w:pPr>
              <w:spacing w:after="0"/>
              <w:rPr>
                <w:sz w:val="1"/>
                <w:szCs w:val="1"/>
                <w:color w:val="auto"/>
              </w:rPr>
            </w:pPr>
          </w:p>
        </w:tc>
      </w:tr>
      <w:tr>
        <w:trPr>
          <w:trHeight w:val="216"/>
        </w:trPr>
        <w:tc>
          <w:tcPr>
            <w:tcW w:w="5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Employer contributions receivable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10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7,771</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6,230</w:t>
            </w:r>
          </w:p>
        </w:tc>
        <w:tc>
          <w:tcPr>
            <w:tcW w:w="0" w:type="dxa"/>
            <w:vAlign w:val="bottom"/>
          </w:tcPr>
          <w:p>
            <w:pPr>
              <w:spacing w:after="0"/>
              <w:rPr>
                <w:sz w:val="1"/>
                <w:szCs w:val="1"/>
                <w:color w:val="auto"/>
              </w:rPr>
            </w:pPr>
          </w:p>
        </w:tc>
      </w:tr>
      <w:tr>
        <w:trPr>
          <w:trHeight w:val="209"/>
        </w:trPr>
        <w:tc>
          <w:tcPr>
            <w:tcW w:w="5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AVAILABLE FOR BENEFITS</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674,827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560,135</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0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AbbVie Puerto Rico Savings Plan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STATEMENT OF CHANGES IN NET ASSETS AVAILABLE FOR BENEFITS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160020</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shd w:val="clear" w:color="auto" w:fill="CCEEFF"/>
          </w:tcPr>
          <w:p>
            <w:pPr>
              <w:spacing w:after="0"/>
              <w:rPr>
                <w:sz w:val="18"/>
                <w:szCs w:val="18"/>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Contributions</w:t>
            </w:r>
          </w:p>
        </w:tc>
        <w:tc>
          <w:tcPr>
            <w:tcW w:w="1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Employer</w:t>
            </w:r>
          </w:p>
        </w:tc>
        <w:tc>
          <w:tcPr>
            <w:tcW w:w="1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Participant</w:t>
            </w:r>
          </w:p>
        </w:tc>
        <w:tc>
          <w:tcPr>
            <w:tcW w:w="1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Rollovers</w:t>
            </w:r>
          </w:p>
        </w:tc>
        <w:tc>
          <w:tcPr>
            <w:tcW w:w="15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contributions</w:t>
            </w:r>
          </w:p>
        </w:tc>
        <w:tc>
          <w:tcPr>
            <w:tcW w:w="1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 income</w:t>
            </w:r>
          </w:p>
        </w:tc>
        <w:tc>
          <w:tcPr>
            <w:tcW w:w="1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appreciation in fair value of investments</w:t>
            </w:r>
          </w:p>
        </w:tc>
        <w:tc>
          <w:tcPr>
            <w:tcW w:w="1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and dividends</w:t>
            </w:r>
          </w:p>
        </w:tc>
        <w:tc>
          <w:tcPr>
            <w:tcW w:w="15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investment income</w:t>
            </w:r>
          </w:p>
        </w:tc>
        <w:tc>
          <w:tcPr>
            <w:tcW w:w="1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 on notes receivable from participants</w:t>
            </w:r>
          </w:p>
        </w:tc>
        <w:tc>
          <w:tcPr>
            <w:tcW w:w="15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additions</w:t>
            </w:r>
          </w:p>
        </w:tc>
        <w:tc>
          <w:tcPr>
            <w:tcW w:w="1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Deductions</w:t>
            </w:r>
          </w:p>
        </w:tc>
        <w:tc>
          <w:tcPr>
            <w:tcW w:w="1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Benefits paid to participants</w:t>
            </w:r>
          </w:p>
        </w:tc>
        <w:tc>
          <w:tcPr>
            <w:tcW w:w="1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expenses</w:t>
            </w:r>
          </w:p>
        </w:tc>
        <w:tc>
          <w:tcPr>
            <w:tcW w:w="15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deductions</w:t>
            </w:r>
          </w:p>
        </w:tc>
        <w:tc>
          <w:tcPr>
            <w:tcW w:w="15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NET INCREASE</w:t>
            </w:r>
          </w:p>
        </w:tc>
        <w:tc>
          <w:tcPr>
            <w:tcW w:w="1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1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Beginning of year</w:t>
            </w:r>
          </w:p>
        </w:tc>
        <w:tc>
          <w:tcPr>
            <w:tcW w:w="15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560,135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End of year</w:t>
            </w:r>
          </w:p>
        </w:tc>
        <w:tc>
          <w:tcPr>
            <w:tcW w:w="1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674,827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tc>
        <w:tc>
          <w:tcPr>
            <w:tcW w:w="15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0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AbbVie Puerto Rico Savings Plan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151765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A - DESCRIPTION OF THE PLAN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description of the AbbVie Puerto Rico Savings Plan (the “Plan”) provides only general information.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Participants should refer to the Plan document for a more complete description of the Plan’s provisions.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general, employees of AbbVie Inc.’s (“AbbVie”) selected subsidiaries and affiliates in Puerto Rico (the “Company”) may, after their date of hire, voluntarily participate in the Plan. Any eligible employee who begins employment or re-employment on or after January 1, 2022, and any eligible employee who first becomes eligible to participate in the Plan on or after January 1, 2022, shall be covered by the AbbVie Puerto Rico Savings Plan Plus (“ASP+”) provisions set forth in the Plan document. The ASP+ provisions provide for automatic enrollment into the Plan and matching contribution and annual employer contribution formulas that differ from those that apply to participants who joined the Plan before January 1, 2022. The Plan’s sponsor is AbbVie Ltd. The Plan is subject to the provisions of the Employee Retirement Income Security Act of 1974 (“ERISA”), as amended.</w:t>
      </w:r>
    </w:p>
    <w:p>
      <w:pPr>
        <w:spacing w:after="0" w:line="19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Empower Retirement serves as the recordkeeper of the Plan and Empower Trust Company, LLC (“Custodian”) serves as the custodian. Banco Popular de Puerto Rico serves as trustee (“Trustee”) of the Plan.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Contributions and Vesting</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Contributions to the Plan are paid to the AbbVie Puerto Rico Savings Plan Trust (“Trust”). The Trust is administered by the Trustee, the Custodian, and an investment committee comprised of AbbVie employees (the “Committee”).</w:t>
      </w:r>
    </w:p>
    <w:p>
      <w:pPr>
        <w:spacing w:after="0" w:line="16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Eligible employees electing to participate may choose to make their contributions from either pre-tax earnings or after-tax earnings or both, subject to certain limitations. Participants who have attained age 50 before the end of the Plan year and who are making the maximum pre-tax contribution are eligible to make catch-up contributions. Participants’ pre-tax contributions are an elective deferral feature, which is a cash or deferred arrangement under the provisions of Section 1081.01(d) of the Puerto Rico Internal Revenue Code of 2011 (“Puerto Rico Code”), as amended. All the contributions are subject to certain limitations of the Puerto Rico Code. Participant contributions may be invested in any of the investment options offered by the Plan.</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Eligible employees who are not covered by ASP+ and who elect to participate in the Plan may contribute from 2% to 50% of their eligible earnings to the Trust. Eligible employees covered by ASP+ and who elect to participate in the Plan may contribute from 1% to 50% of their eligible earnings to the Trust. Following the 30-day period from an employee’s hire or eligibility date, employees covered by ASP+ who have not affirmatively enrolled in the Plan and elected a specified contribution type and percentage or who have not opted out of automatic contributions, will be automatically enrolled in the Plan to contribute 3% of their pre-tax earnings.</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Employer matching contributions to the Plan are made each payroll period based on the participating employees’ eligible earnings. Catch-up contributions are not eligible for matching contributions. The amount of the employer matching contribution for participants not covered by ASP+ is determined by the Board of Directors of AbbVie Ltd. and for the year ended December 31, 2025, was 5% of the participant’s eligible earnings if the employee elected to contribute at least 2% to the Plan. For participants covered by ASP+, contributions are matched dollar for dollar up to 6% of the participant’s eligible earnings.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AbbVie Puerto Rico Savings Plan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151765</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A - DESCRIPTION OF THE PLAN -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Contributions and Vesting - Continued</w:t>
      </w:r>
    </w:p>
    <w:p>
      <w:pPr>
        <w:spacing w:after="0" w:line="229"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In addition, ASP+ participants receive an annual employer contribution if the ASP+ participant is employed by the Company on the last day of the Plan year or separated from employment during the Plan year due to death or qualifying retirement. The annual employer contribution is equal to a percentage of eligible compensation based on each eligible ASP+ participant’s age plus years of credited service according to the following schedule:</w:t>
      </w:r>
    </w:p>
    <w:p>
      <w:pPr>
        <w:spacing w:after="0" w:line="189"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5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Age + Years of Credited Service (whole years)</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tcPr>
          <w:p>
            <w:pPr>
              <w:jc w:val="center"/>
              <w:ind w:right="113"/>
              <w:spacing w:after="0"/>
              <w:rPr>
                <w:sz w:val="20"/>
                <w:szCs w:val="20"/>
                <w:color w:val="auto"/>
              </w:rPr>
            </w:pPr>
            <w:r>
              <w:rPr>
                <w:rFonts w:ascii="Times New Roman" w:cs="Times New Roman" w:eastAsia="Times New Roman" w:hAnsi="Times New Roman"/>
                <w:sz w:val="14"/>
                <w:szCs w:val="14"/>
                <w:color w:val="auto"/>
              </w:rPr>
              <w:t>Contribution Percentage</w:t>
            </w:r>
          </w:p>
        </w:tc>
        <w:tc>
          <w:tcPr>
            <w:tcW w:w="160" w:type="dxa"/>
            <w:vAlign w:val="bottom"/>
          </w:tcPr>
          <w:p>
            <w:pPr>
              <w:spacing w:after="0"/>
              <w:rPr>
                <w:sz w:val="14"/>
                <w:szCs w:val="14"/>
                <w:color w:val="auto"/>
              </w:rPr>
            </w:pPr>
          </w:p>
        </w:tc>
      </w:tr>
      <w:tr>
        <w:trPr>
          <w:trHeight w:val="210"/>
        </w:trPr>
        <w:tc>
          <w:tcPr>
            <w:tcW w:w="5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Less than 30</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center"/>
              <w:ind w:right="93"/>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5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30-39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jc w:val="center"/>
              <w:ind w:right="93"/>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5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40-49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80" w:type="dxa"/>
            <w:vAlign w:val="bottom"/>
            <w:shd w:val="clear" w:color="auto" w:fill="CCEEFF"/>
          </w:tcPr>
          <w:p>
            <w:pPr>
              <w:jc w:val="center"/>
              <w:ind w:right="93"/>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5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50-59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jc w:val="center"/>
              <w:ind w:right="93"/>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5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60-69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80" w:type="dxa"/>
            <w:vAlign w:val="bottom"/>
            <w:shd w:val="clear" w:color="auto" w:fill="CCEEFF"/>
          </w:tcPr>
          <w:p>
            <w:pPr>
              <w:jc w:val="center"/>
              <w:ind w:right="93"/>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34"/>
        </w:trPr>
        <w:tc>
          <w:tcPr>
            <w:tcW w:w="5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70 or more</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jc w:val="center"/>
              <w:ind w:right="93"/>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bl>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Employer contributions are invested according to the employee’s investment elections.</w:t>
      </w:r>
    </w:p>
    <w:p>
      <w:pPr>
        <w:spacing w:after="0" w:line="22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Plan offers a variety of investment options, including AbbVie common shares. AbbVie was established by the January 1, 2013 separation of Abbott Laboratories (“Abbott”) into two publicly traded companies. The separation was a tax-free distribution where Abbott shareholders received one share of AbbVie stock for every share of Abbott held as of the close of business on December 12, 2012, the record date for the distribution. Effective January 1, 2013, AbbVie participants may no longer make new contributions or transfer funds to purchase Abbott stock in the Plan; however, they may continue to hold Abbott stock in their Plan accounts.</w:t>
      </w:r>
    </w:p>
    <w:p>
      <w:pPr>
        <w:spacing w:after="0" w:line="18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Participants are at all times fully vested in their own contributions and earnings thereon. Vesting in employer matching contributions is based on the following vesting schedule:</w:t>
      </w:r>
    </w:p>
    <w:p>
      <w:pPr>
        <w:spacing w:after="0" w:line="171" w:lineRule="exact"/>
        <w:rPr>
          <w:sz w:val="20"/>
          <w:szCs w:val="20"/>
          <w:color w:val="auto"/>
        </w:rPr>
      </w:pPr>
    </w:p>
    <w:tbl>
      <w:tblPr>
        <w:tblLayout w:type="fixed"/>
        <w:tblInd w:w="960" w:type="dxa"/>
        <w:tblCellMar>
          <w:top w:w="0" w:type="dxa"/>
          <w:left w:w="0" w:type="dxa"/>
          <w:bottom w:w="0" w:type="dxa"/>
          <w:right w:w="0" w:type="dxa"/>
        </w:tblCellMar>
      </w:tblPr>
      <w:tr>
        <w:trPr>
          <w:trHeight w:val="171"/>
        </w:trPr>
        <w:tc>
          <w:tcPr>
            <w:tcW w:w="5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Years of Credited Service</w:t>
            </w: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Vesting Percentage</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10"/>
        </w:trPr>
        <w:tc>
          <w:tcPr>
            <w:tcW w:w="5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Less than 2 years</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34"/>
        </w:trPr>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 years or more</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496"/>
              <w:spacing w:after="0"/>
              <w:rPr>
                <w:sz w:val="20"/>
                <w:szCs w:val="20"/>
                <w:color w:val="auto"/>
              </w:rPr>
            </w:pPr>
            <w:r>
              <w:rPr>
                <w:rFonts w:ascii="Times New Roman" w:cs="Times New Roman" w:eastAsia="Times New Roman" w:hAnsi="Times New Roman"/>
                <w:sz w:val="18"/>
                <w:szCs w:val="18"/>
                <w:color w:val="auto"/>
              </w:rPr>
              <w:t>100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Vesting in the annual employer contribution for ASP+ participants is based on the following vesting schedule:</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3360" w:type="dxa"/>
            <w:vAlign w:val="bottom"/>
          </w:tcPr>
          <w:p>
            <w:pPr>
              <w:jc w:val="center"/>
              <w:ind w:left="1553"/>
              <w:spacing w:after="0"/>
              <w:rPr>
                <w:sz w:val="20"/>
                <w:szCs w:val="20"/>
                <w:color w:val="auto"/>
              </w:rPr>
            </w:pPr>
            <w:r>
              <w:rPr>
                <w:rFonts w:ascii="Times New Roman" w:cs="Times New Roman" w:eastAsia="Times New Roman" w:hAnsi="Times New Roman"/>
                <w:sz w:val="14"/>
                <w:szCs w:val="14"/>
                <w:color w:val="auto"/>
              </w:rPr>
              <w:t>Years of Credited Service</w:t>
            </w:r>
          </w:p>
        </w:tc>
        <w:tc>
          <w:tcPr>
            <w:tcW w:w="1660" w:type="dxa"/>
            <w:vAlign w:val="bottom"/>
          </w:tcPr>
          <w:p>
            <w:pPr>
              <w:spacing w:after="0"/>
              <w:rPr>
                <w:sz w:val="14"/>
                <w:szCs w:val="14"/>
                <w:color w:val="auto"/>
              </w:rPr>
            </w:pP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Vested Percentage</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10"/>
        </w:trPr>
        <w:tc>
          <w:tcPr>
            <w:tcW w:w="920" w:type="dxa"/>
            <w:vAlign w:val="bottom"/>
          </w:tcPr>
          <w:p>
            <w:pPr>
              <w:spacing w:after="0"/>
              <w:rPr>
                <w:sz w:val="18"/>
                <w:szCs w:val="18"/>
                <w:color w:val="auto"/>
              </w:rPr>
            </w:pPr>
          </w:p>
        </w:tc>
        <w:tc>
          <w:tcPr>
            <w:tcW w:w="3360" w:type="dxa"/>
            <w:vAlign w:val="bottom"/>
            <w:tcBorders>
              <w:top w:val="single" w:sz="8" w:color="auto"/>
            </w:tcBorders>
            <w:shd w:val="clear" w:color="auto" w:fill="CCEEFF"/>
          </w:tcPr>
          <w:p>
            <w:pPr>
              <w:jc w:val="center"/>
              <w:ind w:left="1533"/>
              <w:spacing w:after="0"/>
              <w:rPr>
                <w:sz w:val="20"/>
                <w:szCs w:val="20"/>
                <w:color w:val="auto"/>
              </w:rPr>
            </w:pPr>
            <w:r>
              <w:rPr>
                <w:rFonts w:ascii="Times New Roman" w:cs="Times New Roman" w:eastAsia="Times New Roman" w:hAnsi="Times New Roman"/>
                <w:sz w:val="18"/>
                <w:szCs w:val="18"/>
                <w:color w:val="auto"/>
                <w:w w:val="99"/>
              </w:rPr>
              <w:t>Less than 1</w:t>
            </w:r>
          </w:p>
        </w:tc>
        <w:tc>
          <w:tcPr>
            <w:tcW w:w="1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360" w:type="dxa"/>
            <w:vAlign w:val="bottom"/>
          </w:tcPr>
          <w:p>
            <w:pPr>
              <w:jc w:val="center"/>
              <w:ind w:left="1553"/>
              <w:spacing w:after="0"/>
              <w:rPr>
                <w:sz w:val="20"/>
                <w:szCs w:val="20"/>
                <w:color w:val="auto"/>
              </w:rPr>
            </w:pPr>
            <w:r>
              <w:rPr>
                <w:rFonts w:ascii="Times New Roman" w:cs="Times New Roman" w:eastAsia="Times New Roman" w:hAnsi="Times New Roman"/>
                <w:sz w:val="18"/>
                <w:szCs w:val="18"/>
                <w:color w:val="auto"/>
                <w:w w:val="88"/>
              </w:rPr>
              <w:t>1</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360" w:type="dxa"/>
            <w:vAlign w:val="bottom"/>
            <w:shd w:val="clear" w:color="auto" w:fill="CCEEFF"/>
          </w:tcPr>
          <w:p>
            <w:pPr>
              <w:jc w:val="center"/>
              <w:ind w:left="1553"/>
              <w:spacing w:after="0"/>
              <w:rPr>
                <w:sz w:val="20"/>
                <w:szCs w:val="20"/>
                <w:color w:val="auto"/>
              </w:rPr>
            </w:pPr>
            <w:r>
              <w:rPr>
                <w:rFonts w:ascii="Times New Roman" w:cs="Times New Roman" w:eastAsia="Times New Roman" w:hAnsi="Times New Roman"/>
                <w:sz w:val="18"/>
                <w:szCs w:val="18"/>
                <w:color w:val="auto"/>
                <w:w w:val="88"/>
              </w:rPr>
              <w:t>2</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360" w:type="dxa"/>
            <w:vAlign w:val="bottom"/>
          </w:tcPr>
          <w:p>
            <w:pPr>
              <w:jc w:val="center"/>
              <w:ind w:left="1553"/>
              <w:spacing w:after="0"/>
              <w:rPr>
                <w:sz w:val="20"/>
                <w:szCs w:val="20"/>
                <w:color w:val="auto"/>
              </w:rPr>
            </w:pPr>
            <w:r>
              <w:rPr>
                <w:rFonts w:ascii="Times New Roman" w:cs="Times New Roman" w:eastAsia="Times New Roman" w:hAnsi="Times New Roman"/>
                <w:sz w:val="18"/>
                <w:szCs w:val="18"/>
                <w:color w:val="auto"/>
                <w:w w:val="88"/>
              </w:rPr>
              <w:t>3</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360" w:type="dxa"/>
            <w:vAlign w:val="bottom"/>
            <w:shd w:val="clear" w:color="auto" w:fill="CCEEFF"/>
          </w:tcPr>
          <w:p>
            <w:pPr>
              <w:jc w:val="center"/>
              <w:ind w:left="1553"/>
              <w:spacing w:after="0"/>
              <w:rPr>
                <w:sz w:val="20"/>
                <w:szCs w:val="20"/>
                <w:color w:val="auto"/>
              </w:rPr>
            </w:pPr>
            <w:r>
              <w:rPr>
                <w:rFonts w:ascii="Times New Roman" w:cs="Times New Roman" w:eastAsia="Times New Roman" w:hAnsi="Times New Roman"/>
                <w:sz w:val="18"/>
                <w:szCs w:val="18"/>
                <w:color w:val="auto"/>
                <w:w w:val="88"/>
              </w:rPr>
              <w:t>4</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r>
      <w:tr>
        <w:trPr>
          <w:trHeight w:val="234"/>
        </w:trPr>
        <w:tc>
          <w:tcPr>
            <w:tcW w:w="920" w:type="dxa"/>
            <w:vAlign w:val="bottom"/>
          </w:tcPr>
          <w:p>
            <w:pPr>
              <w:spacing w:after="0"/>
              <w:rPr>
                <w:sz w:val="20"/>
                <w:szCs w:val="20"/>
                <w:color w:val="auto"/>
              </w:rPr>
            </w:pPr>
          </w:p>
        </w:tc>
        <w:tc>
          <w:tcPr>
            <w:tcW w:w="3360" w:type="dxa"/>
            <w:vAlign w:val="bottom"/>
          </w:tcPr>
          <w:p>
            <w:pPr>
              <w:jc w:val="center"/>
              <w:ind w:left="1533"/>
              <w:spacing w:after="0"/>
              <w:rPr>
                <w:sz w:val="20"/>
                <w:szCs w:val="20"/>
                <w:color w:val="auto"/>
              </w:rPr>
            </w:pPr>
            <w:r>
              <w:rPr>
                <w:rFonts w:ascii="Times New Roman" w:cs="Times New Roman" w:eastAsia="Times New Roman" w:hAnsi="Times New Roman"/>
                <w:sz w:val="18"/>
                <w:szCs w:val="18"/>
                <w:color w:val="auto"/>
                <w:w w:val="99"/>
              </w:rPr>
              <w:t>5 or more</w:t>
            </w: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0"/>
                <w:szCs w:val="20"/>
                <w:color w:val="auto"/>
              </w:rPr>
            </w:pPr>
          </w:p>
        </w:tc>
      </w:tr>
      <w:tr>
        <w:trPr>
          <w:trHeight w:val="846"/>
        </w:trPr>
        <w:tc>
          <w:tcPr>
            <w:tcW w:w="9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66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61"/>
        </w:trPr>
        <w:tc>
          <w:tcPr>
            <w:tcW w:w="9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AbbVie Puerto Rico Savings Plan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151765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A - DESCRIPTION OF THE PLAN -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Contributions and Vesting - Continued</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Non-vested portions of employer contributions and earnings thereon are forfeited upon the earlier of (a) the date of distribution of the vested portion of the participant’s full balance or (b) the date on which the participant incurs five consecutive “break years” (i.e., a 12-consecutive month period of severance). Forfeitures are used to (1) restore any forfeitures of participants who are reemployed with the Company before incurring five consecutive break years, (2) fund corrective allocations or contributions and/or (3) reduce future employer contributions. In 2025, approximately $41,000 of forfeitures were used to reduce AbbVie’s employer contributions. As of December 31, 2025 and 2024, approximately $76,400 and $34,600, respectively, of forfeitures were available.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29" w:lineRule="exact"/>
        <w:rPr>
          <w:sz w:val="20"/>
          <w:szCs w:val="20"/>
          <w:color w:val="auto"/>
        </w:rPr>
      </w:pPr>
    </w:p>
    <w:p>
      <w:pPr>
        <w:jc w:val="both"/>
        <w:ind w:left="60" w:right="59"/>
        <w:spacing w:after="0" w:line="239" w:lineRule="auto"/>
        <w:rPr>
          <w:sz w:val="20"/>
          <w:szCs w:val="20"/>
          <w:color w:val="auto"/>
        </w:rPr>
      </w:pPr>
      <w:r>
        <w:rPr>
          <w:rFonts w:ascii="Times New Roman" w:cs="Times New Roman" w:eastAsia="Times New Roman" w:hAnsi="Times New Roman"/>
          <w:sz w:val="18"/>
          <w:szCs w:val="18"/>
          <w:color w:val="auto"/>
        </w:rPr>
        <w:t>Following retirement, termination or death, participants or their beneficiaries receive a distribution in cash, AbbVie common shares or direct rollovers, as applicable. Also, participants may elect to defer distribution to a future date, but, after termination of employment, distribution must be made or commence by the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of April following the year the participant reaches age 73. When participants defer distributions, their account balance remains in the Plan, and they may continue to transfer funds among the Plan’s investment options. Prior to separation of service, participants are permitted to withdraw their rollover contributions and their after-tax contributions in shares or in cash, subject to certain limitations. In-service withdrawals are available in certain other circumstances as defined by the Plan. The Plan also permits hardship withdrawals for participants who meet the criteria outlined in the Plan document.</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Expenses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Investment fees for mutual funds and collective trusts are charged against the net assets of the respective fund. All other expenses incident to the administration of the Plan and Trust are charged to the Trust, except to the extent the Company pays such expenses directly. Expenses paid by the Company are excluded from these financial statements. To the extent that any expense is specifically attributable to a participant’s account (including, but not limited to, a managed account service fee, loan fee, Qualified Domestic Relations Order review fee, brokerage fee, or check fee), such expense is charged to the account of the participant.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Participant Accounts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Each participant’s account is credited with the participant’s contributions and employer contributions and allocations of plan earnings and charged with any participant account fees. Plan earnings are allocated based on the participant’s share of net earnings or losses of their respective elected investment options. The benefit to which a participant is entitled is the benefit that can be provided from the participant’s vested account.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AbbVie Puerto Rico Savings Plan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151765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A - DESCRIPTION OF THE PLAN -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Notes Receivable from Participants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Participants may borrow from their accounts a minimum of $500 up to a maximum equal to the lesser of $50,000 or 50% of their vested account balance, subject to the Puerto Rico Code limitations and restrictions and Plan rules, and may have one or two loans outstanding. The loans are secured by the balance in the participant’s account. Participants pay interest on such loans at the prime rate on the first business day of the month the loan is made. Loans must be repaid within five years unless the loan is used for the purchase of the primary residence of the employee, in which case the repayment period can be extended to a period of fifteen years. Repayment is generally made through periodic payroll deductions but a loan may be repaid in a lump sum at any time. For employees terminating employment with the Company during the repayment period who do not repay their loan before distribution of their Plan account, the balance of the outstanding loan is netted from their Plan distribution.</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B - SUMMARY OF SIGNIFICANT ACCOUNTING POLICIES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of Accounting</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financial statements have been prepared using the accrual basis of accounting.</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changes therein, and disclosure of contingent assets and liabilities. Actual results may differ from those estimates.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 Valuation</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Investments are reported at fair value. Fair value is the price that would be received to sell an asset or paid to transfer a liability in an orderly transaction between market participants at the measurement date. The Plan uses the following methods and significant assumptions to estimate the fair value of investments:</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u w:val="single" w:color="auto"/>
          <w:color w:val="auto"/>
        </w:rPr>
        <w:t>Common stock, mutual funds and collective trust funds</w:t>
      </w:r>
      <w:r>
        <w:rPr>
          <w:rFonts w:ascii="Times New Roman" w:cs="Times New Roman" w:eastAsia="Times New Roman" w:hAnsi="Times New Roman"/>
          <w:sz w:val="18"/>
          <w:szCs w:val="18"/>
          <w:color w:val="auto"/>
        </w:rPr>
        <w:t xml:space="preserve"> - Valued at the published net asset value (“NAV”) or market price per share.</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u w:val="single" w:color="auto"/>
          <w:color w:val="auto"/>
        </w:rPr>
        <w:t>Self-directed brokerage accounts</w:t>
      </w:r>
      <w:r>
        <w:rPr>
          <w:rFonts w:ascii="Times New Roman" w:cs="Times New Roman" w:eastAsia="Times New Roman" w:hAnsi="Times New Roman"/>
          <w:sz w:val="18"/>
          <w:szCs w:val="18"/>
          <w:color w:val="auto"/>
        </w:rPr>
        <w:t xml:space="preserve"> – Include various securities, mainly consisting of cash and cash equivalents, common stock, and exchange-traded funds, which are valued at the closing price reported in the active market in which the securities are traded.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AbbVie Puerto Rico Savings Plan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151765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B - SUMMARY OF SIGNIFICANT ACCOUNTING POLICIES -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 Valuation - Continued</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fair value hierarchy under the accounting standard for fair value measurements consists of the following three levels:</w:t>
      </w:r>
    </w:p>
    <w:p>
      <w:pPr>
        <w:spacing w:after="0" w:line="225" w:lineRule="exact"/>
        <w:rPr>
          <w:sz w:val="20"/>
          <w:szCs w:val="20"/>
          <w:color w:val="auto"/>
        </w:rPr>
      </w:pPr>
    </w:p>
    <w:p>
      <w:pPr>
        <w:ind w:left="720" w:right="79" w:hanging="319"/>
        <w:spacing w:after="0" w:line="261"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Valuations based on unadjusted quoted prices in active markets for identical assets that the Plan has the ability to access;</w:t>
      </w:r>
    </w:p>
    <w:p>
      <w:pPr>
        <w:jc w:val="both"/>
        <w:ind w:left="720" w:right="79" w:hanging="319"/>
        <w:spacing w:after="0" w:line="250"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Valuations based on quoted prices for similar instruments in active markets, quoted prices for identical or similar instruments in markets that are not active, and model-based valuations in which all significant inputs are observable in the market; and</w:t>
      </w:r>
    </w:p>
    <w:p>
      <w:pPr>
        <w:spacing w:after="0" w:line="1" w:lineRule="exact"/>
        <w:rPr>
          <w:rFonts w:ascii="Times New Roman" w:cs="Times New Roman" w:eastAsia="Times New Roman" w:hAnsi="Times New Roman"/>
          <w:sz w:val="18"/>
          <w:szCs w:val="18"/>
          <w:color w:val="auto"/>
        </w:rPr>
      </w:pPr>
    </w:p>
    <w:p>
      <w:pPr>
        <w:jc w:val="both"/>
        <w:ind w:left="720" w:right="79" w:hanging="319"/>
        <w:spacing w:after="0" w:line="255"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Valuations using significant inputs that are unobservable in the market and include the use of judgment by the company’s management about the assumptions market participants would use in pricing the asset or liability.</w:t>
      </w:r>
    </w:p>
    <w:p>
      <w:pPr>
        <w:spacing w:after="0" w:line="18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fair value hierarchy levels of the Plan’s assets at fair value at December 31, (dollars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260" w:type="dxa"/>
            <w:vAlign w:val="bottom"/>
            <w:vMerge w:val="restart"/>
          </w:tcPr>
          <w:p>
            <w:pPr>
              <w:ind w:left="20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color w:val="auto"/>
              </w:rPr>
              <w:t>Basis of Fair Value Measurement</w:t>
            </w:r>
          </w:p>
        </w:tc>
        <w:tc>
          <w:tcPr>
            <w:tcW w:w="260" w:type="dxa"/>
            <w:vAlign w:val="bottom"/>
            <w:tcBorders>
              <w:bottom w:val="single" w:sz="8" w:color="auto"/>
            </w:tcBorders>
          </w:tcPr>
          <w:p>
            <w:pPr>
              <w:spacing w:after="0"/>
              <w:rPr>
                <w:sz w:val="14"/>
                <w:szCs w:val="14"/>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76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2"/>
        </w:trPr>
        <w:tc>
          <w:tcPr>
            <w:tcW w:w="426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ind w:right="155"/>
              <w:spacing w:after="0" w:line="142" w:lineRule="exact"/>
              <w:rPr>
                <w:sz w:val="20"/>
                <w:szCs w:val="20"/>
                <w:color w:val="auto"/>
              </w:rPr>
            </w:pPr>
            <w:r>
              <w:rPr>
                <w:rFonts w:ascii="Times New Roman" w:cs="Times New Roman" w:eastAsia="Times New Roman" w:hAnsi="Times New Roman"/>
                <w:sz w:val="14"/>
                <w:szCs w:val="14"/>
                <w:color w:val="auto"/>
              </w:rPr>
              <w:t>Level 1</w:t>
            </w:r>
          </w:p>
        </w:tc>
        <w:tc>
          <w:tcPr>
            <w:tcW w:w="220" w:type="dxa"/>
            <w:vAlign w:val="bottom"/>
          </w:tcPr>
          <w:p>
            <w:pPr>
              <w:jc w:val="center"/>
              <w:ind w:left="39"/>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40" w:type="dxa"/>
            <w:vAlign w:val="bottom"/>
          </w:tcPr>
          <w:p>
            <w:pPr>
              <w:jc w:val="center"/>
              <w:ind w:left="28"/>
              <w:spacing w:after="0" w:line="142" w:lineRule="exact"/>
              <w:rPr>
                <w:sz w:val="20"/>
                <w:szCs w:val="20"/>
                <w:color w:val="auto"/>
              </w:rPr>
            </w:pPr>
            <w:r>
              <w:rPr>
                <w:rFonts w:ascii="Times New Roman" w:cs="Times New Roman" w:eastAsia="Times New Roman" w:hAnsi="Times New Roman"/>
                <w:sz w:val="14"/>
                <w:szCs w:val="14"/>
                <w:color w:val="auto"/>
              </w:rPr>
              <w:t>Level 2</w:t>
            </w:r>
          </w:p>
        </w:tc>
        <w:tc>
          <w:tcPr>
            <w:tcW w:w="240" w:type="dxa"/>
            <w:vAlign w:val="bottom"/>
          </w:tcPr>
          <w:p>
            <w:pPr>
              <w:spacing w:after="0"/>
              <w:rPr>
                <w:sz w:val="12"/>
                <w:szCs w:val="12"/>
                <w:color w:val="auto"/>
              </w:rPr>
            </w:pPr>
          </w:p>
        </w:tc>
        <w:tc>
          <w:tcPr>
            <w:tcW w:w="380" w:type="dxa"/>
            <w:vAlign w:val="bottom"/>
            <w:gridSpan w:val="2"/>
          </w:tcPr>
          <w:p>
            <w:pPr>
              <w:jc w:val="right"/>
              <w:ind w:right="76"/>
              <w:spacing w:after="0" w:line="14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color w:val="auto"/>
                <w:w w:val="98"/>
              </w:rPr>
              <w:t>Level 3</w:t>
            </w:r>
          </w:p>
        </w:tc>
        <w:tc>
          <w:tcPr>
            <w:tcW w:w="26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2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329,280</w:t>
            </w:r>
          </w:p>
        </w:tc>
        <w:tc>
          <w:tcPr>
            <w:tcW w:w="3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329,280</w:t>
            </w:r>
          </w:p>
        </w:tc>
        <w:tc>
          <w:tcPr>
            <w:tcW w:w="0" w:type="dxa"/>
            <w:vAlign w:val="bottom"/>
          </w:tcPr>
          <w:p>
            <w:pPr>
              <w:spacing w:after="0"/>
              <w:rPr>
                <w:sz w:val="1"/>
                <w:szCs w:val="1"/>
                <w:color w:val="auto"/>
              </w:rPr>
            </w:pP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8,595</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Collective trust funds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325,555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325,555</w:t>
            </w:r>
          </w:p>
        </w:tc>
        <w:tc>
          <w:tcPr>
            <w:tcW w:w="0" w:type="dxa"/>
            <w:vAlign w:val="bottom"/>
          </w:tcPr>
          <w:p>
            <w:pPr>
              <w:spacing w:after="0"/>
              <w:rPr>
                <w:sz w:val="1"/>
                <w:szCs w:val="1"/>
                <w:color w:val="auto"/>
              </w:rPr>
            </w:pP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Self-directed brokerage accounts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0" w:type="dxa"/>
            <w:vAlign w:val="bottom"/>
          </w:tcPr>
          <w:p>
            <w:pPr>
              <w:spacing w:after="0"/>
              <w:rPr>
                <w:sz w:val="1"/>
                <w:szCs w:val="1"/>
                <w:color w:val="auto"/>
              </w:rPr>
            </w:pPr>
          </w:p>
        </w:tc>
      </w:tr>
      <w:tr>
        <w:trPr>
          <w:trHeight w:val="210"/>
        </w:trPr>
        <w:tc>
          <w:tcPr>
            <w:tcW w:w="42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665,280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665,280</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260" w:type="dxa"/>
            <w:vAlign w:val="bottom"/>
            <w:vMerge w:val="restart"/>
          </w:tcPr>
          <w:p>
            <w:pPr>
              <w:ind w:left="20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color w:val="auto"/>
              </w:rPr>
              <w:t>Basis of Fair Value Measurement</w:t>
            </w:r>
          </w:p>
        </w:tc>
        <w:tc>
          <w:tcPr>
            <w:tcW w:w="260" w:type="dxa"/>
            <w:vAlign w:val="bottom"/>
            <w:tcBorders>
              <w:bottom w:val="single" w:sz="8" w:color="auto"/>
            </w:tcBorders>
          </w:tcPr>
          <w:p>
            <w:pPr>
              <w:spacing w:after="0"/>
              <w:rPr>
                <w:sz w:val="24"/>
                <w:szCs w:val="24"/>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76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2"/>
        </w:trPr>
        <w:tc>
          <w:tcPr>
            <w:tcW w:w="426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ind w:right="155"/>
              <w:spacing w:after="0" w:line="142" w:lineRule="exact"/>
              <w:rPr>
                <w:sz w:val="20"/>
                <w:szCs w:val="20"/>
                <w:color w:val="auto"/>
              </w:rPr>
            </w:pPr>
            <w:r>
              <w:rPr>
                <w:rFonts w:ascii="Times New Roman" w:cs="Times New Roman" w:eastAsia="Times New Roman" w:hAnsi="Times New Roman"/>
                <w:sz w:val="14"/>
                <w:szCs w:val="14"/>
                <w:color w:val="auto"/>
              </w:rPr>
              <w:t>Level 1</w:t>
            </w:r>
          </w:p>
        </w:tc>
        <w:tc>
          <w:tcPr>
            <w:tcW w:w="220" w:type="dxa"/>
            <w:vAlign w:val="bottom"/>
          </w:tcPr>
          <w:p>
            <w:pPr>
              <w:jc w:val="center"/>
              <w:ind w:left="39"/>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40" w:type="dxa"/>
            <w:vAlign w:val="bottom"/>
          </w:tcPr>
          <w:p>
            <w:pPr>
              <w:jc w:val="center"/>
              <w:ind w:left="28"/>
              <w:spacing w:after="0" w:line="142" w:lineRule="exact"/>
              <w:rPr>
                <w:sz w:val="20"/>
                <w:szCs w:val="20"/>
                <w:color w:val="auto"/>
              </w:rPr>
            </w:pPr>
            <w:r>
              <w:rPr>
                <w:rFonts w:ascii="Times New Roman" w:cs="Times New Roman" w:eastAsia="Times New Roman" w:hAnsi="Times New Roman"/>
                <w:sz w:val="14"/>
                <w:szCs w:val="14"/>
                <w:color w:val="auto"/>
              </w:rPr>
              <w:t>Level 2</w:t>
            </w:r>
          </w:p>
        </w:tc>
        <w:tc>
          <w:tcPr>
            <w:tcW w:w="240" w:type="dxa"/>
            <w:vAlign w:val="bottom"/>
          </w:tcPr>
          <w:p>
            <w:pPr>
              <w:spacing w:after="0"/>
              <w:rPr>
                <w:sz w:val="12"/>
                <w:szCs w:val="12"/>
                <w:color w:val="auto"/>
              </w:rPr>
            </w:pPr>
          </w:p>
        </w:tc>
        <w:tc>
          <w:tcPr>
            <w:tcW w:w="380" w:type="dxa"/>
            <w:vAlign w:val="bottom"/>
            <w:gridSpan w:val="2"/>
          </w:tcPr>
          <w:p>
            <w:pPr>
              <w:jc w:val="right"/>
              <w:ind w:right="76"/>
              <w:spacing w:after="0" w:line="14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color w:val="auto"/>
                <w:w w:val="98"/>
              </w:rPr>
              <w:t>Level 3</w:t>
            </w:r>
          </w:p>
        </w:tc>
        <w:tc>
          <w:tcPr>
            <w:tcW w:w="26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2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276,713</w:t>
            </w:r>
          </w:p>
        </w:tc>
        <w:tc>
          <w:tcPr>
            <w:tcW w:w="3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276,713</w:t>
            </w:r>
          </w:p>
        </w:tc>
        <w:tc>
          <w:tcPr>
            <w:tcW w:w="0" w:type="dxa"/>
            <w:vAlign w:val="bottom"/>
          </w:tcPr>
          <w:p>
            <w:pPr>
              <w:spacing w:after="0"/>
              <w:rPr>
                <w:sz w:val="1"/>
                <w:szCs w:val="1"/>
                <w:color w:val="auto"/>
              </w:rPr>
            </w:pP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41,065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41,065</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Collective trust funds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233,155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233,155</w:t>
            </w:r>
          </w:p>
        </w:tc>
        <w:tc>
          <w:tcPr>
            <w:tcW w:w="0" w:type="dxa"/>
            <w:vAlign w:val="bottom"/>
          </w:tcPr>
          <w:p>
            <w:pPr>
              <w:spacing w:after="0"/>
              <w:rPr>
                <w:sz w:val="1"/>
                <w:szCs w:val="1"/>
                <w:color w:val="auto"/>
              </w:rPr>
            </w:pP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Self-directed brokerage accounts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0" w:type="dxa"/>
            <w:vAlign w:val="bottom"/>
          </w:tcPr>
          <w:p>
            <w:pPr>
              <w:spacing w:after="0"/>
              <w:rPr>
                <w:sz w:val="1"/>
                <w:szCs w:val="1"/>
                <w:color w:val="auto"/>
              </w:rPr>
            </w:pPr>
          </w:p>
        </w:tc>
      </w:tr>
      <w:tr>
        <w:trPr>
          <w:trHeight w:val="210"/>
        </w:trPr>
        <w:tc>
          <w:tcPr>
            <w:tcW w:w="4260" w:type="dxa"/>
            <w:vAlign w:val="bottom"/>
            <w:tcBorders>
              <w:top w:val="single" w:sz="8" w:color="CCEEFF"/>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552,504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552,504</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Notes Receivable from Participants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Notes receivable from participants are measured at their unpaid balance plus any accrued but unpaid interest. Delinquent loans are reclassified as distributions based upon the terms of the Plan. No allowance for credit losses has been recorded as of December 31, 2025 and 2024.</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 Recognition</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Purchases and sales of securities are recorded on a trade-date basis. Interest income is recorded on an accrual basis. Dividends are recorded on the ex-dividend date. Net realized and unrealized appreciation/depreciation is recorded in the accompanying statement of changes in net assets available for benefits as net appreciation in fair value of investments.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Payment of Benefits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Benefits are recorded when paid.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AbbVie Puerto Rico Savings Plan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151765</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C - INVESTMENTS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summary of AbbVie common share data as of December 31, is presented below:</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256"/>
              <w:spacing w:after="0"/>
              <w:rPr>
                <w:sz w:val="20"/>
                <w:szCs w:val="20"/>
                <w:color w:val="auto"/>
              </w:rPr>
            </w:pPr>
            <w:r>
              <w:rPr>
                <w:rFonts w:ascii="Times New Roman" w:cs="Times New Roman" w:eastAsia="Times New Roman" w:hAnsi="Times New Roman"/>
                <w:sz w:val="14"/>
                <w:szCs w:val="14"/>
                <w:color w:val="auto"/>
              </w:rPr>
              <w:t>2025</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256"/>
              <w:spacing w:after="0"/>
              <w:rPr>
                <w:sz w:val="20"/>
                <w:szCs w:val="20"/>
                <w:color w:val="auto"/>
              </w:rPr>
            </w:pPr>
            <w:r>
              <w:rPr>
                <w:rFonts w:ascii="Times New Roman" w:cs="Times New Roman" w:eastAsia="Times New Roman" w:hAnsi="Times New Roman"/>
                <w:sz w:val="14"/>
                <w:szCs w:val="14"/>
                <w:color w:val="auto"/>
              </w:rPr>
              <w:t>2024</w:t>
            </w:r>
          </w:p>
        </w:tc>
      </w:tr>
      <w:tr>
        <w:trPr>
          <w:trHeight w:val="178"/>
        </w:trPr>
        <w:tc>
          <w:tcPr>
            <w:tcW w:w="626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AbbVie common shares, 1,228,784 and 1,290,504 shares, respectively (dollars in</w:t>
            </w:r>
          </w:p>
        </w:tc>
        <w:tc>
          <w:tcPr>
            <w:tcW w:w="5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r>
      <w:tr>
        <w:trPr>
          <w:trHeight w:val="234"/>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thousands)</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280,765</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229,322</w:t>
            </w:r>
          </w:p>
        </w:tc>
      </w:t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Market value per share</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228.49</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177.70</w:t>
            </w:r>
          </w:p>
        </w:tc>
      </w:tr>
    </w:tbl>
    <w:p>
      <w:pPr>
        <w:spacing w:after="0" w:line="17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general, the investments provided by the Plan are exposed to various risks, such as interest rate, credit and overall market volatility risks. Due to the level of risk associated with certain investment securities, it is reasonably possible that changes in the values of investment securities will occur in the near term and that such changes could materially affect participant accounts and the amounts reported in the statements of net assets available for benefits.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D - RELATED-PARTY AND PARTY-IN-INTEREST TRANSACTIONS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Plan invests in the common stock of AbbVie. These transactions qualify as party-in-interest transactions; however, they are exempt from the prohibited transaction rules under ERISA. During 2025, the Plan received $8.3 million in common stock dividends from AbbVie.</w:t>
      </w:r>
    </w:p>
    <w:p>
      <w:pPr>
        <w:spacing w:after="0" w:line="1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Participants pay fees to the recordkeeper for loan and withdrawal transaction processing and also pay commissions on purchases and sales of AbbVie shares and sales of Abbott stock. These transactions qualify as permitted party-in-interest transactions.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E - PLAN TERMINATION</w:t>
      </w:r>
    </w:p>
    <w:p>
      <w:pPr>
        <w:spacing w:after="0" w:line="229"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The Plan may be terminated or contributions discontinued at any time by AbbVie Ltd. upon written notice to the Trustee and Committee. All participants’ account balances are fully vested upon Plan termination. Upon termination of the Plan, distributions of each participant’s share in the Trust, as determined by the terms of the Plan, will be made to each participant. At the present time, AbbVie has no intention of terminating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AbbVie Puerto Rico Savings Plan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151765</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F - TAX STATUS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Plan has received a determination letter from the Commonwealth of Puerto Rico’s Department of Treasury (“Treasury”) dated February 6, 2024, stating that the Plan is qualified under Section 1081.01 of the Puerto Rico Code, and, therefore, the related trust is exempt from taxation. Subsequent to this determination by the Treasury, the Plan was amended. Once qualified, the Plan is required to operate in conformity with the Puerto Rico Code to maintain its qualification. The Plan administrator believes the Plan is being operated in compliance with the applicable requirements of the Puerto Rico Code and, therefore, believes that the Plan, as amended, is qualified and the related trust is tax-exempt.</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Accounting principles generally accepted in the United States of America require Plan management to evaluate tax positions taken by the Plan and recognize a tax liability if the Plan has taken an uncertain position that more likely than not would not be sustained upon examination by the applicable taxing authorities. The Plan administrator has analyzed the tax positions taken by the Plan and has concluded that there are no uncertain positions taken or expected to be taken. The Plan is subject to routine audits by taxing jurisdictions; however, there are currently no audits for any tax periods in progress.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G – SUBSEQUENT EVENTS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and there were no subsequent events that require recognition or additional disclosure in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SUPPLEMENTAL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916305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AbbVie Puerto Rico Savings Plan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EIN: 980429860, Plan Number: 002</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SCHEDULE H, LINE 4i - SCHEDULE OF ASSETS (HELD AT END OF YEAR)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4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Identity of party involved/</w:t>
            </w:r>
          </w:p>
        </w:tc>
        <w:tc>
          <w:tcPr>
            <w:tcW w:w="110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center"/>
              <w:ind w:right="130"/>
              <w:spacing w:after="0"/>
              <w:rPr>
                <w:sz w:val="20"/>
                <w:szCs w:val="20"/>
                <w:color w:val="auto"/>
              </w:rPr>
            </w:pPr>
            <w:r>
              <w:rPr>
                <w:rFonts w:ascii="Times New Roman" w:cs="Times New Roman" w:eastAsia="Times New Roman" w:hAnsi="Times New Roman"/>
                <w:sz w:val="14"/>
                <w:szCs w:val="14"/>
                <w:color w:val="auto"/>
              </w:rPr>
              <w:t>Current</w:t>
            </w:r>
          </w:p>
        </w:tc>
        <w:tc>
          <w:tcPr>
            <w:tcW w:w="0" w:type="dxa"/>
            <w:vAlign w:val="bottom"/>
          </w:tcPr>
          <w:p>
            <w:pPr>
              <w:spacing w:after="0"/>
              <w:rPr>
                <w:sz w:val="1"/>
                <w:szCs w:val="1"/>
                <w:color w:val="auto"/>
              </w:rPr>
            </w:pPr>
          </w:p>
        </w:tc>
      </w:tr>
      <w:tr>
        <w:trPr>
          <w:trHeight w:val="171"/>
        </w:trPr>
        <w:tc>
          <w:tcPr>
            <w:tcW w:w="6740" w:type="dxa"/>
            <w:vAlign w:val="bottom"/>
          </w:tcPr>
          <w:p>
            <w:pPr>
              <w:ind w:left="2820"/>
              <w:spacing w:after="0"/>
              <w:rPr>
                <w:sz w:val="20"/>
                <w:szCs w:val="20"/>
                <w:color w:val="auto"/>
              </w:rPr>
            </w:pPr>
            <w:r>
              <w:rPr>
                <w:rFonts w:ascii="Times New Roman" w:cs="Times New Roman" w:eastAsia="Times New Roman" w:hAnsi="Times New Roman"/>
                <w:sz w:val="14"/>
                <w:szCs w:val="14"/>
                <w:color w:val="auto"/>
              </w:rPr>
              <w:t>description of asset</w:t>
            </w:r>
          </w:p>
        </w:tc>
        <w:tc>
          <w:tcPr>
            <w:tcW w:w="200" w:type="dxa"/>
            <w:vAlign w:val="bottom"/>
          </w:tcPr>
          <w:p>
            <w:pPr>
              <w:spacing w:after="0"/>
              <w:rPr>
                <w:sz w:val="14"/>
                <w:szCs w:val="14"/>
                <w:color w:val="auto"/>
              </w:rPr>
            </w:pP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Cost (a)</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center"/>
              <w:ind w:right="130"/>
              <w:spacing w:after="0"/>
              <w:rPr>
                <w:sz w:val="20"/>
                <w:szCs w:val="20"/>
                <w:color w:val="auto"/>
              </w:rPr>
            </w:pPr>
            <w:r>
              <w:rPr>
                <w:rFonts w:ascii="Times New Roman" w:cs="Times New Roman" w:eastAsia="Times New Roman" w:hAnsi="Times New Roman"/>
                <w:sz w:val="14"/>
                <w:szCs w:val="14"/>
                <w:color w:val="auto"/>
              </w:rPr>
              <w:t>value</w:t>
            </w:r>
          </w:p>
        </w:tc>
        <w:tc>
          <w:tcPr>
            <w:tcW w:w="0" w:type="dxa"/>
            <w:vAlign w:val="bottom"/>
          </w:tcPr>
          <w:p>
            <w:pPr>
              <w:spacing w:after="0"/>
              <w:rPr>
                <w:sz w:val="1"/>
                <w:szCs w:val="1"/>
                <w:color w:val="auto"/>
              </w:rPr>
            </w:pPr>
          </w:p>
        </w:tc>
      </w:tr>
      <w:tr>
        <w:trPr>
          <w:trHeight w:val="210"/>
        </w:trPr>
        <w:tc>
          <w:tcPr>
            <w:tcW w:w="6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*AbbVie Inc., common stock</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Abbott Laboratories, common stock</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Vanguard Federal Money Market Fund</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American Funds EuroPacific Growth Fund, Class R6</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Collective trust fund</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 Group Growth Fund of America Class U4</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 Group Washington Mutual Investment Trust Class U3</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FIAM Core Plus Collective Investment Trust Class U</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 Street Target Retirement 2025 Securities Lending Series Fund Class IV</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State Street Target Retirement 2030 Securities Lending Series Fund Class IV</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 Street Target Retirement 2035 Securities Lending Series Fund Class IV</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State Street Target Retirement 2040 Securities Lending Series Fund Class IV</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 Street Target Retirement 2045 Securities Lending Series Fund Class IV</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State Street Target Retirement 2050 Securities Lending Series Fund Class IV</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 Street Target Retirement 2055 Securities Lending Series Fund Class IV</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State Street Target Retirement 2060 Securities Lending Series Fund Class IV</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 Street Target Retirement 2065 Securities Lending Series Fund Class IV</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State Street Target Retirement 2070 Securities Lending Series Fund Class IV</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 Street Target Retirement Income Securities Lending Series Fund Class IV</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State Street Global Allcap Equity Ex-US Index Securities Lending Series Fund Class X</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 Street S&amp;P 500 Index Securities Lending Series Fund Class X</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State Street US Bond Index Securities Lending Series Fund Class X</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 Street US Extended Market Index Securities Lending Series Fund Class X</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Wellington CIF II SMID Cap Research Class S5</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Galliard Stable Return Fund X</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Self-directed brokerage accounts</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to participants, 3.25% to 8.50%</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7,771</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673,051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*Represents a party-in-interest transaction.</w:t>
      </w:r>
    </w:p>
    <w:p>
      <w:pPr>
        <w:spacing w:after="0" w:line="27" w:lineRule="exact"/>
        <w:rPr>
          <w:sz w:val="20"/>
          <w:szCs w:val="20"/>
          <w:color w:val="auto"/>
        </w:rPr>
      </w:pPr>
    </w:p>
    <w:p>
      <w:pPr>
        <w:ind w:left="4420" w:right="3439" w:hanging="4370"/>
        <w:spacing w:after="0" w:line="761" w:lineRule="auto"/>
        <w:tabs>
          <w:tab w:leader="none" w:pos="30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information omitted as all investments are fully participant directed.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57785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20" w:type="dxa"/>
            <w:vAlign w:val="bottom"/>
            <w:gridSpan w:val="4"/>
          </w:tcPr>
          <w:p>
            <w:pPr>
              <w:ind w:left="26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23"/>
        </w:trPr>
        <w:tc>
          <w:tcPr>
            <w:tcW w:w="920" w:type="dxa"/>
            <w:vAlign w:val="bottom"/>
          </w:tcPr>
          <w:p>
            <w:pPr>
              <w:spacing w:after="0"/>
              <w:rPr>
                <w:sz w:val="24"/>
                <w:szCs w:val="24"/>
                <w:color w:val="auto"/>
              </w:rPr>
            </w:pPr>
          </w:p>
        </w:tc>
        <w:tc>
          <w:tcPr>
            <w:tcW w:w="800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20"/>
                <w:szCs w:val="20"/>
                <w:color w:val="auto"/>
              </w:rPr>
            </w:pPr>
          </w:p>
        </w:tc>
        <w:tc>
          <w:tcPr>
            <w:tcW w:w="7800" w:type="dxa"/>
            <w:vAlign w:val="bottom"/>
            <w:tcBorders>
              <w:bottom w:val="single" w:sz="8" w:color="auto"/>
            </w:tcBorders>
            <w:gridSpan w:val="3"/>
          </w:tcPr>
          <w:p>
            <w:pPr>
              <w:ind w:left="36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20"/>
                <w:szCs w:val="20"/>
                <w:color w:val="auto"/>
              </w:rPr>
            </w:pPr>
          </w:p>
        </w:tc>
      </w:tr>
      <w:tr>
        <w:trPr>
          <w:trHeight w:val="385"/>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Consent of Independent Registered Public Accounting Firm — AbbVie Savings Plan</w:t>
            </w:r>
          </w:p>
        </w:tc>
        <w:tc>
          <w:tcPr>
            <w:tcW w:w="1700" w:type="dxa"/>
            <w:vAlign w:val="bottom"/>
            <w:gridSpan w:val="3"/>
          </w:tcPr>
          <w:p>
            <w:pPr>
              <w:spacing w:after="0"/>
              <w:rPr>
                <w:sz w:val="24"/>
                <w:szCs w:val="24"/>
                <w:color w:val="auto"/>
              </w:rPr>
            </w:pPr>
          </w:p>
        </w:tc>
      </w:tr>
      <w:tr>
        <w:trPr>
          <w:trHeight w:val="41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Consent of Independent Registered Public Accounting Firm — AbbVie Puerto Rico Savings Plan</w:t>
            </w:r>
          </w:p>
        </w:tc>
      </w:tr>
      <w:tr>
        <w:trPr>
          <w:trHeight w:val="1674"/>
        </w:trPr>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120" w:type="dxa"/>
            <w:vAlign w:val="bottom"/>
            <w:tcBorders>
              <w:top w:val="single" w:sz="8" w:color="0000EE"/>
              <w:bottom w:val="single" w:sz="8" w:color="auto"/>
            </w:tcBorders>
          </w:tcPr>
          <w:p>
            <w:pPr>
              <w:spacing w:after="0"/>
              <w:rPr>
                <w:sz w:val="24"/>
                <w:szCs w:val="24"/>
                <w:color w:val="auto"/>
              </w:rPr>
            </w:pPr>
          </w:p>
        </w:tc>
        <w:tc>
          <w:tcPr>
            <w:tcW w:w="900" w:type="dxa"/>
            <w:vAlign w:val="bottom"/>
            <w:tcBorders>
              <w:top w:val="single" w:sz="8" w:color="0000EE"/>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The Plan</w:t>
      </w:r>
      <w:r>
        <w:rPr>
          <w:rFonts w:ascii="Times New Roman" w:cs="Times New Roman" w:eastAsia="Times New Roman" w:hAnsi="Times New Roman"/>
          <w:sz w:val="18"/>
          <w:szCs w:val="18"/>
          <w:color w:val="auto"/>
        </w:rPr>
        <w:t>. 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ABBVIE SAVINGS PROGRAM</w:t>
            </w:r>
          </w:p>
        </w:tc>
        <w:tc>
          <w:tcPr>
            <w:tcW w:w="14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June 24, 2026</w:t>
            </w:r>
          </w:p>
        </w:tc>
        <w:tc>
          <w:tcPr>
            <w:tcW w:w="54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By: /s/ Andrew Brown</w:t>
            </w:r>
          </w:p>
        </w:tc>
      </w:tr>
      <w:tr>
        <w:trPr>
          <w:trHeight w:val="191"/>
        </w:trPr>
        <w:tc>
          <w:tcPr>
            <w:tcW w:w="35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96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Andrew Brown</w:t>
            </w:r>
          </w:p>
        </w:tc>
        <w:tc>
          <w:tcPr>
            <w:tcW w:w="20" w:type="dxa"/>
            <w:vAlign w:val="bottom"/>
          </w:tcPr>
          <w:p>
            <w:pPr>
              <w:spacing w:after="0"/>
              <w:rPr>
                <w:sz w:val="16"/>
                <w:szCs w:val="16"/>
                <w:color w:val="auto"/>
              </w:rPr>
            </w:pPr>
          </w:p>
        </w:tc>
      </w:tr>
      <w:tr>
        <w:trPr>
          <w:trHeight w:val="234"/>
        </w:trPr>
        <w:tc>
          <w:tcPr>
            <w:tcW w:w="35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Plan Administrator</w:t>
            </w:r>
          </w:p>
        </w:tc>
      </w:tr>
      <w:tr>
        <w:trPr>
          <w:trHeight w:val="1897"/>
        </w:trPr>
        <w:tc>
          <w:tcPr>
            <w:tcW w:w="35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No. 333-282982) pertaining to the AbbVie Savings Program of AbbVie Inc. of our report dated June 24, 2026, with respect to the financial statements and schedule of the AbbVie Savings Plan included in this Annual Report (Form 11-K) for the year ended December 31, 2025.</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No. 333-282982) pertaining to the AbbVie Savings Program of AbbVie Inc. of our report dated June 24, 2026, with respect to the financial statements and schedule of the AbbVie Puerto Rico Savings Plan included in this Annual Report (Form 11-K) for the year ended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upperLetter"/>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2026-06-24T17:15:01Z</dcterms:created>
  <dcterms:modified xsi:type="dcterms:W3CDTF">2026-06-24T17:15:01Z</dcterms:modified>
</cp:coreProperties>
</file>