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UNITED STATES</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SECURITIES AND EXCHANGE COMMISSION</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Washington, D.C. 20549</w:t>
      </w:r>
    </w:p>
    <w:p>
      <w:pPr>
        <w:pStyle w:val="TextBody"/>
        <w:bidi w:val="0"/>
        <w:spacing w:lineRule="auto" w:line="288" w:before="0" w:after="0"/>
        <w:jc w:val="center"/>
        <w:rPr>
          <w:color w:val="000000"/>
        </w:rPr>
      </w:pPr>
      <w:r>
        <w:rPr>
          <w:color w:val="000000"/>
        </w:rPr>
        <w:t> </w:t>
      </w:r>
      <w:r>
        <w:rPr>
          <w:rFonts w:ascii="sans-serif" w:hAnsi="sans-serif"/>
          <w:b w:val="false"/>
          <w:color w:val="000000"/>
          <w:sz w:val="20"/>
        </w:rPr>
        <w:t>_____________________________________________________</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FORM 8-K</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CURRENT REPORT</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Pursuant to Section 13 or 15(d) of the</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 xml:space="preserve">Date of Report (Date of earliest event reported): July 31,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ABBVIE INC.</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(Exact name of registrant as specified in its charter)</w:t>
      </w:r>
    </w:p>
    <w:tbl>
      <w:tblPr>
        <w:tblW w:w="7928" w:type="dxa"/>
        <w:jc w:val="left"/>
        <w:tblInd w:w="0" w:type="dxa"/>
        <w:tblLayout w:type="fixed"/>
        <w:tblCellMar>
          <w:top w:w="28" w:type="dxa"/>
          <w:left w:w="28" w:type="dxa"/>
          <w:bottom w:w="28" w:type="dxa"/>
          <w:right w:w="28" w:type="dxa"/>
        </w:tblCellMar>
      </w:tblPr>
      <w:tblGrid>
        <w:gridCol w:w="967"/>
        <w:gridCol w:w="849"/>
        <w:gridCol w:w="854"/>
        <w:gridCol w:w="109"/>
        <w:gridCol w:w="109"/>
        <w:gridCol w:w="109"/>
        <w:gridCol w:w="902"/>
        <w:gridCol w:w="902"/>
        <w:gridCol w:w="910"/>
        <w:gridCol w:w="109"/>
        <w:gridCol w:w="109"/>
        <w:gridCol w:w="109"/>
        <w:gridCol w:w="554"/>
        <w:gridCol w:w="554"/>
        <w:gridCol w:w="782"/>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001-35565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32-0375147</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(IRS Employer</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Identification No.)</w:t>
            </w:r>
          </w:p>
        </w:tc>
      </w:tr>
    </w:tbl>
    <w:p>
      <w:pPr>
        <w:pStyle w:val="TextBody"/>
        <w:bidi w:val="0"/>
        <w:spacing w:lineRule="auto" w:line="288" w:before="0" w:after="0"/>
        <w:jc w:val="center"/>
        <w:rPr>
          <w:color w:val="000000"/>
        </w:rPr>
      </w:pPr>
      <w:r>
        <w:rPr>
          <w:color w:val="000000"/>
        </w:rPr>
        <w:t> </w:t>
      </w:r>
      <w:r>
        <w:rPr>
          <w:rFonts w:ascii="sans-serif" w:hAnsi="sans-serif"/>
          <w:b w:val="false"/>
          <w:color w:val="000000"/>
          <w:sz w:val="20"/>
        </w:rPr>
        <w:t>_____________________________________________________</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1 North Waukegan Road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North Chicago, Illinois 60064-6400</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(Address of principal executive offices)(Zip Code)</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pPr>
      <w:r>
        <w:rPr>
          <w:rFonts w:ascii="sans-serif" w:hAnsi="sans-serif"/>
          <w:b w:val="false"/>
          <w:color w:val="000000"/>
          <w:sz w:val="20"/>
        </w:rPr>
        <w:t xml:space="preserve">Registrant’s telephone number, including area code:  </w:t>
      </w:r>
      <w:r>
        <w:rPr>
          <w:rFonts w:ascii="sans-serif" w:hAnsi="sans-serif"/>
          <w:b/>
          <w:color w:val="000000"/>
          <w:sz w:val="20"/>
        </w:rPr>
        <w:t>(847) 932-7900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left"/>
        <w:rPr/>
      </w:pPr>
      <w:r>
        <w:rPr>
          <w:color w:val="000000"/>
        </w:rPr>
        <w:t xml:space="preserve">☐                      </w:t>
      </w:r>
      <w:r>
        <w:rPr>
          <w:rFonts w:ascii="sans-serif" w:hAnsi="sans-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sans-serif" w:hAnsi="sans-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xml:space="preserve">☐                      </w:t>
      </w:r>
      <w:r>
        <w:rPr>
          <w:rFonts w:ascii="sans-serif" w:hAnsi="sans-serif"/>
          <w:b w:val="false"/>
          <w:color w:val="000000"/>
          <w:sz w:val="20"/>
        </w:rPr>
        <w:t>Pre-commencement communications pursuant to Rule 14d-2(b) under the Exchange Act (17 CFR 240.14d-2(b))</w:t>
      </w:r>
    </w:p>
    <w:p>
      <w:pPr>
        <w:pStyle w:val="TextBody"/>
        <w:bidi w:val="0"/>
        <w:spacing w:lineRule="auto" w:line="288" w:before="0" w:after="120"/>
        <w:jc w:val="left"/>
        <w:rPr/>
      </w:pPr>
      <w:r>
        <w:rPr>
          <w:color w:val="000000"/>
        </w:rPr>
        <w:t xml:space="preserve">☐                      </w:t>
      </w:r>
      <w:r>
        <w:rPr>
          <w:rFonts w:ascii="sans-serif" w:hAnsi="sans-serif"/>
          <w:b w:val="false"/>
          <w:color w:val="000000"/>
          <w:sz w:val="20"/>
        </w:rPr>
        <w:t>Pre-commencement communications pursuant to Rule 13e-4(c) under the Exchange Act (17 CFR 240.13e-4(c))</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094"/>
        <w:gridCol w:w="962"/>
        <w:gridCol w:w="963"/>
        <w:gridCol w:w="109"/>
        <w:gridCol w:w="109"/>
        <w:gridCol w:w="109"/>
        <w:gridCol w:w="656"/>
        <w:gridCol w:w="656"/>
        <w:gridCol w:w="658"/>
        <w:gridCol w:w="109"/>
        <w:gridCol w:w="109"/>
        <w:gridCol w:w="109"/>
        <w:gridCol w:w="1334"/>
        <w:gridCol w:w="1334"/>
        <w:gridCol w:w="1894"/>
      </w:tblGrid>
      <w:tr>
        <w:trPr/>
        <w:tc>
          <w:tcPr>
            <w:tcW w:w="109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Name of each exchange on which registered</w:t>
            </w:r>
          </w:p>
        </w:tc>
      </w:tr>
      <w:tr>
        <w:trPr/>
        <w:tc>
          <w:tcPr>
            <w:tcW w:w="3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ABBV</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New York Stock Exchange</w:t>
            </w:r>
          </w:p>
        </w:tc>
      </w:tr>
      <w:tr>
        <w:trPr/>
        <w:tc>
          <w:tcPr>
            <w:tcW w:w="3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NYSE Texas</w:t>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0.750% Senior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ABBV27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New York Stock Exchange</w:t>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2.125%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ABBV28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New York Stock Exchange</w:t>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2.625%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ABBV28B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New York Stock Exchange</w:t>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2.125% Senior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ABBV29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New York Stock Exchange</w:t>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1.250% Senior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ABBV31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New York Stock Exchange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rFonts w:ascii="sans-serif" w:hAnsi="sans-serif"/>
          <w:b w:val="false"/>
          <w:color w:val="000000"/>
          <w:sz w:val="20"/>
        </w:rPr>
        <w:t xml:space="preserve">Emerging growth company </w:t>
      </w:r>
      <w:r>
        <w:rPr>
          <w:color w:val="000000"/>
        </w:rPr>
        <w:t>☐   </w:t>
      </w:r>
    </w:p>
    <w:p>
      <w:pPr>
        <w:pStyle w:val="TextBody"/>
        <w:bidi w:val="0"/>
        <w:spacing w:lineRule="auto" w:line="288" w:before="0" w:after="0"/>
        <w:jc w:val="left"/>
        <w:rPr/>
      </w:pPr>
      <w:r>
        <w:rPr>
          <w:rFonts w:ascii="sans-serif" w:hAnsi="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Item 2.02  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On July 31, 2026, AbbVie Inc. issued a press release announcing financial results for the second quarter ended June 30, 2026.  A copy of the press release is furnished as Exhibit 99.1 to this report and incorporated herein by reference.</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(d) Exhibits</w:t>
      </w:r>
    </w:p>
    <w:tbl>
      <w:tblPr>
        <w:tblW w:w="10205" w:type="dxa"/>
        <w:jc w:val="left"/>
        <w:tblInd w:w="0" w:type="dxa"/>
        <w:tblLayout w:type="fixed"/>
        <w:tblCellMar>
          <w:top w:w="28" w:type="dxa"/>
          <w:left w:w="28" w:type="dxa"/>
          <w:bottom w:w="28" w:type="dxa"/>
          <w:right w:w="28" w:type="dxa"/>
        </w:tblCellMar>
      </w:tblPr>
      <w:tblGrid>
        <w:gridCol w:w="487"/>
        <w:gridCol w:w="428"/>
        <w:gridCol w:w="431"/>
        <w:gridCol w:w="109"/>
        <w:gridCol w:w="109"/>
        <w:gridCol w:w="109"/>
        <w:gridCol w:w="2492"/>
        <w:gridCol w:w="2492"/>
        <w:gridCol w:w="3548"/>
      </w:tblGrid>
      <w:tr>
        <w:trPr/>
        <w:tc>
          <w:tcPr>
            <w:tcW w:w="4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3548" w:type="dxa"/>
            <w:tcBorders/>
            <w:vAlign w:val="center"/>
          </w:tcPr>
          <w:p>
            <w:pPr>
              <w:pStyle w:val="TableContents"/>
              <w:bidi w:val="0"/>
              <w:spacing w:before="0" w:after="283"/>
              <w:jc w:val="left"/>
              <w:rPr>
                <w:sz w:val="4"/>
                <w:szCs w:val="4"/>
              </w:rPr>
            </w:pPr>
            <w:r>
              <w:rPr>
                <w:sz w:val="4"/>
                <w:szCs w:val="4"/>
              </w:rPr>
            </w:r>
          </w:p>
        </w:tc>
      </w:tr>
      <w:tr>
        <w:trPr/>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Exhibit</w:t>
            </w:r>
          </w:p>
        </w:tc>
      </w:tr>
      <w:tr>
        <w:trPr/>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bbv-20260630xexhibit991.htm">
              <w:r>
                <w:rPr>
                  <w:rStyle w:val="InternetLink"/>
                  <w:rFonts w:ascii="sans-serif" w:hAnsi="sans-serif"/>
                  <w:b w:val="false"/>
                  <w:color w:val="000000"/>
                  <w:sz w:val="22"/>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bbv-20260630xexhibit991.htm">
              <w:r>
                <w:rPr>
                  <w:rStyle w:val="InternetLink"/>
                  <w:rFonts w:ascii="sans-serif" w:hAnsi="sans-serif"/>
                  <w:b w:val="false"/>
                  <w:color w:val="000080"/>
                  <w:sz w:val="22"/>
                </w:rPr>
                <w:t xml:space="preserve">Press Release dated </w:t>
              </w:r>
            </w:hyperlink>
            <w:hyperlink w:anchor="abbv-20260630xexhibit991.htm">
              <w:r>
                <w:rPr>
                  <w:rStyle w:val="InternetLink"/>
                  <w:rFonts w:ascii="sans-serif" w:hAnsi="sans-serif"/>
                  <w:b w:val="false"/>
                  <w:color w:val="000080"/>
                  <w:sz w:val="22"/>
                </w:rPr>
                <w:t>Jul</w:t>
              </w:r>
            </w:hyperlink>
            <w:hyperlink w:anchor="abbv-20260630xexhibit991.htm">
              <w:r>
                <w:rPr>
                  <w:rStyle w:val="InternetLink"/>
                  <w:rFonts w:ascii="sans-serif" w:hAnsi="sans-serif"/>
                  <w:b w:val="false"/>
                  <w:color w:val="000080"/>
                  <w:sz w:val="22"/>
                </w:rPr>
                <w:t>y</w:t>
              </w:r>
            </w:hyperlink>
            <w:hyperlink w:anchor="abbv-20260630xexhibit991.htm">
              <w:r>
                <w:rPr>
                  <w:rStyle w:val="InternetLink"/>
                  <w:rFonts w:ascii="sans-serif" w:hAnsi="sans-serif"/>
                  <w:b w:val="false"/>
                  <w:color w:val="000080"/>
                  <w:sz w:val="22"/>
                </w:rPr>
                <w:t xml:space="preserve"> 31</w:t>
              </w:r>
            </w:hyperlink>
            <w:hyperlink w:anchor="abbv-20260630xexhibit991.htm">
              <w:r>
                <w:rPr>
                  <w:rStyle w:val="InternetLink"/>
                  <w:rFonts w:ascii="sans-serif" w:hAnsi="sans-serif"/>
                  <w:b w:val="false"/>
                  <w:color w:val="000080"/>
                  <w:sz w:val="22"/>
                </w:rPr>
                <w:t>, 2026 (furnished pursuant to Item 2.02).</w:t>
              </w:r>
            </w:hyperlink>
          </w:p>
        </w:tc>
      </w:tr>
      <w:tr>
        <w:trPr/>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The cover page from this Current Report on Form 8-K formatted in Inline XBRL (included as Exhibit 101).</w:t>
            </w:r>
          </w:p>
        </w:tc>
      </w:tr>
    </w:tbl>
    <w:p>
      <w:pPr>
        <w:pStyle w:val="TextBody"/>
        <w:bidi w:val="0"/>
        <w:spacing w:before="0" w:after="0"/>
        <w:ind w:left="0" w:right="0" w:hanging="10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center"/>
        <w:rPr>
          <w:color w:val="000000"/>
        </w:rPr>
      </w:pPr>
      <w:r>
        <w:rPr>
          <w:color w:val="000000"/>
        </w:rPr>
        <w:t> </w:t>
      </w:r>
    </w:p>
    <w:tbl>
      <w:tblPr>
        <w:tblW w:w="5834" w:type="dxa"/>
        <w:jc w:val="left"/>
        <w:tblInd w:w="0" w:type="dxa"/>
        <w:tblLayout w:type="fixed"/>
        <w:tblCellMar>
          <w:top w:w="28" w:type="dxa"/>
          <w:left w:w="28" w:type="dxa"/>
          <w:bottom w:w="28" w:type="dxa"/>
          <w:right w:w="28" w:type="dxa"/>
        </w:tblCellMar>
      </w:tblPr>
      <w:tblGrid>
        <w:gridCol w:w="266"/>
        <w:gridCol w:w="233"/>
        <w:gridCol w:w="236"/>
        <w:gridCol w:w="544"/>
        <w:gridCol w:w="544"/>
        <w:gridCol w:w="547"/>
        <w:gridCol w:w="154"/>
        <w:gridCol w:w="154"/>
        <w:gridCol w:w="156"/>
        <w:gridCol w:w="876"/>
        <w:gridCol w:w="876"/>
        <w:gridCol w:w="1248"/>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ABBVIE INC.</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Date:</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July 31, 2026</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By:</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 Scott T. Reents</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Scott T. Reents</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Executive Vice President,</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Chief Financial Officer</w:t>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428750" cy="238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28750" cy="2381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480" w:after="283"/>
        <w:jc w:val="left"/>
        <w:rPr>
          <w:rFonts w:ascii="sans-serif" w:hAnsi="sans-serif"/>
          <w:b/>
          <w:color w:val="071D49"/>
          <w:sz w:val="32"/>
        </w:rPr>
      </w:pPr>
      <w:r>
        <w:rPr>
          <w:rFonts w:ascii="sans-serif" w:hAnsi="sans-serif"/>
          <w:b/>
          <w:color w:val="071D49"/>
          <w:sz w:val="32"/>
        </w:rPr>
        <w:t>PRESS RELEASE</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8"/>
        </w:rPr>
      </w:pPr>
      <w:r>
        <w:rPr>
          <w:rFonts w:ascii="sans-serif" w:hAnsi="sans-serif"/>
          <w:b/>
          <w:color w:val="000000"/>
          <w:sz w:val="28"/>
        </w:rPr>
        <w:t>AbbVie Reports Second-Quarter 2026 Financial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i/>
          <w:color w:val="000000"/>
          <w:sz w:val="22"/>
        </w:rPr>
        <w:t xml:space="preserve">Reports Second-Quarter Diluted EPS of $2.03 on a GAAP Basis, an Increase of 290.4 Percent; Adjusted Diluted EPS of $3.65, an Increase of 22.9 Percent; These Results Include an Unfavorable Impact of $0.17 Per Share Related to Acquired IPR&amp;D and Milestones Expense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i/>
          <w:color w:val="000000"/>
          <w:sz w:val="22"/>
        </w:rPr>
        <w:t>Delivers Second-Quarter Net Revenues of $16.990 Billion, an Increase of 10.2 Percent on a Reported Basis or 9.5 Percent on an Operational Basis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i/>
          <w:color w:val="000000"/>
          <w:sz w:val="22"/>
        </w:rPr>
        <w:t>Second-Quarter Global Net Revenues from the Immunology Portfolio Were $8.786 Billion, an Increase of 15.1 Percent on a Reported Basis, or 14.6 Percent on an Operational Basis; Global Skyrizi Net Revenues Were $5.505 Billion; Global Rinvoq Net Revenues Were $2.525 Billion; Global Humira Net Revenues Were $756 Million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i/>
          <w:color w:val="000000"/>
          <w:sz w:val="22"/>
        </w:rPr>
        <w:t>Second-Quarter Global Net Revenues from the Neuroscience Portfolio Were $3.228 Billion, an Increase of 20.3 Percent on a Reported Basis, or 19.8 Percent on an Operational Basis; Global Vraylar Net Revenues Were $1.071 Billion; Global Botox Therapeutic Net Revenues Were $1.042 Billion; Combined Global Ubrelvy and Qulipta Net Revenues Were $742 Million; Global Vyalev Net Revenues Were $256 Million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i/>
          <w:color w:val="000000"/>
          <w:sz w:val="22"/>
        </w:rPr>
        <w:t>Second-Quarter Global Net Revenues from the Oncology Portfolio Were $1.650 Billion, a Decrease of 1.5 Percent on a Reported Basis, or 2.4 Percent on an Operational Basis; Global Venclexta Net Revenues Were $771 Million; Global Imbruvica Net Revenues Were $532 Million; Global Elahere Net Revenues Were $211 Million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i/>
          <w:color w:val="000000"/>
          <w:sz w:val="22"/>
        </w:rPr>
        <w:t>Second-Quarter Global Net Revenues from the Aesthetics Portfolio Were $1.282 Billion, an Increase of 0.3 Percent on a Reported Basis, or a Decrease of 0.9 Percent on an Operational Basis; Global Botox Cosmetic Net Revenues Were $728 Million; Global Juvederm Net Revenues Were $245 Million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i/>
          <w:color w:val="000000"/>
          <w:sz w:val="22"/>
        </w:rPr>
        <w:t>Announced Definitive Agreement to Acquire Apogee Therapeutics, Deepening AbbVie's Immunology Portfolio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i/>
          <w:color w:val="000000"/>
          <w:sz w:val="22"/>
        </w:rPr>
        <w:t xml:space="preserve">Updates 2026 Adjusted Diluted EPS Guidance Range from $13.91 - $14.11 to $13.87 - $14.07; Now Includes a $0.14 per Share Dilutive Impact Related to the Proposed Acquisition of Apogee Therapeutics, Which is Anticipated to Close in the Third Quarter of 2026; Includes an Unfavorable Impact of $0.58 Per Share Related to Acquired IPR&amp;D and Milestones Expense Incurred Year-To-Date Through the Second Quarter 2026 </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jc w:val="left"/>
        <w:rPr/>
      </w:pPr>
      <w:r>
        <w:rPr>
          <w:rFonts w:ascii="sans-serif" w:hAnsi="sans-serif"/>
          <w:b/>
          <w:color w:val="000000"/>
          <w:sz w:val="22"/>
        </w:rPr>
        <w:t>NORTH CHICAGO, Ill.,</w:t>
      </w:r>
      <w:r>
        <w:rPr>
          <w:color w:val="000000"/>
        </w:rPr>
        <w:t xml:space="preserve"> </w:t>
      </w:r>
      <w:r>
        <w:rPr>
          <w:rFonts w:ascii="sans-serif" w:hAnsi="sans-serif"/>
          <w:b w:val="false"/>
          <w:color w:val="000000"/>
          <w:sz w:val="22"/>
        </w:rPr>
        <w:t>July 31, 2026 – AbbVie (NYSE:ABBV) announced financial results for the second quarter ended June 30, 2026.</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color w:val="000000"/>
        </w:rPr>
      </w:pPr>
      <w:r>
        <w:rPr>
          <w:color w:val="000000"/>
        </w:rPr>
        <w:t>“</w:t>
      </w:r>
      <w:r>
        <w:rPr>
          <w:rFonts w:ascii="sans-serif" w:hAnsi="sans-serif"/>
          <w:b w:val="false"/>
          <w:color w:val="000000"/>
          <w:sz w:val="22"/>
        </w:rPr>
        <w:t>AbbVie delivered another excellent quarter, marked by outstanding execution and pipeline advancement. We also announced the proposed acquisition of Apogee Therapeutics, which strengthens our ability to deliver innovative medicines to patients, bolsters our immunology leadership and creates significant shareholder value,” said Robert A. Michael, chairman and chief executive officer, AbbVie. “Based on our substantial momentum, AbbVie's long-term outlook remains very strong.”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010920"/>
                <wp:effectExtent l="0" t="0" r="0" b="0"/>
                <wp:wrapNone/>
                <wp:docPr id="5" name="Frame4"/>
                <a:graphic xmlns:a="http://schemas.openxmlformats.org/drawingml/2006/main">
                  <a:graphicData uri="http://schemas.microsoft.com/office/word/2010/wordprocessingShape">
                    <wps:wsp>
                      <wps:cNvSpPr txBox="1"/>
                      <wps:spPr>
                        <a:xfrm>
                          <a:off x="0" y="0"/>
                          <a:ext cx="6480175" cy="1010920"/>
                        </a:xfrm>
                        <a:prstGeom prst="rect"/>
                        <a:solidFill>
                          <a:srgbClr val="FFFFFF"/>
                        </a:solidFill>
                      </wps:spPr>
                      <wps:txbx>
                        <w:txbxContent>
                          <w:p>
                            <w:pPr>
                              <w:pStyle w:val="TextBody"/>
                              <w:bidi w:val="0"/>
                              <w:spacing w:before="0" w:after="0"/>
                              <w:jc w:val="left"/>
                              <w:rPr/>
                            </w:pPr>
                            <w:r>
                              <w:rPr/>
                            </w:r>
                            <w:r>
                              <w:br w:type="page"/>
                            </w:r>
                          </w:p>
                          <w:tbl>
                            <w:tblPr>
                              <w:tblW w:w="10205" w:type="dxa"/>
                              <w:jc w:val="left"/>
                              <w:tblInd w:w="0" w:type="dxa"/>
                              <w:tblLayout w:type="fixed"/>
                              <w:tblCellMar>
                                <w:top w:w="28" w:type="dxa"/>
                                <w:left w:w="28" w:type="dxa"/>
                                <w:bottom w:w="28" w:type="dxa"/>
                                <w:right w:w="28" w:type="dxa"/>
                              </w:tblCellMar>
                            </w:tblPr>
                            <w:tblGrid>
                              <w:gridCol w:w="1815"/>
                              <w:gridCol w:w="1600"/>
                              <w:gridCol w:w="1600"/>
                              <w:gridCol w:w="1600"/>
                              <w:gridCol w:w="1600"/>
                              <w:gridCol w:w="1616"/>
                              <w:gridCol w:w="109"/>
                              <w:gridCol w:w="109"/>
                              <w:gridCol w:w="156"/>
                            </w:tblGrid>
                            <w:tr>
                              <w:trPr/>
                              <w:tc>
                                <w:tcPr>
                                  <w:tcW w:w="1815"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Note: "Operational" comparisons are presented at constant currency rates that reflect comparative local currency net revenues at the prior year's foreign exchange rates.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15"/>
                        <w:gridCol w:w="1600"/>
                        <w:gridCol w:w="1600"/>
                        <w:gridCol w:w="1600"/>
                        <w:gridCol w:w="1600"/>
                        <w:gridCol w:w="1616"/>
                        <w:gridCol w:w="109"/>
                        <w:gridCol w:w="109"/>
                        <w:gridCol w:w="156"/>
                      </w:tblGrid>
                      <w:tr>
                        <w:trPr/>
                        <w:tc>
                          <w:tcPr>
                            <w:tcW w:w="1815"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Note: "Operational" comparisons are presented at constant currency rates that reflect comparative local currency net revenues at the prior year's foreign exchange rates.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3" w:before="0" w:after="0"/>
        <w:jc w:val="left"/>
        <w:rPr>
          <w:rFonts w:ascii="sans-serif" w:hAnsi="sans-serif"/>
          <w:b/>
          <w:color w:val="000000"/>
          <w:sz w:val="22"/>
        </w:rPr>
      </w:pPr>
      <w:r>
        <w:rPr>
          <w:rFonts w:ascii="sans-serif" w:hAnsi="sans-serif"/>
          <w:b/>
          <w:color w:val="000000"/>
          <w:sz w:val="22"/>
        </w:rPr>
        <w:t>Second-Quarter Results</w:t>
      </w:r>
    </w:p>
    <w:p>
      <w:pPr>
        <w:pStyle w:val="TextBody"/>
        <w:bidi w:val="0"/>
        <w:spacing w:before="0" w:after="0"/>
        <w:jc w:val="left"/>
        <w:rPr/>
      </w:pPr>
      <w:r>
        <w:rPr/>
      </w:r>
    </w:p>
    <w:p>
      <w:pPr>
        <w:pStyle w:val="TextBody"/>
        <w:bidi w:val="0"/>
        <w:spacing w:lineRule="auto" w:line="283" w:before="0" w:after="0"/>
        <w:ind w:left="0" w:right="0" w:hanging="360"/>
        <w:jc w:val="left"/>
        <w:rPr/>
      </w:pPr>
      <w:r>
        <w:rPr>
          <w:color w:val="000000"/>
        </w:rPr>
        <w:t>•</w:t>
      </w:r>
      <w:r>
        <w:rPr>
          <w:rFonts w:ascii="sans-serif" w:hAnsi="sans-serif"/>
          <w:b w:val="false"/>
          <w:color w:val="000000"/>
          <w:sz w:val="22"/>
        </w:rPr>
        <w:t>Worldwide net revenues were $16.990 billion, an increase of 10.2 percent on a reported basis, or 9.5 percent on an operational basis.</w:t>
      </w:r>
    </w:p>
    <w:p>
      <w:pPr>
        <w:pStyle w:val="TextBody"/>
        <w:bidi w:val="0"/>
        <w:spacing w:before="0" w:after="0"/>
        <w:jc w:val="left"/>
        <w:rPr/>
      </w:pPr>
      <w:r>
        <w:rPr/>
      </w:r>
    </w:p>
    <w:p>
      <w:pPr>
        <w:pStyle w:val="TextBody"/>
        <w:bidi w:val="0"/>
        <w:spacing w:lineRule="auto" w:line="283" w:before="40" w:after="283"/>
        <w:ind w:left="0" w:right="0" w:hanging="360"/>
        <w:jc w:val="left"/>
        <w:rPr/>
      </w:pPr>
      <w:r>
        <w:rPr>
          <w:color w:val="000000"/>
        </w:rPr>
        <w:t>•</w:t>
      </w:r>
      <w:r>
        <w:rPr>
          <w:rFonts w:ascii="sans-serif" w:hAnsi="sans-serif"/>
          <w:b w:val="false"/>
          <w:color w:val="000000"/>
          <w:sz w:val="22"/>
        </w:rPr>
        <w:t>Global net revenues from the immunology portfolio were $8.786 billion, an increase of 15.1 percent on a reported basis, or 14.6 percent on an operational basis.</w:t>
      </w:r>
    </w:p>
    <w:p>
      <w:pPr>
        <w:pStyle w:val="TextBody"/>
        <w:bidi w:val="0"/>
        <w:spacing w:lineRule="auto" w:line="283" w:before="0" w:after="0"/>
        <w:ind w:left="0" w:right="0" w:hanging="360"/>
        <w:jc w:val="left"/>
        <w:rPr/>
      </w:pPr>
      <w:r>
        <w:rPr>
          <w:color w:val="000000"/>
        </w:rPr>
        <w:t>◦</w:t>
      </w:r>
      <w:r>
        <w:rPr>
          <w:rFonts w:ascii="sans-serif" w:hAnsi="sans-serif"/>
          <w:b w:val="false"/>
          <w:color w:val="000000"/>
          <w:sz w:val="22"/>
        </w:rPr>
        <w:t>Global Skyrizi net revenues were $5.505 billion, an increase of 24.4 percent on a reported basis, or 24.0 percent on an operational basis.</w:t>
      </w:r>
    </w:p>
    <w:p>
      <w:pPr>
        <w:pStyle w:val="TextBody"/>
        <w:bidi w:val="0"/>
        <w:spacing w:lineRule="auto" w:line="283" w:before="0" w:after="0"/>
        <w:ind w:left="0" w:right="0" w:hanging="360"/>
        <w:jc w:val="left"/>
        <w:rPr/>
      </w:pPr>
      <w:r>
        <w:rPr>
          <w:color w:val="000000"/>
        </w:rPr>
        <w:t>◦</w:t>
      </w:r>
      <w:r>
        <w:rPr>
          <w:rFonts w:ascii="sans-serif" w:hAnsi="sans-serif"/>
          <w:b w:val="false"/>
          <w:color w:val="000000"/>
          <w:sz w:val="22"/>
        </w:rPr>
        <w:t>Global Rinvoq net revenues were $2.525 billion, an increase of 24.5 percent on a reported basis, or 23.7 percent on an operational basis.</w:t>
      </w:r>
    </w:p>
    <w:p>
      <w:pPr>
        <w:pStyle w:val="TextBody"/>
        <w:bidi w:val="0"/>
        <w:spacing w:lineRule="auto" w:line="283" w:before="0" w:after="0"/>
        <w:ind w:left="0" w:right="0" w:hanging="360"/>
        <w:jc w:val="left"/>
        <w:rPr/>
      </w:pPr>
      <w:r>
        <w:rPr>
          <w:color w:val="000000"/>
        </w:rPr>
        <w:t>◦</w:t>
      </w:r>
      <w:r>
        <w:rPr>
          <w:rFonts w:ascii="sans-serif" w:hAnsi="sans-serif"/>
          <w:b w:val="false"/>
          <w:color w:val="000000"/>
          <w:sz w:val="22"/>
        </w:rPr>
        <w:t xml:space="preserve">Global Humira net revenues were $756 million, a decrease of 35.9 percent on a reported basis, or 36.1 percent on an operational basis. </w:t>
      </w:r>
    </w:p>
    <w:p>
      <w:pPr>
        <w:pStyle w:val="TextBody"/>
        <w:bidi w:val="0"/>
        <w:spacing w:before="0" w:after="0"/>
        <w:jc w:val="left"/>
        <w:rPr/>
      </w:pPr>
      <w:r>
        <w:rPr/>
      </w:r>
    </w:p>
    <w:p>
      <w:pPr>
        <w:pStyle w:val="TextBody"/>
        <w:bidi w:val="0"/>
        <w:spacing w:lineRule="auto" w:line="283" w:before="40" w:after="283"/>
        <w:ind w:left="0" w:right="0" w:hanging="360"/>
        <w:jc w:val="left"/>
        <w:rPr/>
      </w:pPr>
      <w:r>
        <w:rPr>
          <w:color w:val="000000"/>
        </w:rPr>
        <w:t>•</w:t>
      </w:r>
      <w:r>
        <w:rPr>
          <w:rFonts w:ascii="sans-serif" w:hAnsi="sans-serif"/>
          <w:b w:val="false"/>
          <w:color w:val="000000"/>
          <w:sz w:val="22"/>
        </w:rPr>
        <w:t xml:space="preserve">Global net revenues from the neuroscience portfolio were $3.228 billion, an increase of 20.3 percent on a reported basis, or 19.8 percent on an operational basis. </w:t>
      </w:r>
    </w:p>
    <w:p>
      <w:pPr>
        <w:pStyle w:val="TextBody"/>
        <w:bidi w:val="0"/>
        <w:spacing w:lineRule="auto" w:line="283" w:before="0" w:after="0"/>
        <w:ind w:left="0" w:right="0" w:hanging="360"/>
        <w:jc w:val="left"/>
        <w:rPr/>
      </w:pPr>
      <w:r>
        <w:rPr>
          <w:color w:val="000000"/>
        </w:rPr>
        <w:t>◦</w:t>
      </w:r>
      <w:r>
        <w:rPr>
          <w:rFonts w:ascii="sans-serif" w:hAnsi="sans-serif"/>
          <w:b w:val="false"/>
          <w:color w:val="000000"/>
          <w:sz w:val="22"/>
        </w:rPr>
        <w:t>Global Vraylar net revenues were $1.071 billion, an increase of 18.9 percent.</w:t>
      </w:r>
    </w:p>
    <w:p>
      <w:pPr>
        <w:pStyle w:val="TextBody"/>
        <w:bidi w:val="0"/>
        <w:spacing w:lineRule="auto" w:line="283" w:before="0" w:after="0"/>
        <w:ind w:left="0" w:right="0" w:hanging="360"/>
        <w:jc w:val="left"/>
        <w:rPr/>
      </w:pPr>
      <w:r>
        <w:rPr>
          <w:color w:val="000000"/>
        </w:rPr>
        <w:t>◦</w:t>
      </w:r>
      <w:r>
        <w:rPr>
          <w:rFonts w:ascii="sans-serif" w:hAnsi="sans-serif"/>
          <w:b w:val="false"/>
          <w:color w:val="000000"/>
          <w:sz w:val="22"/>
        </w:rPr>
        <w:t>Global Botox Therapeutic net revenues were $1.042 billion, an increase of 12.2 percent on a reported basis, or 11.6 percent on an operational basis.</w:t>
      </w:r>
    </w:p>
    <w:p>
      <w:pPr>
        <w:pStyle w:val="TextBody"/>
        <w:bidi w:val="0"/>
        <w:spacing w:lineRule="auto" w:line="283" w:before="0" w:after="0"/>
        <w:ind w:left="0" w:right="0" w:hanging="360"/>
        <w:jc w:val="left"/>
        <w:rPr/>
      </w:pPr>
      <w:r>
        <w:rPr>
          <w:color w:val="000000"/>
        </w:rPr>
        <w:t>◦</w:t>
      </w:r>
      <w:r>
        <w:rPr>
          <w:rFonts w:ascii="sans-serif" w:hAnsi="sans-serif"/>
          <w:b w:val="false"/>
          <w:color w:val="000000"/>
          <w:sz w:val="22"/>
        </w:rPr>
        <w:t>Global Ubrelvy net revenues were $392 million, an increase of 16.0 percent on a reported basis, or 15.9 percent</w:t>
      </w:r>
      <w:r>
        <w:rPr>
          <w:color w:val="000000"/>
        </w:rPr>
        <w:t xml:space="preserve"> </w:t>
      </w:r>
      <w:r>
        <w:rPr>
          <w:rFonts w:ascii="sans-serif" w:hAnsi="sans-serif"/>
          <w:b w:val="false"/>
          <w:color w:val="000000"/>
          <w:sz w:val="22"/>
        </w:rPr>
        <w:t>on an operational basis.</w:t>
      </w:r>
    </w:p>
    <w:p>
      <w:pPr>
        <w:pStyle w:val="TextBody"/>
        <w:bidi w:val="0"/>
        <w:spacing w:lineRule="auto" w:line="283" w:before="0" w:after="0"/>
        <w:ind w:left="0" w:right="0" w:hanging="360"/>
        <w:jc w:val="left"/>
        <w:rPr/>
      </w:pPr>
      <w:r>
        <w:rPr>
          <w:color w:val="000000"/>
        </w:rPr>
        <w:t>◦</w:t>
      </w:r>
      <w:r>
        <w:rPr>
          <w:rFonts w:ascii="sans-serif" w:hAnsi="sans-serif"/>
          <w:b w:val="false"/>
          <w:color w:val="000000"/>
          <w:sz w:val="22"/>
        </w:rPr>
        <w:t>Global Qulipta net revenues were $350 million, an increase of 30.9 percent on a reported basis, or 30.3 percent on an operational basis.</w:t>
      </w:r>
    </w:p>
    <w:p>
      <w:pPr>
        <w:pStyle w:val="TextBody"/>
        <w:bidi w:val="0"/>
        <w:spacing w:lineRule="auto" w:line="283" w:before="0" w:after="0"/>
        <w:ind w:left="0" w:right="0" w:hanging="360"/>
        <w:jc w:val="left"/>
        <w:rPr/>
      </w:pPr>
      <w:r>
        <w:rPr>
          <w:color w:val="000000"/>
        </w:rPr>
        <w:t>◦</w:t>
      </w:r>
      <w:r>
        <w:rPr>
          <w:rFonts w:ascii="sans-serif" w:hAnsi="sans-serif"/>
          <w:b w:val="false"/>
          <w:color w:val="000000"/>
          <w:sz w:val="22"/>
        </w:rPr>
        <w:t>Global Vyalev net revenues were $256 million.</w:t>
      </w:r>
    </w:p>
    <w:p>
      <w:pPr>
        <w:pStyle w:val="TextBody"/>
        <w:bidi w:val="0"/>
        <w:spacing w:before="0" w:after="0"/>
        <w:jc w:val="left"/>
        <w:rPr/>
      </w:pPr>
      <w:r>
        <w:rPr/>
      </w:r>
    </w:p>
    <w:p>
      <w:pPr>
        <w:pStyle w:val="TextBody"/>
        <w:bidi w:val="0"/>
        <w:spacing w:lineRule="auto" w:line="283" w:before="40" w:after="283"/>
        <w:ind w:left="0" w:right="0" w:hanging="360"/>
        <w:jc w:val="left"/>
        <w:rPr/>
      </w:pPr>
      <w:r>
        <w:rPr>
          <w:color w:val="000000"/>
        </w:rPr>
        <w:t>•</w:t>
      </w:r>
      <w:r>
        <w:rPr>
          <w:rFonts w:ascii="sans-serif" w:hAnsi="sans-serif"/>
          <w:b w:val="false"/>
          <w:color w:val="000000"/>
          <w:sz w:val="22"/>
        </w:rPr>
        <w:t xml:space="preserve">Global net revenues from the oncology portfolio were $1.650 billion, a decrease of 1.5 percent on a reported basis, or 2.4 percent on an operational basis. </w:t>
      </w:r>
    </w:p>
    <w:p>
      <w:pPr>
        <w:pStyle w:val="TextBody"/>
        <w:bidi w:val="0"/>
        <w:spacing w:lineRule="auto" w:line="283" w:before="0" w:after="0"/>
        <w:ind w:left="0" w:right="0" w:hanging="360"/>
        <w:jc w:val="left"/>
        <w:rPr/>
      </w:pPr>
      <w:r>
        <w:rPr>
          <w:color w:val="000000"/>
        </w:rPr>
        <w:t>◦</w:t>
      </w:r>
      <w:r>
        <w:rPr>
          <w:rFonts w:ascii="sans-serif" w:hAnsi="sans-serif"/>
          <w:b w:val="false"/>
          <w:color w:val="000000"/>
          <w:sz w:val="22"/>
        </w:rPr>
        <w:t>Global Venclexta net revenues were $771 million, an increase of 11.6 percent on a reported basis, or 9.6 percent on an operational basis.</w:t>
      </w:r>
    </w:p>
    <w:p>
      <w:pPr>
        <w:pStyle w:val="TextBody"/>
        <w:bidi w:val="0"/>
        <w:spacing w:lineRule="auto" w:line="283" w:before="0" w:after="0"/>
        <w:ind w:left="0" w:right="0" w:hanging="360"/>
        <w:jc w:val="left"/>
        <w:rPr/>
      </w:pPr>
      <w:r>
        <w:rPr>
          <w:color w:val="000000"/>
        </w:rPr>
        <w:t>◦</w:t>
      </w:r>
      <w:r>
        <w:rPr>
          <w:rFonts w:ascii="sans-serif" w:hAnsi="sans-serif"/>
          <w:b w:val="false"/>
          <w:color w:val="000000"/>
          <w:sz w:val="22"/>
        </w:rPr>
        <w:t>Global Imbruvica net revenues were $532 million, a decrease of 29.4 percent.</w:t>
      </w:r>
      <w:r>
        <w:rPr>
          <w:color w:val="000000"/>
          <w:shd w:fill="FFFFFF" w:val="clear"/>
        </w:rPr>
        <w:t xml:space="preserve"> </w:t>
      </w:r>
    </w:p>
    <w:p>
      <w:pPr>
        <w:pStyle w:val="TextBody"/>
        <w:bidi w:val="0"/>
        <w:spacing w:lineRule="auto" w:line="283" w:before="0" w:after="0"/>
        <w:ind w:left="0" w:right="0" w:hanging="360"/>
        <w:jc w:val="left"/>
        <w:rPr/>
      </w:pPr>
      <w:r>
        <w:rPr>
          <w:color w:val="000000"/>
        </w:rPr>
        <w:t>◦</w:t>
      </w:r>
      <w:r>
        <w:rPr>
          <w:rFonts w:ascii="sans-serif" w:hAnsi="sans-serif"/>
          <w:b w:val="false"/>
          <w:color w:val="000000"/>
          <w:sz w:val="22"/>
        </w:rPr>
        <w:t>Global Elahere net revenues were $211 million, an increase of</w:t>
      </w:r>
      <w:r>
        <w:rPr>
          <w:color w:val="000000"/>
        </w:rPr>
        <w:t xml:space="preserve"> </w:t>
      </w:r>
      <w:r>
        <w:rPr>
          <w:rFonts w:ascii="sans-serif" w:hAnsi="sans-serif"/>
          <w:b w:val="false"/>
          <w:color w:val="000000"/>
          <w:sz w:val="22"/>
        </w:rPr>
        <w:t>33.1 percent</w:t>
      </w:r>
      <w:r>
        <w:rPr>
          <w:color w:val="000000"/>
        </w:rPr>
        <w:t xml:space="preserve"> </w:t>
      </w:r>
      <w:r>
        <w:rPr>
          <w:rFonts w:ascii="sans-serif" w:hAnsi="sans-serif"/>
          <w:b w:val="false"/>
          <w:color w:val="000000"/>
          <w:sz w:val="22"/>
        </w:rPr>
        <w:t>on a reported basis, or 31.8 percent</w:t>
      </w:r>
      <w:r>
        <w:rPr>
          <w:color w:val="000000"/>
        </w:rPr>
        <w:t xml:space="preserve"> </w:t>
      </w:r>
      <w:r>
        <w:rPr>
          <w:rFonts w:ascii="sans-serif" w:hAnsi="sans-serif"/>
          <w:b w:val="false"/>
          <w:color w:val="000000"/>
          <w:sz w:val="22"/>
        </w:rPr>
        <w:t>on an operational basis.</w:t>
      </w:r>
    </w:p>
    <w:p>
      <w:pPr>
        <w:pStyle w:val="TextBody"/>
        <w:bidi w:val="0"/>
        <w:spacing w:before="0" w:after="0"/>
        <w:jc w:val="left"/>
        <w:rPr/>
      </w:pPr>
      <w:r>
        <w:rPr/>
      </w:r>
    </w:p>
    <w:p>
      <w:pPr>
        <w:pStyle w:val="TextBody"/>
        <w:bidi w:val="0"/>
        <w:spacing w:lineRule="auto" w:line="283" w:before="40" w:after="283"/>
        <w:ind w:left="0" w:right="0" w:hanging="360"/>
        <w:jc w:val="left"/>
        <w:rPr/>
      </w:pPr>
      <w:r>
        <w:rPr>
          <w:color w:val="000000"/>
        </w:rPr>
        <w:t>•</w:t>
      </w:r>
      <w:r>
        <w:rPr>
          <w:rFonts w:ascii="sans-serif" w:hAnsi="sans-serif"/>
          <w:b w:val="false"/>
          <w:color w:val="000000"/>
          <w:sz w:val="22"/>
        </w:rPr>
        <w:t>Global net revenues from the aesthetics portfolio were $1.282 billion, an increase of 0.3 percent on a reported basis, or a decrease</w:t>
      </w:r>
      <w:r>
        <w:rPr>
          <w:color w:val="000000"/>
        </w:rPr>
        <w:t xml:space="preserve"> </w:t>
      </w:r>
      <w:r>
        <w:rPr>
          <w:rFonts w:ascii="sans-serif" w:hAnsi="sans-serif"/>
          <w:b w:val="false"/>
          <w:color w:val="000000"/>
          <w:sz w:val="22"/>
        </w:rPr>
        <w:t>of 0.9 percent on an operational basis.</w:t>
      </w:r>
    </w:p>
    <w:p>
      <w:pPr>
        <w:pStyle w:val="TextBody"/>
        <w:bidi w:val="0"/>
        <w:spacing w:lineRule="auto" w:line="283" w:before="0" w:after="0"/>
        <w:ind w:left="0" w:right="0" w:hanging="360"/>
        <w:jc w:val="left"/>
        <w:rPr/>
      </w:pPr>
      <w:r>
        <w:rPr>
          <w:color w:val="000000"/>
        </w:rPr>
        <w:t>◦</w:t>
      </w:r>
      <w:r>
        <w:rPr>
          <w:rFonts w:ascii="sans-serif" w:hAnsi="sans-serif"/>
          <w:b w:val="false"/>
          <w:color w:val="000000"/>
          <w:sz w:val="22"/>
        </w:rPr>
        <w:t>Global Botox Cosmetic net revenues were $728 million, an increase of 5.2 percent on a reported basis, or 3.4 percent on an operational basis.</w:t>
      </w:r>
    </w:p>
    <w:p>
      <w:pPr>
        <w:pStyle w:val="TextBody"/>
        <w:bidi w:val="0"/>
        <w:spacing w:lineRule="auto" w:line="283" w:before="0" w:after="0"/>
        <w:ind w:left="0" w:right="0" w:hanging="360"/>
        <w:jc w:val="left"/>
        <w:rPr/>
      </w:pPr>
      <w:r>
        <w:rPr>
          <w:color w:val="000000"/>
        </w:rPr>
        <w:t>◦</w:t>
      </w:r>
      <w:r>
        <w:rPr>
          <w:rFonts w:ascii="sans-serif" w:hAnsi="sans-serif"/>
          <w:b w:val="false"/>
          <w:color w:val="000000"/>
          <w:sz w:val="22"/>
        </w:rPr>
        <w:t>Global Juvederm net revenues were $245 million, a decrease of 6.0 percent on a reported basis, or 6.6 percent</w:t>
      </w:r>
      <w:r>
        <w:rPr>
          <w:color w:val="000000"/>
        </w:rPr>
        <w:t xml:space="preserve"> </w:t>
      </w:r>
      <w:r>
        <w:rPr>
          <w:rFonts w:ascii="sans-serif" w:hAnsi="sans-serif"/>
          <w:b w:val="false"/>
          <w:color w:val="000000"/>
          <w:sz w:val="22"/>
        </w:rPr>
        <w:t>on an operational basis.</w:t>
      </w:r>
    </w:p>
    <w:p>
      <w:pPr>
        <w:pStyle w:val="TextBody"/>
        <w:bidi w:val="0"/>
        <w:spacing w:before="0" w:after="0"/>
        <w:jc w:val="left"/>
        <w:rPr/>
      </w:pPr>
      <w:r>
        <w:rPr/>
      </w:r>
    </w:p>
    <w:p>
      <w:pPr>
        <w:pStyle w:val="TextBody"/>
        <w:bidi w:val="0"/>
        <w:spacing w:lineRule="auto" w:line="283" w:before="40" w:after="283"/>
        <w:ind w:left="0" w:right="0" w:hanging="360"/>
        <w:jc w:val="left"/>
        <w:rPr/>
      </w:pPr>
      <w:r>
        <w:rPr>
          <w:color w:val="000000"/>
        </w:rPr>
        <w:t>•</w:t>
      </w:r>
      <w:r>
        <w:rPr>
          <w:rFonts w:ascii="sans-serif" w:hAnsi="sans-serif"/>
          <w:b w:val="false"/>
          <w:color w:val="000000"/>
          <w:sz w:val="22"/>
        </w:rPr>
        <w:t>On a GAAP basis, the gross margin ratio in the second quarter was 74.7 percent. The adjusted gross margin ratio was 84.7 percent.</w:t>
      </w:r>
    </w:p>
    <w:p>
      <w:pPr>
        <w:pStyle w:val="TextBody"/>
        <w:bidi w:val="0"/>
        <w:spacing w:before="0" w:after="0"/>
        <w:jc w:val="left"/>
        <w:rPr/>
      </w:pPr>
      <w:r>
        <w:rPr/>
      </w:r>
    </w:p>
    <w:p>
      <w:pPr>
        <w:pStyle w:val="TextBody"/>
        <w:bidi w:val="0"/>
        <w:spacing w:lineRule="auto" w:line="283" w:before="40" w:after="283"/>
        <w:ind w:left="0" w:right="0" w:hanging="360"/>
        <w:jc w:val="left"/>
        <w:rPr/>
      </w:pPr>
      <w:r>
        <w:rPr>
          <w:color w:val="000000"/>
        </w:rPr>
        <w:t>•</w:t>
      </w:r>
      <w:r>
        <w:rPr>
          <w:rFonts w:ascii="sans-serif" w:hAnsi="sans-serif"/>
          <w:b w:val="false"/>
          <w:color w:val="000000"/>
          <w:sz w:val="22"/>
        </w:rPr>
        <w:t xml:space="preserve">On a GAAP basis, selling, general and administrative (SG&amp;A) expense was 21.4 percent of net revenues. The adjusted SG&amp;A expense was 21.0 percent of net revenues. </w:t>
      </w:r>
    </w:p>
    <w:p>
      <w:pPr>
        <w:pStyle w:val="TextBody"/>
        <w:bidi w:val="0"/>
        <w:spacing w:before="0" w:after="0"/>
        <w:jc w:val="left"/>
        <w:rPr/>
      </w:pPr>
      <w:r>
        <w:rPr/>
      </w:r>
    </w:p>
    <w:p>
      <w:pPr>
        <w:pStyle w:val="TextBody"/>
        <w:bidi w:val="0"/>
        <w:spacing w:lineRule="auto" w:line="283" w:before="40" w:after="283"/>
        <w:ind w:left="0" w:right="0" w:hanging="360"/>
        <w:jc w:val="left"/>
        <w:rPr/>
      </w:pPr>
      <w:r>
        <w:rPr>
          <w:color w:val="000000"/>
        </w:rPr>
        <w:t>•</w:t>
      </w:r>
      <w:r>
        <w:rPr>
          <w:rFonts w:ascii="sans-serif" w:hAnsi="sans-serif"/>
          <w:b w:val="false"/>
          <w:color w:val="000000"/>
          <w:sz w:val="22"/>
        </w:rPr>
        <w:t xml:space="preserve">On a GAAP basis, research and development (R&amp;D) expense was 13.8 percent of net revenues. The adjusted R&amp;D expense was 13.6 percent of net revenues. </w:t>
      </w:r>
    </w:p>
    <w:p>
      <w:pPr>
        <w:pStyle w:val="TextBody"/>
        <w:bidi w:val="0"/>
        <w:spacing w:before="0" w:after="0"/>
        <w:jc w:val="left"/>
        <w:rPr/>
      </w:pPr>
      <w:r>
        <w:rPr/>
      </w:r>
    </w:p>
    <w:p>
      <w:pPr>
        <w:pStyle w:val="TextBody"/>
        <w:bidi w:val="0"/>
        <w:spacing w:lineRule="auto" w:line="283" w:before="40" w:after="283"/>
        <w:ind w:left="0" w:right="0" w:hanging="360"/>
        <w:jc w:val="left"/>
        <w:rPr/>
      </w:pPr>
      <w:r>
        <w:rPr>
          <w:color w:val="000000"/>
        </w:rPr>
        <w:t>•</w:t>
      </w:r>
      <w:r>
        <w:rPr>
          <w:rFonts w:ascii="sans-serif" w:hAnsi="sans-serif"/>
          <w:b w:val="false"/>
          <w:color w:val="000000"/>
          <w:sz w:val="22"/>
        </w:rPr>
        <w:t>Acquired IPR&amp;D and milestones expense was 1.7 percent of net revenues.</w:t>
      </w:r>
    </w:p>
    <w:p>
      <w:pPr>
        <w:pStyle w:val="TextBody"/>
        <w:bidi w:val="0"/>
        <w:spacing w:before="0" w:after="0"/>
        <w:jc w:val="left"/>
        <w:rPr/>
      </w:pPr>
      <w:r>
        <w:rPr/>
      </w:r>
    </w:p>
    <w:p>
      <w:pPr>
        <w:pStyle w:val="TextBody"/>
        <w:bidi w:val="0"/>
        <w:spacing w:lineRule="auto" w:line="283" w:before="40" w:after="283"/>
        <w:ind w:left="0" w:right="0" w:hanging="360"/>
        <w:jc w:val="left"/>
        <w:rPr/>
      </w:pPr>
      <w:r>
        <w:rPr>
          <w:color w:val="000000"/>
        </w:rPr>
        <w:t>•</w:t>
      </w:r>
      <w:r>
        <w:rPr>
          <w:rFonts w:ascii="sans-serif" w:hAnsi="sans-serif"/>
          <w:b w:val="false"/>
          <w:color w:val="000000"/>
          <w:sz w:val="22"/>
        </w:rPr>
        <w:t>On a GAAP basis, the operating margin ratio in the second quarter was 37.9 percent. The adjusted operating margin ratio was 48.3 percent.</w:t>
      </w:r>
    </w:p>
    <w:p>
      <w:pPr>
        <w:pStyle w:val="TextBody"/>
        <w:bidi w:val="0"/>
        <w:spacing w:before="0" w:after="0"/>
        <w:jc w:val="left"/>
        <w:rPr/>
      </w:pPr>
      <w:r>
        <w:rPr/>
      </w:r>
    </w:p>
    <w:p>
      <w:pPr>
        <w:pStyle w:val="TextBody"/>
        <w:bidi w:val="0"/>
        <w:spacing w:lineRule="auto" w:line="283" w:before="40" w:after="283"/>
        <w:ind w:left="0" w:right="0" w:hanging="360"/>
        <w:jc w:val="left"/>
        <w:rPr/>
      </w:pPr>
      <w:r>
        <w:rPr>
          <w:color w:val="000000"/>
        </w:rPr>
        <w:t>•</w:t>
      </w:r>
      <w:r>
        <w:rPr>
          <w:rFonts w:ascii="sans-serif" w:hAnsi="sans-serif"/>
          <w:b w:val="false"/>
          <w:color w:val="000000"/>
          <w:sz w:val="22"/>
        </w:rPr>
        <w:t>Net interest expense was $679 million.</w:t>
      </w:r>
    </w:p>
    <w:p>
      <w:pPr>
        <w:pStyle w:val="TextBody"/>
        <w:bidi w:val="0"/>
        <w:spacing w:before="0" w:after="0"/>
        <w:jc w:val="left"/>
        <w:rPr/>
      </w:pPr>
      <w:r>
        <w:rPr/>
      </w:r>
    </w:p>
    <w:p>
      <w:pPr>
        <w:pStyle w:val="TextBody"/>
        <w:bidi w:val="0"/>
        <w:spacing w:lineRule="auto" w:line="283" w:before="40" w:after="283"/>
        <w:ind w:left="0" w:right="0" w:hanging="360"/>
        <w:jc w:val="left"/>
        <w:rPr/>
      </w:pPr>
      <w:r>
        <w:rPr>
          <w:color w:val="000000"/>
        </w:rPr>
        <w:t>•</w:t>
      </w:r>
      <w:r>
        <w:rPr>
          <w:rFonts w:ascii="sans-serif" w:hAnsi="sans-serif"/>
          <w:b w:val="false"/>
          <w:color w:val="000000"/>
          <w:sz w:val="22"/>
        </w:rPr>
        <w:t>On a GAAP basis, the tax rate in the quarter was 15.5 percent. The adjusted tax rate was 14.7 percent.</w:t>
      </w:r>
    </w:p>
    <w:p>
      <w:pPr>
        <w:pStyle w:val="TextBody"/>
        <w:bidi w:val="0"/>
        <w:spacing w:before="0" w:after="0"/>
        <w:jc w:val="left"/>
        <w:rPr/>
      </w:pPr>
      <w:r>
        <w:rPr/>
      </w:r>
    </w:p>
    <w:p>
      <w:pPr>
        <w:pStyle w:val="TextBody"/>
        <w:bidi w:val="0"/>
        <w:spacing w:lineRule="auto" w:line="283" w:before="40" w:after="283"/>
        <w:ind w:left="0" w:right="0" w:hanging="360"/>
        <w:jc w:val="left"/>
        <w:rPr/>
      </w:pPr>
      <w:r>
        <w:rPr>
          <w:color w:val="000000"/>
        </w:rPr>
        <w:t>•</w:t>
      </w:r>
      <w:r>
        <w:rPr>
          <w:rFonts w:ascii="sans-serif" w:hAnsi="sans-serif"/>
          <w:b w:val="false"/>
          <w:color w:val="000000"/>
          <w:sz w:val="22"/>
        </w:rPr>
        <w:t>Diluted earnings per share (EPS) in the second quarter was $2.03 on a GAAP basis. Adjusted diluted EPS, excluding specified items, was $3.65. These results include an unfavorable impact of $0.17 per share related to acquired IPR&amp;D and milestones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35660"/>
                <wp:effectExtent l="0" t="0" r="0" b="0"/>
                <wp:wrapNone/>
                <wp:docPr id="6" name="Frame5"/>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1815"/>
                              <w:gridCol w:w="1600"/>
                              <w:gridCol w:w="1600"/>
                              <w:gridCol w:w="1600"/>
                              <w:gridCol w:w="1600"/>
                              <w:gridCol w:w="1617"/>
                              <w:gridCol w:w="109"/>
                              <w:gridCol w:w="109"/>
                              <w:gridCol w:w="155"/>
                            </w:tblGrid>
                            <w:tr>
                              <w:trPr/>
                              <w:tc>
                                <w:tcPr>
                                  <w:tcW w:w="1815" w:type="dxa"/>
                                  <w:tcBorders/>
                                  <w:vAlign w:val="center"/>
                                </w:tcPr>
                                <w:p>
                                  <w:pPr>
                                    <w:pStyle w:val="TableContents"/>
                                    <w:bidi w:val="0"/>
                                    <w:spacing w:before="0" w:after="283"/>
                                    <w:jc w:val="left"/>
                                    <w:rPr>
                                      <w:sz w:val="4"/>
                                      <w:szCs w:val="4"/>
                                    </w:rPr>
                                  </w:pPr>
                                  <w:r>
                                    <w:rPr>
                                      <w:sz w:val="4"/>
                                      <w:szCs w:val="4"/>
                                    </w:rPr>
                                  </w:r>
                                  <w:r>
                                    <w:br w:type="page"/>
                                  </w:r>
                                </w:p>
                              </w:tc>
                              <w:tc>
                                <w:tcPr>
                                  <w:tcW w:w="160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 xml:space="preserve">Note: "Operational" comparisons are presented at constant currency rates that reflect comparative local currency net revenues at the prior year's foreign exchange rates.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20"/>
                                    </w:rPr>
                                  </w:pPr>
                                  <w:r>
                                    <w:rPr>
                                      <w:rFonts w:ascii="sans-serif" w:hAnsi="sans-serif"/>
                                      <w:b w:val="false"/>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226.85pt;mso-position-horizontal:left;mso-position-horizontal-relative:text">
                <v:textbox>
                  <w:txbxContent>
                    <w:tbl>
                      <w:tblPr>
                        <w:tblW w:w="10205" w:type="dxa"/>
                        <w:jc w:val="left"/>
                        <w:tblInd w:w="0" w:type="dxa"/>
                        <w:tblLayout w:type="fixed"/>
                        <w:tblCellMar>
                          <w:top w:w="28" w:type="dxa"/>
                          <w:left w:w="28" w:type="dxa"/>
                          <w:bottom w:w="28" w:type="dxa"/>
                          <w:right w:w="28" w:type="dxa"/>
                        </w:tblCellMar>
                      </w:tblPr>
                      <w:tblGrid>
                        <w:gridCol w:w="1815"/>
                        <w:gridCol w:w="1600"/>
                        <w:gridCol w:w="1600"/>
                        <w:gridCol w:w="1600"/>
                        <w:gridCol w:w="1600"/>
                        <w:gridCol w:w="1617"/>
                        <w:gridCol w:w="109"/>
                        <w:gridCol w:w="109"/>
                        <w:gridCol w:w="155"/>
                      </w:tblGrid>
                      <w:tr>
                        <w:trPr/>
                        <w:tc>
                          <w:tcPr>
                            <w:tcW w:w="1815"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 xml:space="preserve">Note: "Operational" comparisons are presented at constant currency rates that reflect comparative local currency net revenues at the prior year's foreign exchange rates.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20"/>
                              </w:rPr>
                            </w:pPr>
                            <w:r>
                              <w:rPr>
                                <w:rFonts w:ascii="sans-serif" w:hAnsi="sans-serif"/>
                                <w:b w:val="false"/>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Recent Events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val="false"/>
          <w:color w:val="000000"/>
          <w:sz w:val="22"/>
        </w:rPr>
        <w:t xml:space="preserve">AbbVie and Apogee Therapeutics announced a definitive agreement under which AbbVie will acquire Apogee and its diverse pipeline of clinical-stage candidates in development across inflammatory and immunological diseases. The proposed acquisition includes zumilokibart (APG777), a late-stage, half-life extended monoclonal antibody targeting IL-13 for atopic dermatitis (AD), as well as APG273, a potential best-in-category long-acting combination targeting IL-13 and thymic stromal lymphopoietin (TSLP) in asthma. The acquisition holds potential for substantial shareholder value creation, with mega-blockbuster peak sales potential across Apogee's pipeline of assets, and is expected to close in the third quarter of 2026. The transaction values Apogee at a total equity value of approximately $10.9 billion. Additional information on the transaction can be found at </w:t>
      </w:r>
      <w:r>
        <w:rPr>
          <w:rFonts w:ascii="sans-serif" w:hAnsi="sans-serif"/>
          <w:b w:val="false"/>
          <w:color w:val="0000FF"/>
          <w:sz w:val="22"/>
          <w:u w:val="single"/>
        </w:rPr>
        <w:t>investors.abbvie.com</w:t>
      </w:r>
      <w:r>
        <w:rPr>
          <w:rFonts w:ascii="sans-serif" w:hAnsi="sans-serif"/>
          <w:b w:val="false"/>
          <w:color w:val="000000"/>
          <w:sz w:val="22"/>
        </w:rPr>
        <w:t>.</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val="false"/>
          <w:color w:val="000000"/>
          <w:sz w:val="22"/>
        </w:rPr>
        <w:t>AbbVie announced the U.S. Food and Drug Administration (FDA) and the European Commission (EC) approved Skyrizi (risankizumab) for the treatment of children six years of age and older with moderate to severe plaque psoriasis. The FDA also approved Skyrizi for pediatric use in psoriatic arthritis. These approvals were supported by data from Phase 3 OptIMMize clinical trial program.</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AbbVie announced the EC approved Rinvoq (upadacitinib) for the treatment of adult and adolescent patients with non-segmental vitiligo. With this approval, Rinvoq is the first systemic medication approved in the European Union (EU) for patients with non-segmental vitiligo. This approval is supported by data from the Phase 3 Viti-Up clinical program, in which Rinvoq met both co-primary endpoints, with statistically significant and clinically meaningful improvements in total body and facial repigmentation at week 48, as well as key ranked secondary endpoints.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val="false"/>
          <w:color w:val="000000"/>
          <w:sz w:val="22"/>
        </w:rPr>
        <w:t>AbbVie announced the EC approved Rinvoq for the treatment of adult and adolescent patients with severe alopecia areata. This approval is supported by data from the Phase 3 UP-AA clinical program, in which Rinvoq met the primary endpoint of severity of alopecia tool score ≤ 20 as well as key secondary endpoints, including improvements in eyebrows and eyelashes, at week 24.</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val="false"/>
          <w:color w:val="000000"/>
          <w:sz w:val="22"/>
        </w:rPr>
        <w:t>At the 2026 Digestive Disease Week (DDW) Annual Meeting, AbbVie presented new data across its gastroenterology portfolio, including 18 abstracts in Crohn’s disease (CD) and ulcerative colitis (UC). Presentations included real-world evidence and long-term findings that reinforced the efficacy, safety profile and durability of Skyrizi and Rinvoq in inflammatory bowel diseases (IBD).</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val="false"/>
          <w:color w:val="000000"/>
          <w:sz w:val="22"/>
        </w:rPr>
        <w:t>AbbVie announced the EC approved Aquipta (atogepant) for the acute treatment of migraine in adults with or without aura. This approval marks the second indication for Aquipta in the EU, where it is now approved as both an acute treatment option for migraine attacks and as a preventive treatment option for adults with chronic or episodic migraine who experience at least four migraine days per month. The approval is supported by data from the Phase 3 ECLIPSE trial, which showed that Aquipta resulted in statistically significant pain freedom at two hours versus placebo during the first migraine attack, with sustained pain freedom from 2 to 48 hours and a clinically meaningful and consistent effect across multiple migraine attacks.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val="false"/>
          <w:color w:val="000000"/>
          <w:sz w:val="22"/>
        </w:rPr>
        <w:t>AbbVie announced the FDA approved Decnupaz (pivekimab sunirine) for the treatment of adult patients with blastic plasmacytoid dendritic cell neoplasm (BPDCN), an ultra-rare and aggressive hematologic malignancy. Decnupaz is the first antibody-drug conjugate (ADC) approved for BPDCN that is initiated in an outpatient setting and marks AbbVie’s first ADC approved for blood cancer. The approval is supported by data from the Phase 1/2 CADENZA trial, in which newly diagnosed patients with BPDCN treated with Decnupaz demonstrated clinically meaningful and durable responses.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val="false"/>
          <w:color w:val="000000"/>
          <w:sz w:val="22"/>
        </w:rPr>
        <w:t>AbbVie announced the EC authorized an expanded label for Venclyxto (venetoclax) to include use in combination with acalabrutinib and use in combination with Imbruvica (ibrutinib) for the treatment of adult patients with previously untreated chronic lymphocytic leukemia (CLL). The authorization provides an all-oral, fixed-duration, chemotherapy-free treatment option for patients with CLL and supports the potential for time off treatment. The expanded label is supported by data from the Phase 3 AMPLIFY trial, Phase 3 GLOW trial and Phase 2 CAPTIVATE trial.</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7820"/>
                <wp:effectExtent l="0" t="0" r="0" b="0"/>
                <wp:wrapNone/>
                <wp:docPr id="7" name="Frame6"/>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3</w:t>
                      </w:r>
                    </w:p>
                  </w:txbxContent>
                </v:textbox>
                <w10:wrap type="none"/>
              </v:rect>
            </w:pict>
          </mc:Fallback>
        </mc:AlternateContent>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Recent Events (Continued)</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val="false"/>
          <w:color w:val="000000"/>
          <w:sz w:val="22"/>
        </w:rPr>
        <w:t>AbbVie announced the EC granted marketing authorization for Tepkinly (epcoritamab) in combination with lenalidomide and rituximab (R</w:t>
      </w:r>
      <w:r>
        <w:rPr>
          <w:rFonts w:ascii="sans-serif" w:hAnsi="sans-serif"/>
          <w:b w:val="false"/>
          <w:color w:val="000000"/>
          <w:sz w:val="14"/>
        </w:rPr>
        <w:t>2</w:t>
      </w:r>
      <w:r>
        <w:rPr>
          <w:rFonts w:ascii="sans-serif" w:hAnsi="sans-serif"/>
          <w:b w:val="false"/>
          <w:color w:val="000000"/>
          <w:sz w:val="22"/>
        </w:rPr>
        <w:t>) for the treatment of adult patients with relapsed or refractory (R/R) follicular lymphoma (FL). The approval is based on results from the pivotal Phase 3 EPCORE FL-1 trial, in which fixed-duration Tepkinly plus R</w:t>
      </w:r>
      <w:r>
        <w:rPr>
          <w:rFonts w:ascii="sans-serif" w:hAnsi="sans-serif"/>
          <w:b w:val="false"/>
          <w:color w:val="000000"/>
          <w:sz w:val="14"/>
        </w:rPr>
        <w:t>2</w:t>
      </w:r>
      <w:r>
        <w:rPr>
          <w:color w:val="000000"/>
        </w:rPr>
        <w:t xml:space="preserve"> </w:t>
      </w:r>
      <w:r>
        <w:rPr>
          <w:rFonts w:ascii="sans-serif" w:hAnsi="sans-serif"/>
          <w:b w:val="false"/>
          <w:color w:val="000000"/>
          <w:sz w:val="22"/>
        </w:rPr>
        <w:t>achieved statistically significant improvement of progression-free survival (PFS) and overall response rates (ORR) compared to R</w:t>
      </w:r>
      <w:r>
        <w:rPr>
          <w:rFonts w:ascii="sans-serif" w:hAnsi="sans-serif"/>
          <w:b w:val="false"/>
          <w:color w:val="000000"/>
          <w:sz w:val="14"/>
        </w:rPr>
        <w:t>2</w:t>
      </w:r>
      <w:r>
        <w:rPr>
          <w:rFonts w:ascii="sans-serif" w:hAnsi="sans-serif"/>
          <w:b w:val="false"/>
          <w:color w:val="000000"/>
          <w:sz w:val="22"/>
        </w:rPr>
        <w:t>, with approximately three out of four patients achieving a complete response (CR). This approval marks the first bispecific-based therapy approved in Europe for the treatment of R/R FL in the second-line setting, offering patients a chemotherapy-free option. Tepkinly/Epkinly is being co-developed by AbbVie and Genmab.</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val="false"/>
          <w:color w:val="000000"/>
          <w:sz w:val="22"/>
        </w:rPr>
        <w:t>AbbVie announced topline results from the Phase 3 EPCORE DLBCL-4 trial evaluating the combination of Epkinly (epcoritamab) and lenalidomide, compared to rituximab plus gemcitabine plus oxaliplatin in adult patients with R/R diffuse large B-cell lymphoma (DLBCL) who received at least one prior line of therapy. In the trial, the chemotherapy-free combination of Epkinly plus lenalidomide demonstrated statistically significant and clinically meaningful improvement in PFS. The safety profile of Epkinly when administered in combination with lenalidomide was consistent with the known safety profiles of the individual agents.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val="false"/>
          <w:color w:val="000000"/>
          <w:sz w:val="22"/>
        </w:rPr>
        <w:t>At the American Society of Clinical Oncology (ASCO) Annual Meeting, AbbVie announced new data demonstrating the breadth and momentum of its next-generation oncology pipeline. Presentations highlighted the potential of AbbVie’s novel topoisomerase 1 inhibitor–based ADC and T</w:t>
        <w:noBreakHyphen/>
        <w:t>cell engager platforms within solid tumors and blood cancers, including oral presentations in prostate cancer, small cell lung cancer (SCLC), platinum-resistant ovarian cancer (PROC) and multiple myeloma (MM).</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val="false"/>
          <w:color w:val="000000"/>
          <w:sz w:val="22"/>
        </w:rPr>
        <w:t xml:space="preserve">At the European Hematology Association (EHA) 2026 Congress, AbbVie presented data that reinforced its leadership and commitment to ongoing research to improve outcomes for people living with blood cancers. Featured data from AbbVie's blood cancer portfolio and pipeline included 21 oral and poster presentations, which highlighted etentamig (ABBV-383), Epkinly and Decnupaz. The presentations also showcased Venclexta (venetoclax) data, including a final analysis of the Phase 3 CLL14 trial which demonstrated that after a median follow-up of 9.2 years, treatment with Venclexta plus obinutuzumab resulted in superior PFS compared to treatment with obinutuzumab plus chlorambucil in previously untreated CLL. </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val="false"/>
          <w:color w:val="000000"/>
          <w:sz w:val="22"/>
        </w:rPr>
        <w:t>Allergan Aesthetics announced the FDA approved Skinvive by Juvederm as the first hyaluronic acid injectable indicated to reduce neck lines for the improvement of neck appearance in adults over the age of 21. This approval is supported by a randomized, multicenter, evaluator-blinded, controlled pivotal clinical study in which participants treated with Skinvive by Juvederm saw a clinically significant improvement in neck lines at one month. This approval represents the second FDA-approved indication for Skinvive by Juvederm, which is also approved to improve skin smoothness of the cheeks in adults.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val="false"/>
          <w:color w:val="000000"/>
          <w:sz w:val="22"/>
        </w:rPr>
        <w:t>Allergan Aesthetics announced the EC and Health Canada approved Boey (trenibotulinumtoxinE) as the first rapid-onset, short-duration neurotoxin for the temporary improvement of moderate to severe glabellar lines in adults. These approvals are supported by data from two Phase 3 clinical trials, in which Boey demonstrated rapid onset of action as early as eight hours after administration and observed efficacy duration of two to three weeks, with treatment-emergent adverse events similar to placebo.</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sans-serif" w:hAnsi="sans-serif"/>
          <w:b w:val="false"/>
          <w:color w:val="000000"/>
          <w:sz w:val="22"/>
        </w:rPr>
        <w:t>AbbVie announced the EC approved Maviret (glecaprevir/pibrentasvir) for the treatment of acute hepatitis C virus (HCV) infection in adults and children aged 3 years and older. This approval gives clinicians an option to initiate treatment as soon as acute infection is confirmed and makes Maviret the only treatment approved in the EU for both acute and chronic HCV infection.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7820"/>
                <wp:effectExtent l="0" t="0" r="0" b="0"/>
                <wp:wrapNone/>
                <wp:docPr id="8" name="Frame7"/>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4</w:t>
                      </w:r>
                    </w:p>
                  </w:txbxContent>
                </v:textbox>
                <w10:wrap type="none"/>
              </v:rect>
            </w:pict>
          </mc:Fallback>
        </mc:AlternateContent>
      </w:r>
    </w:p>
    <w:p>
      <w:pPr>
        <w:pStyle w:val="TextBody"/>
        <w:bidi w:val="0"/>
        <w:spacing w:lineRule="auto" w:line="256" w:before="0" w:after="0"/>
        <w:jc w:val="left"/>
        <w:rPr>
          <w:rFonts w:ascii="sans-serif" w:hAnsi="sans-serif"/>
          <w:b/>
          <w:color w:val="000000"/>
          <w:sz w:val="22"/>
        </w:rPr>
      </w:pPr>
      <w:r>
        <w:rPr>
          <w:rFonts w:ascii="sans-serif" w:hAnsi="sans-serif"/>
          <w:b/>
          <w:color w:val="000000"/>
          <w:sz w:val="22"/>
        </w:rPr>
        <w:t>Full-Year 2026 Outlook</w:t>
      </w:r>
    </w:p>
    <w:p>
      <w:pPr>
        <w:pStyle w:val="TextBody"/>
        <w:bidi w:val="0"/>
        <w:spacing w:before="0" w:after="0"/>
        <w:jc w:val="left"/>
        <w:rPr/>
      </w:pPr>
      <w:r>
        <w:rPr/>
      </w:r>
    </w:p>
    <w:p>
      <w:pPr>
        <w:pStyle w:val="TextBody"/>
        <w:bidi w:val="0"/>
        <w:spacing w:lineRule="auto" w:line="256" w:before="0" w:after="0"/>
        <w:jc w:val="left"/>
        <w:rPr>
          <w:rFonts w:ascii="sans-serif" w:hAnsi="sans-serif"/>
          <w:b w:val="false"/>
          <w:color w:val="000000"/>
          <w:sz w:val="22"/>
        </w:rPr>
      </w:pPr>
      <w:r>
        <w:rPr>
          <w:rFonts w:ascii="sans-serif" w:hAnsi="sans-serif"/>
          <w:b w:val="false"/>
          <w:color w:val="000000"/>
          <w:sz w:val="22"/>
        </w:rPr>
        <w:t xml:space="preserve">AbbVie is updating its adjusted diluted EPS guidance to include the impact of the proposed Apogee Therapeutics acquisition, which is expected to be $0.14 dilutive in 2026, based upon an anticipated close in the third quarter of this year. This dilution is partially offset by $0.10 of overperformance. As a result, AbbVie is updating its adjusted diluted EPS guidance range for the full year 2026 from $13.91 - $14.11 to $13.87 - $14.07, reflecting a change of $0.04 at the midpoint. </w:t>
      </w:r>
    </w:p>
    <w:p>
      <w:pPr>
        <w:pStyle w:val="TextBody"/>
        <w:bidi w:val="0"/>
        <w:spacing w:before="0" w:after="0"/>
        <w:jc w:val="left"/>
        <w:rPr/>
      </w:pPr>
      <w:r>
        <w:rPr/>
      </w:r>
    </w:p>
    <w:p>
      <w:pPr>
        <w:pStyle w:val="TextBody"/>
        <w:bidi w:val="0"/>
        <w:spacing w:lineRule="auto" w:line="256" w:before="0" w:after="0"/>
        <w:jc w:val="left"/>
        <w:rPr>
          <w:rFonts w:ascii="sans-serif" w:hAnsi="sans-serif"/>
          <w:b w:val="false"/>
          <w:color w:val="000000"/>
          <w:sz w:val="22"/>
        </w:rPr>
      </w:pPr>
      <w:r>
        <w:rPr>
          <w:rFonts w:ascii="sans-serif" w:hAnsi="sans-serif"/>
          <w:b w:val="false"/>
          <w:color w:val="000000"/>
          <w:sz w:val="22"/>
        </w:rPr>
        <w:t>The company's 2026 adjusted diluted EPS guidance includes an unfavorable impact of $0.58 per share related to acquired IPR&amp;D and milestones expense incurred year-to-date through the second quarter 2026. This guidance excludes any impact from acquired IPR&amp;D and milestones that may be incurred beyond the second quarter of 2026, as both cannot be reliably forecasted.</w:t>
      </w:r>
    </w:p>
    <w:p>
      <w:pPr>
        <w:pStyle w:val="TextBody"/>
        <w:bidi w:val="0"/>
        <w:spacing w:before="0" w:after="0"/>
        <w:jc w:val="left"/>
        <w:rPr/>
      </w:pPr>
      <w:r>
        <w:rPr/>
      </w:r>
    </w:p>
    <w:p>
      <w:pPr>
        <w:pStyle w:val="TextBody"/>
        <w:bidi w:val="0"/>
        <w:spacing w:lineRule="auto" w:line="256" w:before="0" w:after="0"/>
        <w:jc w:val="left"/>
        <w:rPr>
          <w:rFonts w:ascii="sans-serif" w:hAnsi="sans-serif"/>
          <w:b/>
          <w:color w:val="000000"/>
          <w:sz w:val="22"/>
        </w:rPr>
      </w:pPr>
      <w:r>
        <w:rPr>
          <w:rFonts w:ascii="sans-serif" w:hAnsi="sans-serif"/>
          <w:b/>
          <w:color w:val="000000"/>
          <w:sz w:val="22"/>
        </w:rPr>
        <w:t>About AbbVie</w:t>
      </w:r>
    </w:p>
    <w:p>
      <w:pPr>
        <w:pStyle w:val="TextBody"/>
        <w:bidi w:val="0"/>
        <w:spacing w:before="0" w:after="0"/>
        <w:jc w:val="left"/>
        <w:rPr/>
      </w:pPr>
      <w:r>
        <w:rPr/>
      </w:r>
    </w:p>
    <w:p>
      <w:pPr>
        <w:pStyle w:val="TextBody"/>
        <w:bidi w:val="0"/>
        <w:spacing w:lineRule="auto" w:line="256" w:before="0" w:after="0"/>
        <w:jc w:val="left"/>
        <w:rPr/>
      </w:pPr>
      <w:r>
        <w:rPr>
          <w:rFonts w:ascii="sans-serif" w:hAnsi="sans-serif"/>
          <w:b w:val="false"/>
          <w:color w:val="000000"/>
          <w:sz w:val="22"/>
        </w:rPr>
        <w:t xml:space="preserve">AbbVie's mission is to discover and deliver innovative medicines and solutions that solve serious health issues today and address the medical challenges of tomorrow. We strive to have a remarkable impact on people's lives across several key therapeutic areas including immunology, neuroscience and oncology – and products and services in our Allergan Aesthetics portfolio. For more information about AbbVie, please visit us at </w:t>
      </w:r>
      <w:r>
        <w:rPr>
          <w:rFonts w:ascii="sans-serif" w:hAnsi="sans-serif"/>
          <w:b w:val="false"/>
          <w:color w:val="0000FF"/>
          <w:sz w:val="22"/>
        </w:rPr>
        <w:t>www.abbvie.com</w:t>
      </w:r>
      <w:r>
        <w:rPr>
          <w:rFonts w:ascii="sans-serif" w:hAnsi="sans-serif"/>
          <w:b w:val="false"/>
          <w:color w:val="000000"/>
          <w:sz w:val="22"/>
        </w:rPr>
        <w:t xml:space="preserve">. Follow @abbvie on </w:t>
      </w:r>
      <w:r>
        <w:rPr>
          <w:rFonts w:ascii="sans-serif" w:hAnsi="sans-serif"/>
          <w:b w:val="false"/>
          <w:color w:val="0000FF"/>
          <w:sz w:val="22"/>
        </w:rPr>
        <w:t>LinkedIn, Facebook</w:t>
      </w:r>
      <w:r>
        <w:rPr>
          <w:rFonts w:ascii="sans-serif" w:hAnsi="sans-serif"/>
          <w:b w:val="false"/>
          <w:color w:val="000000"/>
          <w:sz w:val="22"/>
        </w:rPr>
        <w:t xml:space="preserve">, </w:t>
      </w:r>
      <w:r>
        <w:rPr>
          <w:rFonts w:ascii="sans-serif" w:hAnsi="sans-serif"/>
          <w:b w:val="false"/>
          <w:color w:val="0000FF"/>
          <w:sz w:val="22"/>
        </w:rPr>
        <w:t>Instagram</w:t>
      </w:r>
      <w:r>
        <w:rPr>
          <w:rFonts w:ascii="sans-serif" w:hAnsi="sans-serif"/>
          <w:b w:val="false"/>
          <w:color w:val="000000"/>
          <w:sz w:val="22"/>
        </w:rPr>
        <w:t xml:space="preserve">, </w:t>
      </w:r>
      <w:r>
        <w:rPr>
          <w:rFonts w:ascii="sans-serif" w:hAnsi="sans-serif"/>
          <w:b w:val="false"/>
          <w:color w:val="0000FF"/>
          <w:sz w:val="22"/>
        </w:rPr>
        <w:t>X</w:t>
      </w:r>
      <w:r>
        <w:rPr>
          <w:color w:val="000000"/>
        </w:rPr>
        <w:t xml:space="preserve"> </w:t>
      </w:r>
      <w:r>
        <w:rPr>
          <w:rFonts w:ascii="sans-serif" w:hAnsi="sans-serif"/>
          <w:b w:val="false"/>
          <w:color w:val="000000"/>
          <w:sz w:val="22"/>
        </w:rPr>
        <w:t xml:space="preserve">and </w:t>
      </w:r>
      <w:r>
        <w:rPr>
          <w:rFonts w:ascii="sans-serif" w:hAnsi="sans-serif"/>
          <w:b w:val="false"/>
          <w:color w:val="0000FF"/>
          <w:sz w:val="22"/>
        </w:rPr>
        <w:t>YouTube.</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Conference Call</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pPr>
      <w:r>
        <w:rPr>
          <w:rFonts w:ascii="sans-serif" w:hAnsi="sans-serif"/>
          <w:b w:val="false"/>
          <w:color w:val="000000"/>
          <w:sz w:val="22"/>
        </w:rPr>
        <w:t xml:space="preserve">AbbVie will host an investor conference call today at 8:00 a.m. Central Time to discuss our second-quarter performance. The call will be webcast through AbbVie’s Investor Relations website at </w:t>
      </w:r>
      <w:r>
        <w:rPr>
          <w:rFonts w:ascii="sans-serif" w:hAnsi="sans-serif"/>
          <w:b w:val="false"/>
          <w:color w:val="0000FF"/>
          <w:sz w:val="22"/>
          <w:u w:val="single"/>
        </w:rPr>
        <w:t>investors.abbvie.com</w:t>
      </w:r>
      <w:r>
        <w:rPr>
          <w:rFonts w:ascii="sans-serif" w:hAnsi="sans-serif"/>
          <w:b w:val="false"/>
          <w:color w:val="000000"/>
          <w:sz w:val="22"/>
        </w:rPr>
        <w:t>. An archived edition of the call will be available after 11:00 a.m. Central Time.</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Non-GAAP Financial Results</w:t>
      </w:r>
    </w:p>
    <w:p>
      <w:pPr>
        <w:pStyle w:val="TextBody"/>
        <w:bidi w:val="0"/>
        <w:spacing w:lineRule="auto" w:line="288" w:before="0" w:after="0"/>
        <w:jc w:val="left"/>
        <w:rPr>
          <w:color w:val="000000"/>
        </w:rPr>
      </w:pPr>
      <w:r>
        <w:rPr>
          <w:color w:val="000000"/>
        </w:rPr>
        <w:t> </w:t>
      </w:r>
    </w:p>
    <w:p>
      <w:pPr>
        <w:pStyle w:val="TextBody"/>
        <w:bidi w:val="0"/>
        <w:spacing w:lineRule="auto" w:line="256" w:before="0" w:after="0"/>
        <w:jc w:val="left"/>
        <w:rPr>
          <w:rFonts w:ascii="sans-serif" w:hAnsi="sans-serif"/>
          <w:b w:val="false"/>
          <w:color w:val="000000"/>
          <w:sz w:val="22"/>
        </w:rPr>
      </w:pPr>
      <w:r>
        <w:rPr>
          <w:rFonts w:ascii="sans-serif" w:hAnsi="sans-serif"/>
          <w:b w:val="false"/>
          <w:color w:val="000000"/>
          <w:sz w:val="22"/>
        </w:rPr>
        <w:t xml:space="preserve">Financial results for 2026 and 2025 are presented on both a reported and a non-GAAP basis. Reported results were prepared in accordance with generally accepted accounting principles in the United States (GAAP) and include all revenue and expenses recognized during the period. Non-GAAP results adjust for certain non-cash items and for factors that are unusual or unpredictable, and exclude those costs, expenses, and other specified items presented in the reconciliation tables later in this release. AbbVie’s management believes non-GAAP financial measures provide useful information to investors regarding AbbVie’s results of operations and assist management, analysts and investors in evaluating the performance of the business. Non-GAAP financial measures should be considered in addition to, and not as a substitute for, measures of financial performance prepared in accordance with GAAP.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7820"/>
                <wp:effectExtent l="0" t="0" r="0" b="0"/>
                <wp:wrapNone/>
                <wp:docPr id="9" name="Frame8"/>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5</w:t>
                      </w:r>
                    </w:p>
                  </w:txbxContent>
                </v:textbox>
                <w10:wrap type="none"/>
              </v:rect>
            </w:pict>
          </mc:Fallback>
        </mc:AlternateContent>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Forward-Looking Statements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Some statements in this news release are, or may be considered, forward-looking statements for purposes of the Private Securities Litigation Reform Act of 1995. The words “believe,” “expect,” “anticipate,” “project” and similar expressions and uses of future or conditional verbs, generally identify forward-looking statements. AbbVie cautions that these forward-looking statements are subject to risks and uncertainties that may cause actual results to differ materially from those expressed or implied in the forward-looking statements. Such risks and uncertainties include, but are not limited to, risks related to the proposed acquisition of Apogee Therapeutics, Inc. ("Apogee"), including the possibility that such acquisition may not be consummated on the anticipated timeframe or at all, risks related to the ability to realize the anticipated benefits of the proposed acquisition on the anticipated timeframe or at all, risks that the costs to consummate the acquisition or to obtain the anticipated benefits of the proposed acquisition could be greater than expected, the failure to obtain applicable regulatory or Apogee stockholder approval in a timely manner or otherwise, the risk that an event occurs that could give rise to the right of AbbVie or Apogee to terminate the merger agreement, risks related to the ability of AbbVie and Apogee to successfully integrate the businesses and the possibility that such integration may be more difficult, time consuming or costly than expected, risks that the proposed acquisition disrupts Apogee's or AbbVie's current plans and operations and makes it more difficult to maintain business and operational relationships, the diversion of management's attention from ongoing business operations and opportunities due to the proposed transaction, negative effects of the consummation of the proposed acquisition on business or employee relationships or the market price of AbbVie's common stock and/or operating results, significant transaction costs, the assumption of unknown liabilities, the risk of litigation and/or regulatory actions related to the proposed acquisition, the risk that zumilokibart (APG777) or other Apogee pipeline assets may not demonstrate the anticipated success, safety, or efficacy in ongoing or future clinical trials, the risk that positive interim clinical trial results for zumilokibart (APG777) may not be predictive of results in later-stage or larger clinical trials, challenges to intellectual property, competition from other products, difficulties inherent in the research and development process, adverse litigation or government action, changes to laws and regulations applicable to AbbVie's industry, the impact of global macroeconomic factors, such as economic downturns or uncertainty, international conflict, trade disputes, tariffs and other uncertainties and risks associated with global business operations. Additional information about the economic, competitive, governmental, technological and other factors that may affect AbbVie's and Apogee's operations is set forth in Item 1A, “Risk Factors,” of AbbVie's 2025 Annual Report on Form 10-K, which has been filed with the Securities and Exchange Commission, as updated by its Quarterly Reports on Form 10-Q and in other documents that AbbVie subsequently files with the Securities and Exchange Commission that update, supplement or supersede such information; and Item 1A, "Risk Factors," of Apogee's most recently filed Annual Report on Form 10-K and subsequent Quarterly Reports on Form 10-Q and in other documents that Apogee subsequently files with the Securities and Exchange Commission that update, supplement or supersede such information. AbbVie undertakes no obligation, and specifically declines, to release publicly any revisions to forward-looking statements as a result of subsequent events or developments, except as required by law.</w:t>
      </w:r>
    </w:p>
    <w:p>
      <w:pPr>
        <w:pStyle w:val="TextBody"/>
        <w:bidi w:val="0"/>
        <w:spacing w:lineRule="auto" w:line="288" w:before="220" w:after="283"/>
        <w:jc w:val="left"/>
        <w:rPr>
          <w:color w:val="000000"/>
        </w:rPr>
      </w:pPr>
      <w:r>
        <w:rPr>
          <w:color w:val="000000"/>
        </w:rPr>
        <w:t> </w:t>
      </w:r>
    </w:p>
    <w:tbl>
      <w:tblPr>
        <w:tblW w:w="4529" w:type="dxa"/>
        <w:jc w:val="left"/>
        <w:tblInd w:w="0" w:type="dxa"/>
        <w:tblLayout w:type="fixed"/>
        <w:tblCellMar>
          <w:top w:w="28" w:type="dxa"/>
          <w:left w:w="28" w:type="dxa"/>
          <w:bottom w:w="28" w:type="dxa"/>
          <w:right w:w="28" w:type="dxa"/>
        </w:tblCellMar>
      </w:tblPr>
      <w:tblGrid>
        <w:gridCol w:w="923"/>
        <w:gridCol w:w="810"/>
        <w:gridCol w:w="817"/>
        <w:gridCol w:w="579"/>
        <w:gridCol w:w="579"/>
        <w:gridCol w:w="821"/>
      </w:tblGrid>
      <w:tr>
        <w:trPr/>
        <w:tc>
          <w:tcPr>
            <w:tcW w:w="9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Media:</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Investors:</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Marianne Ostrogorski</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Liz Shea</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(224) 240-6336</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(847) 935-2211</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Todd Bosse</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(847) 936-1182</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Jeffrey Byrne</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(847) 938-2923</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7820"/>
                <wp:effectExtent l="0" t="0" r="0" b="0"/>
                <wp:wrapNone/>
                <wp:docPr id="10" name="Frame9"/>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6</w:t>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AbbVie Inc.</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Key Product Revenues</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Quarter Ended June 30, 2026</w:t>
      </w:r>
    </w:p>
    <w:p>
      <w:pPr>
        <w:pStyle w:val="TextBody"/>
        <w:bidi w:val="0"/>
        <w:spacing w:lineRule="auto" w:line="288" w:before="0" w:after="0"/>
        <w:jc w:val="center"/>
        <w:rPr/>
      </w:pPr>
      <w:r>
        <w:rPr>
          <w:rFonts w:ascii="sans-serif" w:hAnsi="sans-serif"/>
          <w:b/>
          <w:color w:val="000000"/>
          <w:sz w:val="24"/>
        </w:rPr>
        <w:t>(Unaudited)</w:t>
      </w:r>
      <w:r>
        <w:rPr>
          <w:color w:val="000000"/>
        </w:rPr>
        <w:t> </w:t>
      </w:r>
    </w:p>
    <w:tbl>
      <w:tblPr>
        <w:tblW w:w="11207" w:type="dxa"/>
        <w:jc w:val="center"/>
        <w:tblInd w:w="0" w:type="dxa"/>
        <w:tblLayout w:type="fixed"/>
        <w:tblCellMar>
          <w:top w:w="28" w:type="dxa"/>
          <w:left w:w="28" w:type="dxa"/>
          <w:bottom w:w="28" w:type="dxa"/>
          <w:right w:w="28" w:type="dxa"/>
        </w:tblCellMar>
      </w:tblPr>
      <w:tblGrid>
        <w:gridCol w:w="652"/>
        <w:gridCol w:w="542"/>
        <w:gridCol w:w="412"/>
        <w:gridCol w:w="356"/>
        <w:gridCol w:w="356"/>
        <w:gridCol w:w="279"/>
        <w:gridCol w:w="109"/>
        <w:gridCol w:w="109"/>
        <w:gridCol w:w="109"/>
        <w:gridCol w:w="284"/>
        <w:gridCol w:w="284"/>
        <w:gridCol w:w="288"/>
        <w:gridCol w:w="109"/>
        <w:gridCol w:w="109"/>
        <w:gridCol w:w="109"/>
        <w:gridCol w:w="329"/>
        <w:gridCol w:w="329"/>
        <w:gridCol w:w="333"/>
        <w:gridCol w:w="109"/>
        <w:gridCol w:w="109"/>
        <w:gridCol w:w="109"/>
        <w:gridCol w:w="288"/>
        <w:gridCol w:w="271"/>
        <w:gridCol w:w="252"/>
        <w:gridCol w:w="109"/>
        <w:gridCol w:w="109"/>
        <w:gridCol w:w="109"/>
        <w:gridCol w:w="269"/>
        <w:gridCol w:w="269"/>
        <w:gridCol w:w="273"/>
        <w:gridCol w:w="109"/>
        <w:gridCol w:w="109"/>
        <w:gridCol w:w="109"/>
        <w:gridCol w:w="269"/>
        <w:gridCol w:w="269"/>
        <w:gridCol w:w="273"/>
        <w:gridCol w:w="109"/>
        <w:gridCol w:w="109"/>
        <w:gridCol w:w="109"/>
        <w:gridCol w:w="109"/>
        <w:gridCol w:w="109"/>
        <w:gridCol w:w="269"/>
        <w:gridCol w:w="269"/>
        <w:gridCol w:w="273"/>
        <w:gridCol w:w="161"/>
        <w:gridCol w:w="161"/>
        <w:gridCol w:w="161"/>
        <w:gridCol w:w="249"/>
        <w:gridCol w:w="249"/>
        <w:gridCol w:w="358"/>
      </w:tblGrid>
      <w:tr>
        <w:trPr/>
        <w:tc>
          <w:tcPr>
            <w:tcW w:w="65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3" w:type="dxa"/>
            <w:gridSpan w:val="2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 Change vs. 2Q25</w:t>
            </w:r>
          </w:p>
        </w:tc>
        <w:tc>
          <w:tcPr>
            <w:tcW w:w="1339" w:type="dxa"/>
            <w:gridSpan w:val="6"/>
            <w:tcBorders/>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Net Revenues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20"/>
              </w:rPr>
              <w:t>Operational</w:t>
            </w:r>
            <w:r>
              <w:rPr>
                <w:rFonts w:ascii="sans-serif" w:hAnsi="sans-serif"/>
                <w:b/>
                <w:color w:val="000000"/>
                <w:sz w:val="13"/>
              </w:rPr>
              <w:t>a</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u w:val="single"/>
              </w:rPr>
            </w:pPr>
            <w:r>
              <w:rPr>
                <w:rFonts w:ascii="sans-serif" w:hAnsi="sans-serif"/>
                <w:b/>
                <w:color w:val="000000"/>
                <w:sz w:val="20"/>
                <w:u w:val="single"/>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u w:val="single"/>
              </w:rPr>
            </w:pPr>
            <w:r>
              <w:rPr>
                <w:rFonts w:ascii="sans-serif" w:hAnsi="sans-serif"/>
                <w:b/>
                <w:color w:val="000000"/>
                <w:sz w:val="20"/>
                <w:u w:val="single"/>
              </w:rPr>
              <w:t>Int’l.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u w:val="single"/>
              </w:rPr>
            </w:pPr>
            <w:r>
              <w:rPr>
                <w:rFonts w:ascii="sans-serif" w:hAnsi="sans-serif"/>
                <w:b/>
                <w:color w:val="000000"/>
                <w:sz w:val="20"/>
                <w:u w:val="single"/>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u w:val="single"/>
              </w:rPr>
            </w:pPr>
            <w:r>
              <w:rPr>
                <w:rFonts w:ascii="sans-serif" w:hAnsi="sans-serif"/>
                <w:b/>
                <w:color w:val="000000"/>
                <w:sz w:val="20"/>
                <w:u w:val="single"/>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u w:val="single"/>
              </w:rPr>
            </w:pPr>
            <w:r>
              <w:rPr>
                <w:rFonts w:ascii="sans-serif" w:hAnsi="sans-serif"/>
                <w:b/>
                <w:color w:val="000000"/>
                <w:sz w:val="20"/>
                <w:u w:val="single"/>
              </w:rPr>
              <w:t>Int'l.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u w:val="single"/>
              </w:rPr>
            </w:pPr>
            <w:r>
              <w:rPr>
                <w:rFonts w:ascii="sans-serif" w:hAnsi="sans-serif"/>
                <w:b/>
                <w:color w:val="000000"/>
                <w:sz w:val="20"/>
                <w:u w:val="single"/>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u w:val="single"/>
              </w:rPr>
            </w:pPr>
            <w:r>
              <w:rPr>
                <w:rFonts w:ascii="sans-serif" w:hAnsi="sans-serif"/>
                <w:b/>
                <w:color w:val="000000"/>
                <w:sz w:val="20"/>
                <w:u w:val="single"/>
              </w:rPr>
              <w:t>Int'l.</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u w:val="single"/>
              </w:rPr>
            </w:pPr>
            <w:r>
              <w:rPr>
                <w:rFonts w:ascii="sans-serif" w:hAnsi="sans-serif"/>
                <w:b/>
                <w:color w:val="000000"/>
                <w:sz w:val="20"/>
                <w:u w:val="single"/>
              </w:rPr>
              <w:t>Total</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REVENUES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$12,861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$4,129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$16,990</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10.2%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10.2%</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9.5%</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Immunology</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6,957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8,786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15.1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16.8</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14.6</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Skyrizi</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4,767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5,505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24.4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24.2</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24.0</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Rinvoq</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1,765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2,525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24.5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29.2</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23.7</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Humira</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756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(35.9)</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(13.2)</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(36.1)</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Neuroscience</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2,771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3,228</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25.7</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19.8</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Vraylar</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1,071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18.9</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28.5</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18.9</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Botox Therapeutic</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864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1,042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12.5</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11.6</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Ubrelvy</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392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16.0</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52.5</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15.9</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Qulipta</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350</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&gt;100.0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30.9</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95.9</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30.3</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Vyalev</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256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&gt;100.0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&gt;100.0</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62.2</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&gt;100.0</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Neuroscience</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117</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(22.7)</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(12.4)</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(24.6)</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Oncology</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936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714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1,650</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7.6</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(2.4)</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Venclexta</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771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5.0</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9.6</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Imbruvica</w:t>
            </w:r>
            <w:r>
              <w:rPr>
                <w:rFonts w:ascii="sans-serif" w:hAnsi="sans-serif"/>
                <w:b w:val="false"/>
                <w:color w:val="000000"/>
                <w:sz w:val="13"/>
              </w:rPr>
              <w:t>b</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532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(29.4)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(7.8)</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(29.4)</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Elahere</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211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&gt;100.0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33.1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&gt;100.0</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31.8</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Epkinly</w:t>
            </w:r>
            <w:r>
              <w:rPr>
                <w:rFonts w:ascii="sans-serif" w:hAnsi="sans-serif"/>
                <w:b w:val="false"/>
                <w:color w:val="000000"/>
                <w:sz w:val="13"/>
              </w:rPr>
              <w:t>c</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46.8</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41.7</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48.1</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Oncology</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&gt;100.0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&gt;100.0</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n/m</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&gt;100.0</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Aesthetics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761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521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1,282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5.0</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(0.9)</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Botox Cosmetic</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728</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12.1</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3.4</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Juvederm Collection</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245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(6.0)</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(9.7)</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(6.6)</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Aesthetics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309</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11.8</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(5.5)</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Other Key Products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761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935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(9.9)</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(15.5)</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(10.3)</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Mavyret</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295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(21.2)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(16.9)</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(22.2)</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Creon</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345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(14.7)</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n/m</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(14.7)</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Linzess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295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13.9</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11.1</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13.7</w:t>
            </w:r>
          </w:p>
        </w:tc>
      </w:tr>
    </w:tbl>
    <w:p>
      <w:pPr>
        <w:pStyle w:val="TextBody"/>
        <w:bidi w:val="0"/>
        <w:spacing w:lineRule="auto" w:line="288" w:before="0" w:after="0"/>
        <w:ind w:left="0" w:right="0" w:hanging="180"/>
        <w:jc w:val="left"/>
        <w:rPr/>
      </w:pPr>
      <w:r>
        <w:rPr>
          <w:rFonts w:ascii="sans-serif" w:hAnsi="sans-serif"/>
          <w:b w:val="false"/>
          <w:color w:val="000000"/>
          <w:sz w:val="10"/>
        </w:rPr>
        <w:t xml:space="preserve">a </w:t>
      </w:r>
      <w:r>
        <w:rPr>
          <w:rFonts w:ascii="sans-serif" w:hAnsi="sans-serif"/>
          <w:b w:val="false"/>
          <w:color w:val="000000"/>
          <w:sz w:val="16"/>
        </w:rPr>
        <w:t xml:space="preserve">"Operational" comparisons are presented at constant currency rates that reflect comparative local currency net revenues at the prior year's foreign exchange rates. </w:t>
      </w:r>
    </w:p>
    <w:p>
      <w:pPr>
        <w:pStyle w:val="TextBody"/>
        <w:bidi w:val="0"/>
        <w:spacing w:lineRule="auto" w:line="288" w:before="100" w:after="283"/>
        <w:jc w:val="left"/>
        <w:rPr/>
      </w:pPr>
      <w:r>
        <w:rPr>
          <w:rFonts w:ascii="sans-serif" w:hAnsi="sans-serif"/>
          <w:b w:val="false"/>
          <w:color w:val="000000"/>
          <w:sz w:val="10"/>
        </w:rPr>
        <w:t xml:space="preserve">b </w:t>
      </w:r>
      <w:r>
        <w:rPr>
          <w:rFonts w:ascii="sans-serif" w:hAnsi="sans-serif"/>
          <w:b w:val="false"/>
          <w:color w:val="000000"/>
          <w:sz w:val="16"/>
        </w:rPr>
        <w:t>Reflects profit sharing for Imbruvica international revenues.</w:t>
      </w:r>
    </w:p>
    <w:p>
      <w:pPr>
        <w:pStyle w:val="TextBody"/>
        <w:bidi w:val="0"/>
        <w:spacing w:lineRule="auto" w:line="288" w:before="100" w:after="283"/>
        <w:ind w:left="0" w:right="0" w:hanging="180"/>
        <w:jc w:val="left"/>
        <w:rPr/>
      </w:pPr>
      <w:r>
        <w:rPr>
          <w:rFonts w:ascii="sans-serif" w:hAnsi="sans-serif"/>
          <w:b w:val="false"/>
          <w:color w:val="000000"/>
          <w:sz w:val="10"/>
        </w:rPr>
        <w:t xml:space="preserve">c </w:t>
      </w:r>
      <w:r>
        <w:rPr>
          <w:rFonts w:ascii="sans-serif" w:hAnsi="sans-serif"/>
          <w:b w:val="false"/>
          <w:color w:val="000000"/>
          <w:sz w:val="16"/>
        </w:rPr>
        <w:t>Epkinly U.S. revenues reflect profit sharing. International revenues reflect product revenues as well as profit sharing from certain international territories.</w:t>
      </w:r>
    </w:p>
    <w:p>
      <w:pPr>
        <w:pStyle w:val="TextBody"/>
        <w:bidi w:val="0"/>
        <w:spacing w:lineRule="auto" w:line="288" w:before="100" w:after="283"/>
        <w:jc w:val="left"/>
        <w:rPr>
          <w:rFonts w:ascii="sans-serif" w:hAnsi="sans-serif"/>
          <w:b w:val="false"/>
          <w:color w:val="000000"/>
          <w:sz w:val="16"/>
        </w:rPr>
      </w:pPr>
      <w:r>
        <w:rPr>
          <w:rFonts w:ascii="sans-serif" w:hAnsi="sans-serif"/>
          <w:b w:val="false"/>
          <w:color w:val="000000"/>
          <w:sz w:val="16"/>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7820"/>
                <wp:effectExtent l="0" t="0" r="0" b="0"/>
                <wp:wrapNone/>
                <wp:docPr id="11" name="Frame10"/>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7</w:t>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AbbVie Inc.</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Key Product Revenues</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Six Months Ended June 30, 2026</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(Unaudited)</w:t>
      </w:r>
    </w:p>
    <w:tbl>
      <w:tblPr>
        <w:tblW w:w="10989" w:type="dxa"/>
        <w:jc w:val="left"/>
        <w:tblInd w:w="0" w:type="dxa"/>
        <w:tblLayout w:type="fixed"/>
        <w:tblCellMar>
          <w:top w:w="28" w:type="dxa"/>
          <w:left w:w="28" w:type="dxa"/>
          <w:bottom w:w="28" w:type="dxa"/>
          <w:right w:w="28" w:type="dxa"/>
        </w:tblCellMar>
      </w:tblPr>
      <w:tblGrid>
        <w:gridCol w:w="652"/>
        <w:gridCol w:w="542"/>
        <w:gridCol w:w="412"/>
        <w:gridCol w:w="356"/>
        <w:gridCol w:w="356"/>
        <w:gridCol w:w="279"/>
        <w:gridCol w:w="109"/>
        <w:gridCol w:w="109"/>
        <w:gridCol w:w="109"/>
        <w:gridCol w:w="284"/>
        <w:gridCol w:w="284"/>
        <w:gridCol w:w="288"/>
        <w:gridCol w:w="109"/>
        <w:gridCol w:w="109"/>
        <w:gridCol w:w="109"/>
        <w:gridCol w:w="329"/>
        <w:gridCol w:w="329"/>
        <w:gridCol w:w="333"/>
        <w:gridCol w:w="109"/>
        <w:gridCol w:w="109"/>
        <w:gridCol w:w="109"/>
        <w:gridCol w:w="288"/>
        <w:gridCol w:w="271"/>
        <w:gridCol w:w="252"/>
        <w:gridCol w:w="109"/>
        <w:gridCol w:w="109"/>
        <w:gridCol w:w="109"/>
        <w:gridCol w:w="269"/>
        <w:gridCol w:w="269"/>
        <w:gridCol w:w="273"/>
        <w:gridCol w:w="109"/>
        <w:gridCol w:w="109"/>
        <w:gridCol w:w="109"/>
        <w:gridCol w:w="269"/>
        <w:gridCol w:w="269"/>
        <w:gridCol w:w="273"/>
        <w:gridCol w:w="109"/>
        <w:gridCol w:w="109"/>
        <w:gridCol w:w="109"/>
        <w:gridCol w:w="269"/>
        <w:gridCol w:w="269"/>
        <w:gridCol w:w="273"/>
        <w:gridCol w:w="161"/>
        <w:gridCol w:w="161"/>
        <w:gridCol w:w="161"/>
        <w:gridCol w:w="249"/>
        <w:gridCol w:w="249"/>
        <w:gridCol w:w="358"/>
      </w:tblGrid>
      <w:tr>
        <w:trPr/>
        <w:tc>
          <w:tcPr>
            <w:tcW w:w="65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 Change vs. 6M25</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Net Revenues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20"/>
              </w:rPr>
              <w:t>Operational</w:t>
            </w:r>
            <w:r>
              <w:rPr>
                <w:rFonts w:ascii="sans-serif" w:hAnsi="sans-serif"/>
                <w:b/>
                <w:color w:val="000000"/>
                <w:sz w:val="13"/>
              </w:rPr>
              <w:t>a</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u w:val="single"/>
              </w:rPr>
            </w:pPr>
            <w:r>
              <w:rPr>
                <w:rFonts w:ascii="sans-serif" w:hAnsi="sans-serif"/>
                <w:b/>
                <w:color w:val="000000"/>
                <w:sz w:val="20"/>
                <w:u w:val="single"/>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u w:val="single"/>
              </w:rPr>
            </w:pPr>
            <w:r>
              <w:rPr>
                <w:rFonts w:ascii="sans-serif" w:hAnsi="sans-serif"/>
                <w:b/>
                <w:color w:val="000000"/>
                <w:sz w:val="20"/>
                <w:u w:val="single"/>
              </w:rPr>
              <w:t>Int’l.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u w:val="single"/>
              </w:rPr>
            </w:pPr>
            <w:r>
              <w:rPr>
                <w:rFonts w:ascii="sans-serif" w:hAnsi="sans-serif"/>
                <w:b/>
                <w:color w:val="000000"/>
                <w:sz w:val="20"/>
                <w:u w:val="single"/>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u w:val="single"/>
              </w:rPr>
            </w:pPr>
            <w:r>
              <w:rPr>
                <w:rFonts w:ascii="sans-serif" w:hAnsi="sans-serif"/>
                <w:b/>
                <w:color w:val="000000"/>
                <w:sz w:val="20"/>
                <w:u w:val="single"/>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u w:val="single"/>
              </w:rPr>
            </w:pPr>
            <w:r>
              <w:rPr>
                <w:rFonts w:ascii="sans-serif" w:hAnsi="sans-serif"/>
                <w:b/>
                <w:color w:val="000000"/>
                <w:sz w:val="20"/>
                <w:u w:val="single"/>
              </w:rPr>
              <w:t>Int’l.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u w:val="single"/>
              </w:rPr>
            </w:pPr>
            <w:r>
              <w:rPr>
                <w:rFonts w:ascii="sans-serif" w:hAnsi="sans-serif"/>
                <w:b/>
                <w:color w:val="000000"/>
                <w:sz w:val="20"/>
                <w:u w:val="single"/>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u w:val="single"/>
              </w:rPr>
            </w:pPr>
            <w:r>
              <w:rPr>
                <w:rFonts w:ascii="sans-serif" w:hAnsi="sans-serif"/>
                <w:b/>
                <w:color w:val="000000"/>
                <w:sz w:val="20"/>
                <w:u w:val="single"/>
              </w:rPr>
              <w:t>Int’l.</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u w:val="single"/>
              </w:rPr>
            </w:pPr>
            <w:r>
              <w:rPr>
                <w:rFonts w:ascii="sans-serif" w:hAnsi="sans-serif"/>
                <w:b/>
                <w:color w:val="000000"/>
                <w:sz w:val="20"/>
                <w:u w:val="single"/>
              </w:rPr>
              <w:t>Total</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REVENUES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$23,830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$8,162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$31,992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11.2%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10.7%</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9.9%</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Immunology</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12,494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3,582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16,076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15.7</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17.1</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14.5</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Skyrizi</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8,542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1,446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9,988</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27.3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26.0</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26.3</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Rinvoq</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3,170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1,474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4,644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24.0</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30.9</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22.2</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Humira</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1,444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(37.2)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(15.3)</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(38.2)</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Neuroscience</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5,230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873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6,103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22.9</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23.9</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21.8</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Vraylar</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1,970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1,976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18.6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41.1</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18.6</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Botox Therapeutic</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1,706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2,051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14.3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9.7</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13.2</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Ubrelvy</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731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26.5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39.1</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26.4</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Qulipta</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646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&gt;100.0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40.5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97.5</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39.2</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Vyalev</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457</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&gt;100.0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80.7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&gt;100.0</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68.4</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&gt;100.0</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Neuroscience</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242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(21.2)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(12.0)</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(24.8)</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Oncology</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1,818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3,281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(0.9)</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11.5</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(2.8)</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Venclexta</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831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1,541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7.5</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9.6</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Imbruvica</w:t>
            </w:r>
            <w:r>
              <w:rPr>
                <w:rFonts w:ascii="sans-serif" w:hAnsi="sans-serif"/>
                <w:b w:val="false"/>
                <w:color w:val="000000"/>
                <w:sz w:val="13"/>
              </w:rPr>
              <w:t>b</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1,088</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(27.1)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(0.3)</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(27.1)</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Elahere</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409</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&gt;100.0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21.2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&gt;100.0</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19.3</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Epkinly</w:t>
            </w:r>
            <w:r>
              <w:rPr>
                <w:rFonts w:ascii="sans-serif" w:hAnsi="sans-serif"/>
                <w:b w:val="false"/>
                <w:color w:val="000000"/>
                <w:sz w:val="13"/>
              </w:rPr>
              <w:t>c</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186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53.3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57.3</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52.2</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Oncology</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57</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&gt;100.0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&gt;100.0</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n/m</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&gt;100.0</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Aesthetics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2,468</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3.7</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1.9</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1.9</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Botox Cosmetic</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1,396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11.9</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9.7</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9.5</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Juvederm Collection</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477</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(3.0)</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(10.0)</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(4.9)</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Aesthetics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595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(4.5)</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(7.8)</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Other Key Products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1,577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1,930</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(11.9)</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3.3</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Mavyret</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646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(13.0)</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(8.3)</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Creon</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706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(7.0)</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n/m</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(7.0)</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Linzess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578</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42.1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7.2</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41.8</w:t>
            </w:r>
          </w:p>
        </w:tc>
      </w:tr>
    </w:tbl>
    <w:p>
      <w:pPr>
        <w:pStyle w:val="TextBody"/>
        <w:bidi w:val="0"/>
        <w:spacing w:lineRule="auto" w:line="288" w:before="100" w:after="283"/>
        <w:ind w:left="0" w:right="0" w:hanging="180"/>
        <w:jc w:val="left"/>
        <w:rPr/>
      </w:pPr>
      <w:r>
        <w:rPr>
          <w:rFonts w:ascii="sans-serif" w:hAnsi="sans-serif"/>
          <w:b w:val="false"/>
          <w:color w:val="000000"/>
          <w:sz w:val="10"/>
        </w:rPr>
        <w:t xml:space="preserve">a </w:t>
      </w:r>
      <w:r>
        <w:rPr>
          <w:rFonts w:ascii="sans-serif" w:hAnsi="sans-serif"/>
          <w:b w:val="false"/>
          <w:color w:val="000000"/>
          <w:sz w:val="16"/>
        </w:rPr>
        <w:t>"Operational" comparisons are presented at constant currency rates that reflect comparative local currency net revenues at the prior year's foreign exchange rates.</w:t>
      </w:r>
    </w:p>
    <w:p>
      <w:pPr>
        <w:pStyle w:val="TextBody"/>
        <w:bidi w:val="0"/>
        <w:spacing w:lineRule="auto" w:line="288" w:before="100" w:after="283"/>
        <w:ind w:left="0" w:right="0" w:hanging="180"/>
        <w:jc w:val="left"/>
        <w:rPr/>
      </w:pPr>
      <w:r>
        <w:rPr>
          <w:rFonts w:ascii="sans-serif" w:hAnsi="sans-serif"/>
          <w:b w:val="false"/>
          <w:color w:val="000000"/>
          <w:sz w:val="10"/>
        </w:rPr>
        <w:t xml:space="preserve">b </w:t>
      </w:r>
      <w:r>
        <w:rPr>
          <w:rFonts w:ascii="sans-serif" w:hAnsi="sans-serif"/>
          <w:b w:val="false"/>
          <w:color w:val="000000"/>
          <w:sz w:val="16"/>
        </w:rPr>
        <w:t>Reflects profit sharing for Imbruvica international revenues.</w:t>
      </w:r>
    </w:p>
    <w:p>
      <w:pPr>
        <w:pStyle w:val="TextBody"/>
        <w:bidi w:val="0"/>
        <w:spacing w:lineRule="auto" w:line="288" w:before="100" w:after="283"/>
        <w:ind w:left="0" w:right="0" w:hanging="180"/>
        <w:jc w:val="left"/>
        <w:rPr/>
      </w:pPr>
      <w:r>
        <w:rPr>
          <w:rFonts w:ascii="sans-serif" w:hAnsi="sans-serif"/>
          <w:b w:val="false"/>
          <w:color w:val="000000"/>
          <w:sz w:val="10"/>
        </w:rPr>
        <w:t xml:space="preserve">c </w:t>
      </w:r>
      <w:r>
        <w:rPr>
          <w:rFonts w:ascii="sans-serif" w:hAnsi="sans-serif"/>
          <w:b w:val="false"/>
          <w:color w:val="000000"/>
          <w:sz w:val="16"/>
        </w:rPr>
        <w:t>Epkinly U.S. revenues reflect profit sharing. International revenues reflect product revenues as well as profit sharing from certain international territories.</w:t>
      </w:r>
    </w:p>
    <w:p>
      <w:pPr>
        <w:pStyle w:val="TextBody"/>
        <w:bidi w:val="0"/>
        <w:spacing w:lineRule="auto" w:line="288" w:before="100" w:after="283"/>
        <w:ind w:left="0" w:right="0" w:hanging="180"/>
        <w:jc w:val="left"/>
        <w:rPr>
          <w:rFonts w:ascii="sans-serif" w:hAnsi="sans-serif"/>
          <w:b w:val="false"/>
          <w:color w:val="000000"/>
          <w:sz w:val="16"/>
          <w:shd w:fill="FFFFFF" w:val="clear"/>
        </w:rPr>
      </w:pPr>
      <w:r>
        <w:rPr>
          <w:rFonts w:ascii="sans-serif" w:hAnsi="sans-serif"/>
          <w:b w:val="false"/>
          <w:color w:val="000000"/>
          <w:sz w:val="16"/>
          <w:shd w:fill="FFFFFF" w:val="clear"/>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7820"/>
                <wp:effectExtent l="0" t="0" r="0" b="0"/>
                <wp:wrapNone/>
                <wp:docPr id="12" name="Frame11"/>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8</w:t>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AbbVie Inc.</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Consolidated Statements of Earnings </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(Unaudited)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69"/>
        <w:gridCol w:w="1380"/>
        <w:gridCol w:w="1384"/>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56"/>
      </w:tblGrid>
      <w:tr>
        <w:trPr/>
        <w:tc>
          <w:tcPr>
            <w:tcW w:w="176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 millions, except per share data)</w:t>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Second Quarter</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w:t>
              <w:br/>
              <w:t>Ended June 30</w:t>
            </w:r>
          </w:p>
        </w:tc>
      </w:tr>
      <w:tr>
        <w:trPr/>
        <w:tc>
          <w:tcPr>
            <w:tcW w:w="4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4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revenues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31,992 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28,766 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products sold</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8,348 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6,546 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4,198 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Acquired IPR&amp;D and milestones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operating income</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costs and expenses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21,570 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20,139 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earnings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8,627 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expense,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4,107 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Earnings before income tax expense</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earnings</w:t>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2,230 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earnings attributable to noncontrolling interest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earnings attributable to AbbVie Inc.</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2,224 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earnings per share attributable to AbbVie Inc.</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Adjusted diluted earnings per share</w:t>
            </w:r>
            <w:r>
              <w:rPr>
                <w:rFonts w:ascii="sans-serif" w:hAnsi="sans-serif"/>
                <w:b w:val="false"/>
                <w:color w:val="000000"/>
                <w:sz w:val="13"/>
              </w:rPr>
              <w:t>a</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Weighted-average diluted shares outstanding</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pPr>
      <w:r>
        <w:rPr>
          <w:rFonts w:ascii="sans-serif" w:hAnsi="sans-serif"/>
          <w:b w:val="false"/>
          <w:color w:val="000000"/>
          <w:sz w:val="10"/>
        </w:rPr>
        <w:t>a    </w:t>
      </w:r>
      <w:r>
        <w:rPr>
          <w:rFonts w:ascii="sans-serif" w:hAnsi="sans-serif"/>
          <w:b w:val="false"/>
          <w:color w:val="000000"/>
          <w:sz w:val="16"/>
        </w:rPr>
        <w:t>Refer to the Reconciliation of GAAP Reported to Non-GAAP Adjusted Information for further details.</w:t>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37820"/>
                <wp:effectExtent l="0" t="0" r="0" b="0"/>
                <wp:wrapNone/>
                <wp:docPr id="13" name="Frame12"/>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9</w:t>
                      </w:r>
                    </w:p>
                  </w:txbxContent>
                </v:textbox>
                <w10:wrap type="none"/>
              </v:rect>
            </w:pict>
          </mc:Fallback>
        </mc:AlternateContent>
      </w:r>
    </w:p>
    <w:p>
      <w:pPr>
        <w:pStyle w:val="TextBody"/>
        <w:bidi w:val="0"/>
        <w:spacing w:lineRule="auto" w:line="288" w:before="200" w:after="283"/>
        <w:jc w:val="center"/>
        <w:rPr>
          <w:rFonts w:ascii="sans-serif" w:hAnsi="sans-serif"/>
          <w:b/>
          <w:color w:val="000000"/>
          <w:sz w:val="24"/>
        </w:rPr>
      </w:pPr>
      <w:r>
        <w:rPr>
          <w:rFonts w:ascii="sans-serif" w:hAnsi="sans-serif"/>
          <w:b/>
          <w:color w:val="000000"/>
          <w:sz w:val="24"/>
        </w:rPr>
        <w:t>AbbVie Inc.</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Reconciliation of GAAP Reported to Non-GAAP Adjusted Information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(Unaudited)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1.     Specified items impacted results as follows:</w:t>
      </w:r>
    </w:p>
    <w:tbl>
      <w:tblPr>
        <w:tblW w:w="8832" w:type="dxa"/>
        <w:jc w:val="left"/>
        <w:tblInd w:w="0" w:type="dxa"/>
        <w:tblLayout w:type="fixed"/>
        <w:tblCellMar>
          <w:top w:w="28" w:type="dxa"/>
          <w:left w:w="28" w:type="dxa"/>
          <w:bottom w:w="28" w:type="dxa"/>
          <w:right w:w="28" w:type="dxa"/>
        </w:tblCellMar>
      </w:tblPr>
      <w:tblGrid>
        <w:gridCol w:w="1764"/>
        <w:gridCol w:w="1553"/>
        <w:gridCol w:w="1558"/>
        <w:gridCol w:w="241"/>
        <w:gridCol w:w="781"/>
        <w:gridCol w:w="109"/>
        <w:gridCol w:w="109"/>
        <w:gridCol w:w="109"/>
        <w:gridCol w:w="109"/>
        <w:gridCol w:w="241"/>
        <w:gridCol w:w="781"/>
        <w:gridCol w:w="109"/>
        <w:gridCol w:w="109"/>
        <w:gridCol w:w="109"/>
        <w:gridCol w:w="109"/>
        <w:gridCol w:w="241"/>
        <w:gridCol w:w="646"/>
        <w:gridCol w:w="154"/>
      </w:tblGrid>
      <w:tr>
        <w:trPr/>
        <w:tc>
          <w:tcPr>
            <w:tcW w:w="1764"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Quarter Ended June 30, 2026</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 millions, except per share data)</w:t>
            </w:r>
          </w:p>
        </w:tc>
        <w:tc>
          <w:tcPr>
            <w:tcW w:w="2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Diluted</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sans-serif" w:hAnsi="sans-serif"/>
                <w:b w:val="false"/>
                <w:color w:val="000000"/>
                <w:sz w:val="20"/>
              </w:rPr>
              <w:t>After-tax</w:t>
            </w:r>
            <w:r>
              <w:rPr>
                <w:rFonts w:ascii="sans-serif" w:hAnsi="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EPS</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reported (GAAP)</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4,278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3,613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2.03</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for specified items:</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 amortization</w:t>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Change in fair value of contingent consideration </w:t>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adjusted (non-GAAP)</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7,613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6,491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3.65</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sans-serif" w:hAnsi="sans-serif"/>
          <w:b w:val="false"/>
          <w:color w:val="000000"/>
          <w:sz w:val="10"/>
        </w:rPr>
        <w:t>a     </w:t>
      </w:r>
      <w:r>
        <w:rPr>
          <w:rFonts w:ascii="sans-serif" w:hAnsi="sans-serif"/>
          <w:b w:val="false"/>
          <w:color w:val="000000"/>
          <w:sz w:val="16"/>
        </w:rPr>
        <w:t>Represents net earnings attributable to AbbVie Inc. Specified items reflect the impact of applicable statutory tax rates.</w:t>
      </w:r>
    </w:p>
    <w:p>
      <w:pPr>
        <w:pStyle w:val="TextBody"/>
        <w:bidi w:val="0"/>
        <w:spacing w:lineRule="auto" w:line="268" w:before="200" w:after="283"/>
        <w:jc w:val="left"/>
        <w:rPr>
          <w:rFonts w:ascii="sans-serif" w:hAnsi="sans-serif"/>
          <w:b w:val="false"/>
          <w:color w:val="000000"/>
          <w:sz w:val="20"/>
        </w:rPr>
      </w:pPr>
      <w:r>
        <w:rPr>
          <w:rFonts w:ascii="sans-serif" w:hAnsi="sans-serif"/>
          <w:b w:val="false"/>
          <w:color w:val="000000"/>
          <w:sz w:val="20"/>
        </w:rPr>
        <w:t>Reported GAAP earnings and adjusted non-GAAP earnings for the three months ended June 30, 2026 included acquired IPR&amp;D and milestone expense of $291 million on a pre-tax and $288 million on an after-tax basis, representing an unfavorable impact of $0.17 to both diluted EPS and adjusted diluted EPS.</w:t>
      </w:r>
    </w:p>
    <w:p>
      <w:pPr>
        <w:pStyle w:val="TextBody"/>
        <w:bidi w:val="0"/>
        <w:spacing w:lineRule="auto" w:line="288" w:before="200" w:after="283"/>
        <w:jc w:val="left"/>
        <w:rPr>
          <w:rFonts w:ascii="sans-serif" w:hAnsi="sans-serif"/>
          <w:b w:val="false"/>
          <w:color w:val="000000"/>
          <w:sz w:val="20"/>
        </w:rPr>
      </w:pPr>
      <w:r>
        <w:rPr>
          <w:rFonts w:ascii="sans-serif" w:hAnsi="sans-serif"/>
          <w:b w:val="false"/>
          <w:color w:val="000000"/>
          <w:sz w:val="20"/>
        </w:rPr>
        <w:t>2. The impact of the specified items by line item was as follows:</w:t>
      </w:r>
    </w:p>
    <w:tbl>
      <w:tblPr>
        <w:tblW w:w="10205" w:type="dxa"/>
        <w:jc w:val="left"/>
        <w:tblInd w:w="0" w:type="dxa"/>
        <w:tblLayout w:type="fixed"/>
        <w:tblCellMar>
          <w:top w:w="28" w:type="dxa"/>
          <w:left w:w="28" w:type="dxa"/>
          <w:bottom w:w="28" w:type="dxa"/>
          <w:right w:w="28" w:type="dxa"/>
        </w:tblCellMar>
      </w:tblPr>
      <w:tblGrid>
        <w:gridCol w:w="1275"/>
        <w:gridCol w:w="906"/>
        <w:gridCol w:w="908"/>
        <w:gridCol w:w="109"/>
        <w:gridCol w:w="109"/>
        <w:gridCol w:w="348"/>
        <w:gridCol w:w="1128"/>
        <w:gridCol w:w="157"/>
        <w:gridCol w:w="109"/>
        <w:gridCol w:w="109"/>
        <w:gridCol w:w="109"/>
        <w:gridCol w:w="241"/>
        <w:gridCol w:w="781"/>
        <w:gridCol w:w="109"/>
        <w:gridCol w:w="109"/>
        <w:gridCol w:w="109"/>
        <w:gridCol w:w="109"/>
        <w:gridCol w:w="241"/>
        <w:gridCol w:w="781"/>
        <w:gridCol w:w="109"/>
        <w:gridCol w:w="109"/>
        <w:gridCol w:w="109"/>
        <w:gridCol w:w="109"/>
        <w:gridCol w:w="109"/>
        <w:gridCol w:w="109"/>
        <w:gridCol w:w="109"/>
        <w:gridCol w:w="109"/>
        <w:gridCol w:w="324"/>
        <w:gridCol w:w="1051"/>
        <w:gridCol w:w="211"/>
      </w:tblGrid>
      <w:tr>
        <w:trPr/>
        <w:tc>
          <w:tcPr>
            <w:tcW w:w="127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5"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Quarter Ended June 30, 2026</w:t>
            </w:r>
          </w:p>
        </w:tc>
        <w:tc>
          <w:tcPr>
            <w:tcW w:w="1913" w:type="dxa"/>
            <w:gridSpan w:val="6"/>
            <w:tcBorders/>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Cost of products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SG&amp;A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R&amp;D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Other expense, net</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reported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1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4,291</w:t>
            </w:r>
            <w:r>
              <w:rPr>
                <w:color w:val="000000"/>
              </w:rPr>
              <w:t>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3,632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2,344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1,475</w:t>
            </w:r>
            <w:r>
              <w:rPr>
                <w:color w:val="000000"/>
              </w:rPr>
              <w:t>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for specified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(1,689)</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fair value of 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(1,518)</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As adjusted</w:t>
            </w:r>
            <w:r>
              <w:rPr>
                <w:color w:val="000000"/>
              </w:rPr>
              <w:t xml:space="preserve"> </w:t>
            </w:r>
            <w:r>
              <w:rPr>
                <w:rFonts w:ascii="sans-serif" w:hAnsi="sans-serif"/>
                <w:b/>
                <w:color w:val="000000"/>
                <w:sz w:val="20"/>
              </w:rPr>
              <w:t>(non-GAAP)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2,598</w:t>
            </w:r>
            <w:r>
              <w:rPr>
                <w:color w:val="000000"/>
              </w:rPr>
              <w:t>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3,574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2,314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0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(79)</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sans-serif" w:hAnsi="sans-serif"/>
          <w:b w:val="false"/>
          <w:color w:val="000000"/>
          <w:sz w:val="20"/>
        </w:rPr>
      </w:pPr>
      <w:r>
        <w:rPr>
          <w:rFonts w:ascii="sans-serif" w:hAnsi="sans-serif"/>
          <w:b w:val="false"/>
          <w:color w:val="000000"/>
          <w:sz w:val="20"/>
        </w:rPr>
        <w:t>3. The adjusted tax rate for the second quarter of 2026 was 14.7 percent, as detailed below:</w:t>
      </w:r>
    </w:p>
    <w:tbl>
      <w:tblPr>
        <w:tblW w:w="7766" w:type="dxa"/>
        <w:jc w:val="left"/>
        <w:tblInd w:w="0" w:type="dxa"/>
        <w:tblLayout w:type="fixed"/>
        <w:tblCellMar>
          <w:top w:w="28" w:type="dxa"/>
          <w:left w:w="28" w:type="dxa"/>
          <w:bottom w:w="28" w:type="dxa"/>
          <w:right w:w="28" w:type="dxa"/>
        </w:tblCellMar>
      </w:tblPr>
      <w:tblGrid>
        <w:gridCol w:w="994"/>
        <w:gridCol w:w="874"/>
        <w:gridCol w:w="876"/>
        <w:gridCol w:w="364"/>
        <w:gridCol w:w="1181"/>
        <w:gridCol w:w="164"/>
        <w:gridCol w:w="109"/>
        <w:gridCol w:w="109"/>
        <w:gridCol w:w="109"/>
        <w:gridCol w:w="303"/>
        <w:gridCol w:w="984"/>
        <w:gridCol w:w="137"/>
        <w:gridCol w:w="109"/>
        <w:gridCol w:w="109"/>
        <w:gridCol w:w="109"/>
        <w:gridCol w:w="323"/>
        <w:gridCol w:w="323"/>
        <w:gridCol w:w="589"/>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0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Quarter Ended June 30, 2026</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(dollars in millions)</w:t>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Pre-tax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Tax rate</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reported (GAAP)</w:t>
            </w:r>
          </w:p>
        </w:tc>
        <w:tc>
          <w:tcPr>
            <w:tcW w:w="3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4,278</w:t>
            </w:r>
            <w:r>
              <w:rPr>
                <w:color w:val="000000"/>
              </w:rPr>
              <w:t>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662</w:t>
            </w:r>
            <w:r>
              <w:rPr>
                <w:color w:val="000000"/>
              </w:rPr>
              <w:t>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15.5</w:t>
            </w:r>
            <w:r>
              <w:rPr>
                <w:color w:val="000000"/>
              </w:rPr>
              <w:t> </w:t>
            </w:r>
          </w:p>
        </w:tc>
        <w:tc>
          <w:tcPr>
            <w:tcW w:w="5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Specified items</w:t>
            </w:r>
          </w:p>
        </w:tc>
        <w:tc>
          <w:tcPr>
            <w:tcW w:w="1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3,335 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457 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13.7 </w:t>
            </w:r>
          </w:p>
        </w:tc>
        <w:tc>
          <w:tcPr>
            <w:tcW w:w="58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As adjusted</w:t>
            </w:r>
            <w:r>
              <w:rPr>
                <w:color w:val="000000"/>
              </w:rPr>
              <w:t xml:space="preserve"> </w:t>
            </w:r>
            <w:r>
              <w:rPr>
                <w:rFonts w:ascii="sans-serif" w:hAnsi="sans-serif"/>
                <w:b/>
                <w:color w:val="000000"/>
                <w:sz w:val="20"/>
              </w:rPr>
              <w:t>(non-GAAP)</w:t>
            </w:r>
          </w:p>
        </w:tc>
        <w:tc>
          <w:tcPr>
            <w:tcW w:w="3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7,613</w:t>
            </w:r>
            <w:r>
              <w:rPr>
                <w:color w:val="000000"/>
              </w:rPr>
              <w:t>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1,119</w:t>
            </w:r>
            <w:r>
              <w:rPr>
                <w:color w:val="000000"/>
              </w:rPr>
              <w:t>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14.7</w:t>
            </w:r>
            <w:r>
              <w:rPr>
                <w:color w:val="000000"/>
              </w:rPr>
              <w:t> </w:t>
            </w:r>
          </w:p>
        </w:tc>
        <w:tc>
          <w:tcPr>
            <w:tcW w:w="5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37820"/>
                <wp:effectExtent l="0" t="0" r="0" b="0"/>
                <wp:wrapNone/>
                <wp:docPr id="14" name="Frame13"/>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10</w:t>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AbbVie Inc.</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Reconciliation of GAAP Reported to Non-GAAP Adjusted Information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(Unaudited)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1.     Specified items impacted results as follows:</w:t>
      </w:r>
    </w:p>
    <w:tbl>
      <w:tblPr>
        <w:tblW w:w="8832" w:type="dxa"/>
        <w:jc w:val="left"/>
        <w:tblInd w:w="0" w:type="dxa"/>
        <w:tblLayout w:type="fixed"/>
        <w:tblCellMar>
          <w:top w:w="28" w:type="dxa"/>
          <w:left w:w="28" w:type="dxa"/>
          <w:bottom w:w="28" w:type="dxa"/>
          <w:right w:w="28" w:type="dxa"/>
        </w:tblCellMar>
      </w:tblPr>
      <w:tblGrid>
        <w:gridCol w:w="1764"/>
        <w:gridCol w:w="1553"/>
        <w:gridCol w:w="1558"/>
        <w:gridCol w:w="241"/>
        <w:gridCol w:w="781"/>
        <w:gridCol w:w="109"/>
        <w:gridCol w:w="109"/>
        <w:gridCol w:w="109"/>
        <w:gridCol w:w="109"/>
        <w:gridCol w:w="241"/>
        <w:gridCol w:w="781"/>
        <w:gridCol w:w="109"/>
        <w:gridCol w:w="109"/>
        <w:gridCol w:w="109"/>
        <w:gridCol w:w="109"/>
        <w:gridCol w:w="241"/>
        <w:gridCol w:w="646"/>
        <w:gridCol w:w="154"/>
      </w:tblGrid>
      <w:tr>
        <w:trPr/>
        <w:tc>
          <w:tcPr>
            <w:tcW w:w="1764"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Quarter Ended June 30, 2025</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 millions, except per share data)</w:t>
            </w:r>
          </w:p>
        </w:tc>
        <w:tc>
          <w:tcPr>
            <w:tcW w:w="2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Diluted</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sans-serif" w:hAnsi="sans-serif"/>
                <w:b w:val="false"/>
                <w:color w:val="000000"/>
                <w:sz w:val="20"/>
              </w:rPr>
              <w:t>After-tax</w:t>
            </w:r>
            <w:r>
              <w:rPr>
                <w:rFonts w:ascii="sans-serif" w:hAnsi="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EPS</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reported (GAAP)</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1,554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938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0.52</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for specified items:</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 amortization</w:t>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Change in fair value of contingent consideration </w:t>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adjusted (non-GAAP)</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6,304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5,278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2.97</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sans-serif" w:hAnsi="sans-serif"/>
          <w:b w:val="false"/>
          <w:color w:val="000000"/>
          <w:sz w:val="10"/>
        </w:rPr>
        <w:t>a     </w:t>
      </w:r>
      <w:r>
        <w:rPr>
          <w:rFonts w:ascii="sans-serif" w:hAnsi="sans-serif"/>
          <w:b w:val="false"/>
          <w:color w:val="000000"/>
          <w:sz w:val="16"/>
        </w:rPr>
        <w:t>Represents net earnings attributable to AbbVie Inc. Specified items reflect the impact of applicable statutory tax rates.</w:t>
      </w:r>
    </w:p>
    <w:p>
      <w:pPr>
        <w:pStyle w:val="TextBody"/>
        <w:bidi w:val="0"/>
        <w:spacing w:lineRule="auto" w:line="268" w:before="200" w:after="283"/>
        <w:jc w:val="left"/>
        <w:rPr>
          <w:rFonts w:ascii="sans-serif" w:hAnsi="sans-serif"/>
          <w:b w:val="false"/>
          <w:color w:val="000000"/>
          <w:sz w:val="20"/>
        </w:rPr>
      </w:pPr>
      <w:r>
        <w:rPr>
          <w:rFonts w:ascii="sans-serif" w:hAnsi="sans-serif"/>
          <w:b w:val="false"/>
          <w:color w:val="000000"/>
          <w:sz w:val="20"/>
        </w:rPr>
        <w:t>Reported GAAP earnings and adjusted non-GAAP earnings for the three months ended June 30, 2025 included acquired IPR&amp;D and milestone expense of $823 million on a pre-tax and $737 million on an after-tax basis, representing an unfavorable impact of $0.42 to both diluted EPS and adjusted diluted EPS.</w:t>
      </w:r>
    </w:p>
    <w:p>
      <w:pPr>
        <w:pStyle w:val="TextBody"/>
        <w:bidi w:val="0"/>
        <w:spacing w:lineRule="auto" w:line="288" w:before="200" w:after="283"/>
        <w:jc w:val="left"/>
        <w:rPr>
          <w:rFonts w:ascii="sans-serif" w:hAnsi="sans-serif"/>
          <w:b w:val="false"/>
          <w:color w:val="000000"/>
          <w:sz w:val="20"/>
        </w:rPr>
      </w:pPr>
      <w:r>
        <w:rPr>
          <w:rFonts w:ascii="sans-serif" w:hAnsi="sans-serif"/>
          <w:b w:val="false"/>
          <w:color w:val="000000"/>
          <w:sz w:val="20"/>
        </w:rPr>
        <w:t>2. The impact of the specified items by line item was as follows: </w:t>
      </w:r>
    </w:p>
    <w:tbl>
      <w:tblPr>
        <w:tblW w:w="10205" w:type="dxa"/>
        <w:jc w:val="left"/>
        <w:tblInd w:w="0" w:type="dxa"/>
        <w:tblLayout w:type="fixed"/>
        <w:tblCellMar>
          <w:top w:w="28" w:type="dxa"/>
          <w:left w:w="28" w:type="dxa"/>
          <w:bottom w:w="28" w:type="dxa"/>
          <w:right w:w="28" w:type="dxa"/>
        </w:tblCellMar>
      </w:tblPr>
      <w:tblGrid>
        <w:gridCol w:w="934"/>
        <w:gridCol w:w="448"/>
        <w:gridCol w:w="449"/>
        <w:gridCol w:w="109"/>
        <w:gridCol w:w="109"/>
        <w:gridCol w:w="265"/>
        <w:gridCol w:w="862"/>
        <w:gridCol w:w="120"/>
        <w:gridCol w:w="109"/>
        <w:gridCol w:w="109"/>
        <w:gridCol w:w="109"/>
        <w:gridCol w:w="241"/>
        <w:gridCol w:w="781"/>
        <w:gridCol w:w="109"/>
        <w:gridCol w:w="109"/>
        <w:gridCol w:w="109"/>
        <w:gridCol w:w="109"/>
        <w:gridCol w:w="241"/>
        <w:gridCol w:w="781"/>
        <w:gridCol w:w="109"/>
        <w:gridCol w:w="109"/>
        <w:gridCol w:w="109"/>
        <w:gridCol w:w="109"/>
        <w:gridCol w:w="351"/>
        <w:gridCol w:w="680"/>
        <w:gridCol w:w="161"/>
        <w:gridCol w:w="109"/>
        <w:gridCol w:w="109"/>
        <w:gridCol w:w="109"/>
        <w:gridCol w:w="109"/>
        <w:gridCol w:w="109"/>
        <w:gridCol w:w="109"/>
        <w:gridCol w:w="109"/>
        <w:gridCol w:w="109"/>
        <w:gridCol w:w="109"/>
        <w:gridCol w:w="109"/>
        <w:gridCol w:w="109"/>
        <w:gridCol w:w="260"/>
        <w:gridCol w:w="844"/>
        <w:gridCol w:w="171"/>
      </w:tblGrid>
      <w:tr>
        <w:trPr/>
        <w:tc>
          <w:tcPr>
            <w:tcW w:w="93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7" w:type="dxa"/>
            <w:gridSpan w:val="2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Quarter Ended June 30, 2025</w:t>
            </w:r>
          </w:p>
        </w:tc>
        <w:tc>
          <w:tcPr>
            <w:tcW w:w="1929" w:type="dxa"/>
            <w:gridSpan w:val="9"/>
            <w:tcBorders/>
          </w:tcPr>
          <w:p>
            <w:pPr>
              <w:pStyle w:val="TableContents"/>
              <w:bidi w:val="0"/>
              <w:spacing w:before="0" w:after="283"/>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Cost of products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SG&amp;A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R&amp;D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Other 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Other expense, net</w:t>
            </w:r>
          </w:p>
        </w:tc>
      </w:tr>
      <w:tr>
        <w:trPr/>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reported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4,346</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3,253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2,131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6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(24)</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8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2,662</w:t>
            </w:r>
            <w:r>
              <w:rPr>
                <w:color w:val="000000"/>
              </w:rPr>
              <w:t>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for specified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(1,864)</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Change in fair value of contingent consideration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(2,795)</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As adjusted</w:t>
            </w:r>
            <w:r>
              <w:rPr>
                <w:color w:val="000000"/>
              </w:rPr>
              <w:t xml:space="preserve"> </w:t>
            </w:r>
            <w:r>
              <w:rPr>
                <w:rFonts w:ascii="sans-serif" w:hAnsi="sans-serif"/>
                <w:b/>
                <w:color w:val="000000"/>
                <w:sz w:val="20"/>
              </w:rPr>
              <w:t>(non-GAAP)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8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2,413</w:t>
            </w:r>
            <w:r>
              <w:rPr>
                <w:color w:val="000000"/>
              </w:rPr>
              <w:t>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3,239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2,115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6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8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(149)</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color w:val="000000"/>
        </w:rPr>
      </w:pPr>
      <w:r>
        <w:rPr>
          <w:color w:val="000000"/>
        </w:rPr>
        <w:t> </w:t>
      </w:r>
      <w:r>
        <w:rPr>
          <w:rFonts w:ascii="sans-serif" w:hAnsi="sans-serif"/>
          <w:b w:val="false"/>
          <w:color w:val="000000"/>
          <w:sz w:val="20"/>
        </w:rPr>
        <w:t>3. The adjusted tax rate for the second quarter of 2025 was 16.2 percent, as detailed below:</w:t>
      </w:r>
    </w:p>
    <w:tbl>
      <w:tblPr>
        <w:tblW w:w="7766" w:type="dxa"/>
        <w:jc w:val="left"/>
        <w:tblInd w:w="0" w:type="dxa"/>
        <w:tblLayout w:type="fixed"/>
        <w:tblCellMar>
          <w:top w:w="28" w:type="dxa"/>
          <w:left w:w="28" w:type="dxa"/>
          <w:bottom w:w="28" w:type="dxa"/>
          <w:right w:w="28" w:type="dxa"/>
        </w:tblCellMar>
      </w:tblPr>
      <w:tblGrid>
        <w:gridCol w:w="994"/>
        <w:gridCol w:w="874"/>
        <w:gridCol w:w="876"/>
        <w:gridCol w:w="364"/>
        <w:gridCol w:w="1181"/>
        <w:gridCol w:w="164"/>
        <w:gridCol w:w="109"/>
        <w:gridCol w:w="109"/>
        <w:gridCol w:w="109"/>
        <w:gridCol w:w="303"/>
        <w:gridCol w:w="984"/>
        <w:gridCol w:w="137"/>
        <w:gridCol w:w="109"/>
        <w:gridCol w:w="109"/>
        <w:gridCol w:w="109"/>
        <w:gridCol w:w="323"/>
        <w:gridCol w:w="323"/>
        <w:gridCol w:w="589"/>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0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Quarter Ended June 30, 2025</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(dollars in millions)</w:t>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Pre-tax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Tax rate</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reported (GAAP)</w:t>
            </w:r>
          </w:p>
        </w:tc>
        <w:tc>
          <w:tcPr>
            <w:tcW w:w="3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1,554</w:t>
            </w:r>
            <w:r>
              <w:rPr>
                <w:color w:val="000000"/>
              </w:rPr>
              <w:t>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613</w:t>
            </w:r>
            <w:r>
              <w:rPr>
                <w:color w:val="000000"/>
              </w:rPr>
              <w:t>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39.4</w:t>
            </w:r>
            <w:r>
              <w:rPr>
                <w:color w:val="000000"/>
              </w:rPr>
              <w:t> </w:t>
            </w:r>
          </w:p>
        </w:tc>
        <w:tc>
          <w:tcPr>
            <w:tcW w:w="5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Specified items</w:t>
            </w:r>
          </w:p>
        </w:tc>
        <w:tc>
          <w:tcPr>
            <w:tcW w:w="15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4,750 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410 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8.6 </w:t>
            </w:r>
          </w:p>
        </w:tc>
        <w:tc>
          <w:tcPr>
            <w:tcW w:w="58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As adjusted</w:t>
            </w:r>
            <w:r>
              <w:rPr>
                <w:color w:val="000000"/>
              </w:rPr>
              <w:t xml:space="preserve"> </w:t>
            </w:r>
            <w:r>
              <w:rPr>
                <w:rFonts w:ascii="sans-serif" w:hAnsi="sans-serif"/>
                <w:b/>
                <w:color w:val="000000"/>
                <w:sz w:val="20"/>
              </w:rPr>
              <w:t>(non-GAAP)</w:t>
            </w:r>
          </w:p>
        </w:tc>
        <w:tc>
          <w:tcPr>
            <w:tcW w:w="3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6,304</w:t>
            </w:r>
            <w:r>
              <w:rPr>
                <w:color w:val="000000"/>
              </w:rPr>
              <w:t>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1,023</w:t>
            </w:r>
            <w:r>
              <w:rPr>
                <w:color w:val="000000"/>
              </w:rPr>
              <w:t>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16.2</w:t>
            </w:r>
            <w:r>
              <w:rPr>
                <w:color w:val="000000"/>
              </w:rPr>
              <w:t> </w:t>
            </w:r>
          </w:p>
        </w:tc>
        <w:tc>
          <w:tcPr>
            <w:tcW w:w="5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7820"/>
                <wp:effectExtent l="0" t="0" r="0" b="0"/>
                <wp:wrapNone/>
                <wp:docPr id="15" name="Frame14"/>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11</w:t>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AbbVie Inc.</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Reconciliation of GAAP Reported to Non-GAAP Adjusted Information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(Unaudited)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1. Specified items impacted results as follows:</w:t>
      </w:r>
    </w:p>
    <w:tbl>
      <w:tblPr>
        <w:tblW w:w="9102" w:type="dxa"/>
        <w:jc w:val="left"/>
        <w:tblInd w:w="0" w:type="dxa"/>
        <w:tblLayout w:type="fixed"/>
        <w:tblCellMar>
          <w:top w:w="28" w:type="dxa"/>
          <w:left w:w="28" w:type="dxa"/>
          <w:bottom w:w="28" w:type="dxa"/>
          <w:right w:w="28" w:type="dxa"/>
        </w:tblCellMar>
      </w:tblPr>
      <w:tblGrid>
        <w:gridCol w:w="1764"/>
        <w:gridCol w:w="1553"/>
        <w:gridCol w:w="1558"/>
        <w:gridCol w:w="241"/>
        <w:gridCol w:w="916"/>
        <w:gridCol w:w="109"/>
        <w:gridCol w:w="109"/>
        <w:gridCol w:w="109"/>
        <w:gridCol w:w="109"/>
        <w:gridCol w:w="241"/>
        <w:gridCol w:w="916"/>
        <w:gridCol w:w="109"/>
        <w:gridCol w:w="109"/>
        <w:gridCol w:w="109"/>
        <w:gridCol w:w="109"/>
        <w:gridCol w:w="241"/>
        <w:gridCol w:w="646"/>
        <w:gridCol w:w="154"/>
      </w:tblGrid>
      <w:tr>
        <w:trPr/>
        <w:tc>
          <w:tcPr>
            <w:tcW w:w="1764"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 2026</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 millions, except per share data)</w:t>
            </w:r>
          </w:p>
        </w:tc>
        <w:tc>
          <w:tcPr>
            <w:tcW w:w="28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Diluted</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sans-serif" w:hAnsi="sans-serif"/>
                <w:b w:val="false"/>
                <w:color w:val="000000"/>
                <w:sz w:val="20"/>
              </w:rPr>
              <w:t>After-tax</w:t>
            </w:r>
            <w:r>
              <w:rPr>
                <w:rFonts w:ascii="sans-serif" w:hAnsi="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EPS</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reported (GAAP)</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5,317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4,308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2.42</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for specified items:</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 amortization</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Change in fair value of contingent consideration </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adjusted (non-GAAP)</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13,182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11,202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6.30</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sans-serif" w:hAnsi="sans-serif"/>
          <w:b w:val="false"/>
          <w:color w:val="000000"/>
          <w:sz w:val="10"/>
        </w:rPr>
        <w:t>a     </w:t>
      </w:r>
      <w:r>
        <w:rPr>
          <w:rFonts w:ascii="sans-serif" w:hAnsi="sans-serif"/>
          <w:b w:val="false"/>
          <w:color w:val="000000"/>
          <w:sz w:val="16"/>
        </w:rPr>
        <w:t>Represents net earnings attributable to AbbVie Inc. Specified items reflect the impact of applicable statutory tax rates.</w:t>
      </w:r>
    </w:p>
    <w:p>
      <w:pPr>
        <w:pStyle w:val="TextBody"/>
        <w:bidi w:val="0"/>
        <w:spacing w:lineRule="auto" w:line="288" w:before="200" w:after="283"/>
        <w:jc w:val="left"/>
        <w:rPr>
          <w:rFonts w:ascii="sans-serif" w:hAnsi="sans-serif"/>
          <w:b w:val="false"/>
          <w:color w:val="000000"/>
          <w:sz w:val="20"/>
        </w:rPr>
      </w:pPr>
      <w:r>
        <w:rPr>
          <w:rFonts w:ascii="sans-serif" w:hAnsi="sans-serif"/>
          <w:b w:val="false"/>
          <w:color w:val="000000"/>
          <w:sz w:val="20"/>
        </w:rPr>
        <w:t xml:space="preserve">Reported GAAP earnings and adjusted non-GAAP earnings for the six months ended June 30, 2026 included acquired IPR&amp;D and milestones expense of $1.0 billion on a pre-tax and after-tax basis, representing an unfavorable impact of $0.58 to both diluted EPS and adjusted diluted EPS. </w:t>
      </w:r>
    </w:p>
    <w:p>
      <w:pPr>
        <w:pStyle w:val="TextBody"/>
        <w:bidi w:val="0"/>
        <w:spacing w:lineRule="auto" w:line="288" w:before="200" w:after="283"/>
        <w:jc w:val="left"/>
        <w:rPr>
          <w:rFonts w:ascii="sans-serif" w:hAnsi="sans-serif"/>
          <w:b w:val="false"/>
          <w:color w:val="000000"/>
          <w:sz w:val="20"/>
        </w:rPr>
      </w:pPr>
      <w:r>
        <w:rPr>
          <w:rFonts w:ascii="sans-serif" w:hAnsi="sans-serif"/>
          <w:b w:val="false"/>
          <w:color w:val="000000"/>
          <w:sz w:val="20"/>
        </w:rPr>
        <w:t>2. The impact of the specified items by line item was as follows: </w:t>
      </w:r>
    </w:p>
    <w:tbl>
      <w:tblPr>
        <w:tblW w:w="10205" w:type="dxa"/>
        <w:jc w:val="left"/>
        <w:tblInd w:w="0" w:type="dxa"/>
        <w:tblLayout w:type="fixed"/>
        <w:tblCellMar>
          <w:top w:w="28" w:type="dxa"/>
          <w:left w:w="28" w:type="dxa"/>
          <w:bottom w:w="28" w:type="dxa"/>
          <w:right w:w="28" w:type="dxa"/>
        </w:tblCellMar>
      </w:tblPr>
      <w:tblGrid>
        <w:gridCol w:w="1280"/>
        <w:gridCol w:w="908"/>
        <w:gridCol w:w="911"/>
        <w:gridCol w:w="346"/>
        <w:gridCol w:w="1124"/>
        <w:gridCol w:w="156"/>
        <w:gridCol w:w="109"/>
        <w:gridCol w:w="109"/>
        <w:gridCol w:w="109"/>
        <w:gridCol w:w="241"/>
        <w:gridCol w:w="781"/>
        <w:gridCol w:w="109"/>
        <w:gridCol w:w="109"/>
        <w:gridCol w:w="109"/>
        <w:gridCol w:w="109"/>
        <w:gridCol w:w="241"/>
        <w:gridCol w:w="781"/>
        <w:gridCol w:w="109"/>
        <w:gridCol w:w="109"/>
        <w:gridCol w:w="109"/>
        <w:gridCol w:w="109"/>
        <w:gridCol w:w="109"/>
        <w:gridCol w:w="109"/>
        <w:gridCol w:w="109"/>
        <w:gridCol w:w="109"/>
        <w:gridCol w:w="109"/>
        <w:gridCol w:w="109"/>
        <w:gridCol w:w="323"/>
        <w:gridCol w:w="1048"/>
        <w:gridCol w:w="212"/>
      </w:tblGrid>
      <w:tr>
        <w:trPr/>
        <w:tc>
          <w:tcPr>
            <w:tcW w:w="12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7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 2026</w:t>
            </w:r>
          </w:p>
        </w:tc>
        <w:tc>
          <w:tcPr>
            <w:tcW w:w="2128" w:type="dxa"/>
            <w:gridSpan w:val="8"/>
            <w:tcBorders/>
          </w:tcPr>
          <w:p>
            <w:pPr>
              <w:pStyle w:val="TableContents"/>
              <w:bidi w:val="0"/>
              <w:spacing w:before="0" w:after="283"/>
              <w:jc w:val="left"/>
              <w:rPr>
                <w:sz w:val="4"/>
                <w:szCs w:val="4"/>
              </w:rPr>
            </w:pPr>
            <w:r>
              <w:rPr>
                <w:sz w:val="4"/>
                <w:szCs w:val="4"/>
              </w:rPr>
            </w:r>
          </w:p>
        </w:tc>
      </w:tr>
      <w:tr>
        <w:trPr/>
        <w:tc>
          <w:tcPr>
            <w:tcW w:w="3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 millions)</w:t>
            </w:r>
          </w:p>
        </w:tc>
        <w:tc>
          <w:tcPr>
            <w:tcW w:w="1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Cost of products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SG&amp;A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R&amp;D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Other expense, net</w:t>
            </w:r>
          </w:p>
        </w:tc>
      </w:tr>
      <w:tr>
        <w:trPr/>
        <w:tc>
          <w:tcPr>
            <w:tcW w:w="3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reported (GAAP)</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1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8,509</w:t>
            </w:r>
            <w:r>
              <w:rPr>
                <w:color w:val="000000"/>
              </w:rPr>
              <w:t>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7,210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4,816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0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3,781</w:t>
            </w:r>
            <w:r>
              <w:rPr>
                <w:color w:val="000000"/>
              </w:rPr>
              <w:t> </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for specified items:</w:t>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 amortization</w:t>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(3,437)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3099"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3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Change in fair value of contingent consideration </w:t>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(3,905)</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3099"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3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As adjusted</w:t>
            </w:r>
            <w:r>
              <w:rPr>
                <w:color w:val="000000"/>
              </w:rPr>
              <w:t xml:space="preserve"> </w:t>
            </w:r>
            <w:r>
              <w:rPr>
                <w:rFonts w:ascii="sans-serif" w:hAnsi="sans-serif"/>
                <w:b/>
                <w:color w:val="000000"/>
                <w:sz w:val="20"/>
              </w:rPr>
              <w:t>(non-GAAP)</w:t>
            </w:r>
          </w:p>
        </w:tc>
        <w:tc>
          <w:tcPr>
            <w:tcW w:w="3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5,060</w:t>
            </w:r>
            <w:r>
              <w:rPr>
                <w:color w:val="000000"/>
              </w:rPr>
              <w:t>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6,975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4,582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0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(166)</w:t>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sans-serif" w:hAnsi="sans-serif"/>
          <w:b w:val="false"/>
          <w:color w:val="000000"/>
          <w:sz w:val="20"/>
        </w:rPr>
      </w:pPr>
      <w:r>
        <w:rPr>
          <w:rFonts w:ascii="sans-serif" w:hAnsi="sans-serif"/>
          <w:b w:val="false"/>
          <w:color w:val="000000"/>
          <w:sz w:val="20"/>
        </w:rPr>
        <w:t>3. The adjusted tax rate for the first six months of 2026 was 15.0 percent, as detailed below:</w:t>
      </w:r>
    </w:p>
    <w:tbl>
      <w:tblPr>
        <w:tblW w:w="7778" w:type="dxa"/>
        <w:jc w:val="left"/>
        <w:tblInd w:w="0" w:type="dxa"/>
        <w:tblLayout w:type="fixed"/>
        <w:tblCellMar>
          <w:top w:w="28" w:type="dxa"/>
          <w:left w:w="28" w:type="dxa"/>
          <w:bottom w:w="28" w:type="dxa"/>
          <w:right w:w="28" w:type="dxa"/>
        </w:tblCellMar>
      </w:tblPr>
      <w:tblGrid>
        <w:gridCol w:w="994"/>
        <w:gridCol w:w="874"/>
        <w:gridCol w:w="876"/>
        <w:gridCol w:w="325"/>
        <w:gridCol w:w="1238"/>
        <w:gridCol w:w="146"/>
        <w:gridCol w:w="111"/>
        <w:gridCol w:w="111"/>
        <w:gridCol w:w="111"/>
        <w:gridCol w:w="303"/>
        <w:gridCol w:w="984"/>
        <w:gridCol w:w="137"/>
        <w:gridCol w:w="111"/>
        <w:gridCol w:w="111"/>
        <w:gridCol w:w="111"/>
        <w:gridCol w:w="323"/>
        <w:gridCol w:w="323"/>
        <w:gridCol w:w="589"/>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0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 2026</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(dollars in millions)</w:t>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Pre-tax earnings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Income taxes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Tax rate</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reported (GAAP)</w:t>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5,317</w:t>
            </w:r>
            <w:r>
              <w:rPr>
                <w:color w:val="000000"/>
              </w:rPr>
              <w:t>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1,004</w:t>
            </w:r>
            <w:r>
              <w:rPr>
                <w:color w:val="000000"/>
              </w:rPr>
              <w:t>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18.9</w:t>
            </w:r>
            <w:r>
              <w:rPr>
                <w:color w:val="000000"/>
              </w:rPr>
              <w:t> </w:t>
            </w:r>
          </w:p>
        </w:tc>
        <w:tc>
          <w:tcPr>
            <w:tcW w:w="5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Specified items</w:t>
            </w:r>
          </w:p>
        </w:tc>
        <w:tc>
          <w:tcPr>
            <w:tcW w:w="15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7,865 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12.3 </w:t>
            </w:r>
          </w:p>
        </w:tc>
        <w:tc>
          <w:tcPr>
            <w:tcW w:w="58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As adjusted</w:t>
            </w:r>
            <w:r>
              <w:rPr>
                <w:color w:val="000000"/>
              </w:rPr>
              <w:t xml:space="preserve"> </w:t>
            </w:r>
            <w:r>
              <w:rPr>
                <w:rFonts w:ascii="sans-serif" w:hAnsi="sans-serif"/>
                <w:b/>
                <w:color w:val="000000"/>
                <w:sz w:val="20"/>
              </w:rPr>
              <w:t>(non-GAAP)</w:t>
            </w:r>
          </w:p>
        </w:tc>
        <w:tc>
          <w:tcPr>
            <w:tcW w:w="3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13,182</w:t>
            </w:r>
            <w:r>
              <w:rPr>
                <w:color w:val="000000"/>
              </w:rPr>
              <w:t> </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1,975</w:t>
            </w:r>
            <w:r>
              <w:rPr>
                <w:color w:val="000000"/>
              </w:rPr>
              <w:t>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15.0</w:t>
            </w:r>
            <w:r>
              <w:rPr>
                <w:color w:val="000000"/>
              </w:rPr>
              <w:t> </w:t>
            </w:r>
          </w:p>
        </w:tc>
        <w:tc>
          <w:tcPr>
            <w:tcW w:w="5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37820"/>
                <wp:effectExtent l="0" t="0" r="0" b="0"/>
                <wp:wrapNone/>
                <wp:docPr id="16" name="Frame15"/>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12</w:t>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AbbVie Inc.</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Reconciliation of GAAP Reported to Non-GAAP Adjusted Information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(Unaudited)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1. Specified items impacted results as follows:</w:t>
      </w:r>
    </w:p>
    <w:tbl>
      <w:tblPr>
        <w:tblW w:w="8967" w:type="dxa"/>
        <w:jc w:val="left"/>
        <w:tblInd w:w="0" w:type="dxa"/>
        <w:tblLayout w:type="fixed"/>
        <w:tblCellMar>
          <w:top w:w="28" w:type="dxa"/>
          <w:left w:w="28" w:type="dxa"/>
          <w:bottom w:w="28" w:type="dxa"/>
          <w:right w:w="28" w:type="dxa"/>
        </w:tblCellMar>
      </w:tblPr>
      <w:tblGrid>
        <w:gridCol w:w="1764"/>
        <w:gridCol w:w="1553"/>
        <w:gridCol w:w="1558"/>
        <w:gridCol w:w="241"/>
        <w:gridCol w:w="916"/>
        <w:gridCol w:w="109"/>
        <w:gridCol w:w="109"/>
        <w:gridCol w:w="109"/>
        <w:gridCol w:w="109"/>
        <w:gridCol w:w="241"/>
        <w:gridCol w:w="781"/>
        <w:gridCol w:w="109"/>
        <w:gridCol w:w="109"/>
        <w:gridCol w:w="109"/>
        <w:gridCol w:w="109"/>
        <w:gridCol w:w="241"/>
        <w:gridCol w:w="646"/>
        <w:gridCol w:w="154"/>
      </w:tblGrid>
      <w:tr>
        <w:trPr/>
        <w:tc>
          <w:tcPr>
            <w:tcW w:w="1764"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 2025</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 millions, except per share data)</w:t>
            </w:r>
          </w:p>
        </w:tc>
        <w:tc>
          <w:tcPr>
            <w:tcW w:w="2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Diluted</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sans-serif" w:hAnsi="sans-serif"/>
                <w:b w:val="false"/>
                <w:color w:val="000000"/>
                <w:sz w:val="20"/>
              </w:rPr>
              <w:t>After-tax</w:t>
            </w:r>
            <w:r>
              <w:rPr>
                <w:rFonts w:ascii="sans-serif" w:hAnsi="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EPS</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reported (GAAP)</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3,215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2,224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1.24</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for specified items:</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 amortization</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Change in fair value of contingent consideration </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adjusted (non-GAAP)</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11,403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9,648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5.43</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sans-serif" w:hAnsi="sans-serif"/>
          <w:b w:val="false"/>
          <w:color w:val="000000"/>
          <w:sz w:val="10"/>
        </w:rPr>
        <w:t>a     </w:t>
      </w:r>
      <w:r>
        <w:rPr>
          <w:rFonts w:ascii="sans-serif" w:hAnsi="sans-serif"/>
          <w:b w:val="false"/>
          <w:color w:val="000000"/>
          <w:sz w:val="16"/>
        </w:rPr>
        <w:t>Represents net earnings attributable to AbbVie Inc. Specified items reflect the impact of applicable statutory tax rates.</w:t>
      </w:r>
      <w:r>
        <w:rPr>
          <w:color w:val="000000"/>
        </w:rPr>
        <w:t xml:space="preserve"> </w:t>
      </w:r>
    </w:p>
    <w:p>
      <w:pPr>
        <w:pStyle w:val="TextBody"/>
        <w:bidi w:val="0"/>
        <w:spacing w:lineRule="auto" w:line="288" w:before="200" w:after="283"/>
        <w:jc w:val="left"/>
        <w:rPr>
          <w:rFonts w:ascii="sans-serif" w:hAnsi="sans-serif"/>
          <w:b w:val="false"/>
          <w:color w:val="000000"/>
          <w:sz w:val="20"/>
        </w:rPr>
      </w:pPr>
      <w:r>
        <w:rPr>
          <w:rFonts w:ascii="sans-serif" w:hAnsi="sans-serif"/>
          <w:b w:val="false"/>
          <w:color w:val="000000"/>
          <w:sz w:val="20"/>
        </w:rPr>
        <w:t xml:space="preserve">Reported GAAP earnings and adjusted non-GAAP earnings for the six months ended June 30, 2025 included acquired IPR&amp;D and milestones expense of $1.1 billion on a pre-tax and $975 million on an after-tax basis, representing an unfavorable impact of $0.55 to both diluted EPS and adjusted diluted EPS. </w:t>
      </w:r>
    </w:p>
    <w:p>
      <w:pPr>
        <w:pStyle w:val="TextBody"/>
        <w:bidi w:val="0"/>
        <w:spacing w:lineRule="auto" w:line="288" w:before="200" w:after="283"/>
        <w:jc w:val="left"/>
        <w:rPr>
          <w:rFonts w:ascii="sans-serif" w:hAnsi="sans-serif"/>
          <w:b w:val="false"/>
          <w:color w:val="000000"/>
          <w:sz w:val="20"/>
        </w:rPr>
      </w:pPr>
      <w:r>
        <w:rPr>
          <w:rFonts w:ascii="sans-serif" w:hAnsi="sans-serif"/>
          <w:b w:val="false"/>
          <w:color w:val="000000"/>
          <w:sz w:val="20"/>
        </w:rPr>
        <w:t>2. The impact of the specified items by line item was as follows: </w:t>
      </w:r>
    </w:p>
    <w:tbl>
      <w:tblPr>
        <w:tblW w:w="10205" w:type="dxa"/>
        <w:jc w:val="left"/>
        <w:tblInd w:w="0" w:type="dxa"/>
        <w:tblLayout w:type="fixed"/>
        <w:tblCellMar>
          <w:top w:w="28" w:type="dxa"/>
          <w:left w:w="28" w:type="dxa"/>
          <w:bottom w:w="28" w:type="dxa"/>
          <w:right w:w="28" w:type="dxa"/>
        </w:tblCellMar>
      </w:tblPr>
      <w:tblGrid>
        <w:gridCol w:w="1053"/>
        <w:gridCol w:w="609"/>
        <w:gridCol w:w="610"/>
        <w:gridCol w:w="295"/>
        <w:gridCol w:w="956"/>
        <w:gridCol w:w="133"/>
        <w:gridCol w:w="109"/>
        <w:gridCol w:w="109"/>
        <w:gridCol w:w="109"/>
        <w:gridCol w:w="241"/>
        <w:gridCol w:w="781"/>
        <w:gridCol w:w="109"/>
        <w:gridCol w:w="109"/>
        <w:gridCol w:w="109"/>
        <w:gridCol w:w="109"/>
        <w:gridCol w:w="241"/>
        <w:gridCol w:w="781"/>
        <w:gridCol w:w="109"/>
        <w:gridCol w:w="109"/>
        <w:gridCol w:w="109"/>
        <w:gridCol w:w="109"/>
        <w:gridCol w:w="405"/>
        <w:gridCol w:w="785"/>
        <w:gridCol w:w="185"/>
        <w:gridCol w:w="109"/>
        <w:gridCol w:w="109"/>
        <w:gridCol w:w="109"/>
        <w:gridCol w:w="109"/>
        <w:gridCol w:w="109"/>
        <w:gridCol w:w="283"/>
        <w:gridCol w:w="917"/>
        <w:gridCol w:w="186"/>
      </w:tblGrid>
      <w:tr>
        <w:trPr/>
        <w:tc>
          <w:tcPr>
            <w:tcW w:w="105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2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38"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 2025</w:t>
            </w:r>
          </w:p>
        </w:tc>
        <w:tc>
          <w:tcPr>
            <w:tcW w:w="1495" w:type="dxa"/>
            <w:gridSpan w:val="4"/>
            <w:tcBorders/>
          </w:tcPr>
          <w:p>
            <w:pPr>
              <w:pStyle w:val="TableContents"/>
              <w:bidi w:val="0"/>
              <w:spacing w:before="0" w:after="283"/>
              <w:jc w:val="left"/>
              <w:rPr>
                <w:sz w:val="4"/>
                <w:szCs w:val="4"/>
              </w:rPr>
            </w:pPr>
            <w:r>
              <w:rPr>
                <w:sz w:val="4"/>
                <w:szCs w:val="4"/>
              </w:rPr>
            </w:r>
          </w:p>
        </w:tc>
      </w:tr>
      <w:tr>
        <w:trPr/>
        <w:tc>
          <w:tcPr>
            <w:tcW w:w="2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 millions)</w:t>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Cost of products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SG&amp;A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R&amp;D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Other 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Other expense, net</w:t>
            </w:r>
          </w:p>
        </w:tc>
      </w:tr>
      <w:tr>
        <w:trPr/>
        <w:tc>
          <w:tcPr>
            <w:tcW w:w="2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reported (GAAP)</w:t>
            </w:r>
          </w:p>
        </w:tc>
        <w:tc>
          <w:tcPr>
            <w:tcW w:w="2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8,348</w:t>
            </w:r>
            <w:r>
              <w:rPr>
                <w:color w:val="000000"/>
              </w:rPr>
              <w:t>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6,546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4,198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(24)</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4,107</w:t>
            </w:r>
            <w:r>
              <w:rPr>
                <w:color w:val="000000"/>
              </w:rPr>
              <w:t>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for specified items:</w:t>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 amortization</w:t>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(3,722)</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2272"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fair value of contingent consideration</w:t>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(4,313)</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2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As adjusted</w:t>
            </w:r>
            <w:r>
              <w:rPr>
                <w:color w:val="000000"/>
              </w:rPr>
              <w:t xml:space="preserve"> </w:t>
            </w:r>
            <w:r>
              <w:rPr>
                <w:rFonts w:ascii="sans-serif" w:hAnsi="sans-serif"/>
                <w:b/>
                <w:color w:val="000000"/>
                <w:sz w:val="20"/>
              </w:rPr>
              <w:t>(non-GAAP)</w:t>
            </w:r>
          </w:p>
        </w:tc>
        <w:tc>
          <w:tcPr>
            <w:tcW w:w="2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4,529</w:t>
            </w:r>
            <w:r>
              <w:rPr>
                <w:color w:val="000000"/>
              </w:rPr>
              <w:t>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6,519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4,166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7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(227)</w:t>
            </w:r>
          </w:p>
        </w:tc>
        <w:tc>
          <w:tcPr>
            <w:tcW w:w="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00" w:after="283"/>
        <w:jc w:val="left"/>
        <w:rPr>
          <w:rFonts w:ascii="sans-serif" w:hAnsi="sans-serif"/>
          <w:b w:val="false"/>
          <w:color w:val="000000"/>
          <w:sz w:val="20"/>
        </w:rPr>
      </w:pPr>
      <w:r>
        <w:rPr>
          <w:rFonts w:ascii="sans-serif" w:hAnsi="sans-serif"/>
          <w:b w:val="false"/>
          <w:color w:val="000000"/>
          <w:sz w:val="20"/>
        </w:rPr>
        <w:t>3. The adjusted tax rate for the first six months of 2025 was 15.3 percent, as detailed below:</w:t>
      </w:r>
    </w:p>
    <w:tbl>
      <w:tblPr>
        <w:tblW w:w="7778" w:type="dxa"/>
        <w:jc w:val="left"/>
        <w:tblInd w:w="0" w:type="dxa"/>
        <w:tblLayout w:type="fixed"/>
        <w:tblCellMar>
          <w:top w:w="28" w:type="dxa"/>
          <w:left w:w="28" w:type="dxa"/>
          <w:bottom w:w="28" w:type="dxa"/>
          <w:right w:w="28" w:type="dxa"/>
        </w:tblCellMar>
      </w:tblPr>
      <w:tblGrid>
        <w:gridCol w:w="994"/>
        <w:gridCol w:w="874"/>
        <w:gridCol w:w="876"/>
        <w:gridCol w:w="325"/>
        <w:gridCol w:w="1238"/>
        <w:gridCol w:w="146"/>
        <w:gridCol w:w="111"/>
        <w:gridCol w:w="111"/>
        <w:gridCol w:w="111"/>
        <w:gridCol w:w="303"/>
        <w:gridCol w:w="984"/>
        <w:gridCol w:w="137"/>
        <w:gridCol w:w="111"/>
        <w:gridCol w:w="111"/>
        <w:gridCol w:w="111"/>
        <w:gridCol w:w="323"/>
        <w:gridCol w:w="323"/>
        <w:gridCol w:w="589"/>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0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 2025</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(dollars in millions)</w:t>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Pre-tax earnings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Income taxes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Tax rate</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reported (GAAP)</w:t>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3,215</w:t>
            </w:r>
            <w:r>
              <w:rPr>
                <w:color w:val="000000"/>
              </w:rPr>
              <w:t>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985</w:t>
            </w:r>
            <w:r>
              <w:rPr>
                <w:color w:val="000000"/>
              </w:rPr>
              <w:t>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30.6</w:t>
            </w:r>
            <w:r>
              <w:rPr>
                <w:color w:val="000000"/>
              </w:rPr>
              <w:t> </w:t>
            </w:r>
          </w:p>
        </w:tc>
        <w:tc>
          <w:tcPr>
            <w:tcW w:w="5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Specified items</w:t>
            </w:r>
          </w:p>
        </w:tc>
        <w:tc>
          <w:tcPr>
            <w:tcW w:w="15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8,188 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764 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9.3 </w:t>
            </w:r>
          </w:p>
        </w:tc>
        <w:tc>
          <w:tcPr>
            <w:tcW w:w="58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As adjusted</w:t>
            </w:r>
            <w:r>
              <w:rPr>
                <w:color w:val="000000"/>
              </w:rPr>
              <w:t xml:space="preserve"> </w:t>
            </w:r>
            <w:r>
              <w:rPr>
                <w:rFonts w:ascii="sans-serif" w:hAnsi="sans-serif"/>
                <w:b/>
                <w:color w:val="000000"/>
                <w:sz w:val="20"/>
              </w:rPr>
              <w:t>(non-GAAP)</w:t>
            </w:r>
          </w:p>
        </w:tc>
        <w:tc>
          <w:tcPr>
            <w:tcW w:w="3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1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11,403</w:t>
            </w:r>
            <w:r>
              <w:rPr>
                <w:color w:val="000000"/>
              </w:rPr>
              <w:t> </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t>
            </w:r>
          </w:p>
        </w:tc>
        <w:tc>
          <w:tcPr>
            <w:tcW w:w="9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1,749</w:t>
            </w:r>
            <w:r>
              <w:rPr>
                <w:color w:val="000000"/>
              </w:rPr>
              <w:t>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15.3</w:t>
            </w:r>
            <w:r>
              <w:rPr>
                <w:color w:val="000000"/>
              </w:rPr>
              <w:t> </w:t>
            </w:r>
          </w:p>
        </w:tc>
        <w:tc>
          <w:tcPr>
            <w:tcW w:w="5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7820"/>
                <wp:effectExtent l="0" t="0" r="0" b="0"/>
                <wp:wrapNone/>
                <wp:docPr id="17" name="Frame16"/>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5687</Words>
  <Characters>31337</Characters>
  <CharactersWithSpaces>36299</CharactersWithSpaces>
  <Paragraphs>1322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