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51005.xml.htm"/>
      <w:bookmarkStart w:id="1" w:name="ksform410022026_0510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Quaggin Susan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WAUKEGAN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AbbVie Inc.</w:t>
              </w:r>
            </w:hyperlink>
            <w:r>
              <w:rPr/>
              <w:t xml:space="preserve"> [ </w:t>
            </w:r>
            <w:r>
              <w:rPr>
                <w:rFonts w:ascii="Times;serif" w:hAnsi="Times;serif"/>
                <w:color w:val="0000FF"/>
                <w:sz w:val="24"/>
                <w:shd w:fill="FFFFFF" w:val="clear"/>
              </w:rPr>
              <w:t>ABBV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261.59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261.59</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918</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an unfunded book account in the director's name are distributed over a period equal to the director's years of board service, generally commencing at the later of age 65 or upon retirement from the board. The stock equivalent units earn the same return as if the fees were invested in AbbVie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 Odutayo, Attorney-in-Fact for Susan E. Quaggin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505" TargetMode="External"/><Relationship Id="rId5" Type="http://schemas.openxmlformats.org/officeDocument/2006/relationships/hyperlink" Target="http://www.sec.gov/cgi-bin/browse-edgar?action=getcompany&amp;CIK=0001551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3444</Characters>
  <CharactersWithSpaces>4013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