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22026_050702.xml.htm"/>
      <w:bookmarkStart w:id="1" w:name="ksform407022026_0507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Quaggin Susan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WAUKEGAN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AbbVie Inc.</w:t>
              </w:r>
            </w:hyperlink>
            <w:r>
              <w:rPr/>
              <w:t xml:space="preserve"> [ </w:t>
            </w:r>
            <w:r>
              <w:rPr>
                <w:rFonts w:ascii="Times;serif" w:hAnsi="Times;serif"/>
                <w:color w:val="0000FF"/>
                <w:sz w:val="24"/>
                <w:shd w:fill="FFFFFF" w:val="clear"/>
              </w:rPr>
              <w:t>ABBV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251.64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251.64</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853</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fees credited to an unfunded book account in the director's name are distributed over a period equal to the director's years of board service, generally commencing at the later of age 65 or upon retirement from the board. The stock equivalent units earn the same return as if the fees were invested in AbbVie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includes stock equivalent units acquired pursuant to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 Odutayo, Attorney-in-Fact for Susan E. Quaggin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7505" TargetMode="External"/><Relationship Id="rId5" Type="http://schemas.openxmlformats.org/officeDocument/2006/relationships/hyperlink" Target="http://www.sec.gov/cgi-bin/browse-edgar?action=getcompany&amp;CIK=00015511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3424</Characters>
  <CharactersWithSpaces>4001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