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22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GONZALEZ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the Board and CEO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225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65.44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349,462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65.445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349,162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65.45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348,562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65.455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347,962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65.46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347,262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14,011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65.465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333,251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65.47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331,851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65.475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323,751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65.48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323,151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8,175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65.485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314,976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65.49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314,176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65.495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312,576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65.5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312,376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30,549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65.505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281,827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65.5075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281,127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65.51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279,827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05/19/2017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65.515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278,727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step-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step-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225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233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233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(A)5.Number(D)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80" w:type="dxa"/>
            <w:vAlign w:val="bottom"/>
            <w:gridSpan w:val="5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beneficial ownership of these securities.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20" w:type="dxa"/>
            <w:vAlign w:val="bottom"/>
            <w:gridSpan w:val="7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4"/>
              </w:rPr>
              <w:t>These transactions were made pursuant to a previously adopted plan complying with Rule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4"/>
              </w:rPr>
              <w:t>of (D)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84"/>
              </w:rPr>
              <w:t>10b5-1(c).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highlight w:val="white"/>
              </w:rPr>
              <w:t>Steven L. Scrogham,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restart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7"/>
              </w:rPr>
              <w:t>in-fact for Richard A. Gonzalez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  <w:highlight w:val="white"/>
              </w:rPr>
              <w:t>05/23/2017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140" w:type="dxa"/>
            <w:vAlign w:val="bottom"/>
            <w:gridSpan w:val="11"/>
          </w:tcPr>
          <w:p>
            <w:pPr>
              <w:ind w:left="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3"/>
                <w:szCs w:val="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 xml:space="preserve"> Instruction 6 for procedure.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 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 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9127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2019-12-23T22:27:24Z</dcterms:created>
  <dcterms:modified xsi:type="dcterms:W3CDTF">2019-12-23T22:27:24Z</dcterms:modified>
</cp:coreProperties>
</file>