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Calibri" w:cs="Calibri" w:eastAsia="Calibri" w:hAnsi="Calibri"/>
          <w:sz w:val="32"/>
          <w:szCs w:val="32"/>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Washington, D.C. 20549</w:t>
      </w:r>
    </w:p>
    <w:p>
      <w:pPr>
        <w:ind w:left="3320"/>
        <w:spacing w:after="0" w:line="235" w:lineRule="auto"/>
        <w:rPr>
          <w:sz w:val="20"/>
          <w:szCs w:val="20"/>
          <w:color w:val="auto"/>
        </w:rPr>
      </w:pPr>
      <w:r>
        <w:rPr>
          <w:rFonts w:ascii="Calibri" w:cs="Calibri" w:eastAsia="Calibri" w:hAnsi="Calibri"/>
          <w:sz w:val="18"/>
          <w:szCs w:val="18"/>
          <w:color w:val="auto"/>
        </w:rPr>
        <w:t>_____________________________________________________</w:t>
      </w:r>
    </w:p>
    <w:p>
      <w:pPr>
        <w:jc w:val="center"/>
        <w:ind w:right="-39"/>
        <w:spacing w:after="0" w:line="229" w:lineRule="auto"/>
        <w:rPr>
          <w:sz w:val="20"/>
          <w:szCs w:val="20"/>
          <w:color w:val="auto"/>
        </w:rPr>
      </w:pPr>
      <w:r>
        <w:rPr>
          <w:rFonts w:ascii="Calibri" w:cs="Calibri" w:eastAsia="Calibri" w:hAnsi="Calibri"/>
          <w:sz w:val="32"/>
          <w:szCs w:val="32"/>
          <w:b w:val="1"/>
          <w:bCs w:val="1"/>
          <w:color w:val="auto"/>
        </w:rPr>
        <w:t>FORM 8-K</w:t>
      </w:r>
    </w:p>
    <w:p>
      <w:pPr>
        <w:spacing w:after="0" w:line="178" w:lineRule="exact"/>
        <w:rPr>
          <w:sz w:val="24"/>
          <w:szCs w:val="24"/>
          <w:color w:val="auto"/>
        </w:rPr>
      </w:pPr>
    </w:p>
    <w:p>
      <w:pPr>
        <w:jc w:val="center"/>
        <w:ind w:right="-39"/>
        <w:spacing w:after="0"/>
        <w:rPr>
          <w:sz w:val="20"/>
          <w:szCs w:val="20"/>
          <w:color w:val="auto"/>
        </w:rPr>
      </w:pPr>
      <w:r>
        <w:rPr>
          <w:rFonts w:ascii="Calibri" w:cs="Calibri" w:eastAsia="Calibri" w:hAnsi="Calibri"/>
          <w:sz w:val="22"/>
          <w:szCs w:val="22"/>
          <w:b w:val="1"/>
          <w:bCs w:val="1"/>
          <w:color w:val="auto"/>
        </w:rPr>
        <w:t>CURRENT REPORT</w:t>
      </w:r>
    </w:p>
    <w:p>
      <w:pPr>
        <w:jc w:val="center"/>
        <w:ind w:right="-39"/>
        <w:spacing w:after="0" w:line="231" w:lineRule="auto"/>
        <w:rPr>
          <w:sz w:val="20"/>
          <w:szCs w:val="20"/>
          <w:color w:val="auto"/>
        </w:rPr>
      </w:pPr>
      <w:r>
        <w:rPr>
          <w:rFonts w:ascii="Calibri" w:cs="Calibri" w:eastAsia="Calibri" w:hAnsi="Calibri"/>
          <w:sz w:val="22"/>
          <w:szCs w:val="22"/>
          <w:b w:val="1"/>
          <w:bCs w:val="1"/>
          <w:color w:val="auto"/>
        </w:rPr>
        <w:t>Pursuant to Secton 13 or 15(d) of the</w:t>
      </w:r>
    </w:p>
    <w:p>
      <w:pPr>
        <w:jc w:val="center"/>
        <w:ind w:right="-39"/>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3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Date of Report (Date of earliest event reported): January 9, 2025</w:t>
      </w:r>
    </w:p>
    <w:p>
      <w:pPr>
        <w:spacing w:after="0" w:line="158" w:lineRule="exact"/>
        <w:rPr>
          <w:sz w:val="24"/>
          <w:szCs w:val="24"/>
          <w:color w:val="auto"/>
        </w:rPr>
      </w:pPr>
    </w:p>
    <w:p>
      <w:pPr>
        <w:jc w:val="center"/>
        <w:ind w:right="-39"/>
        <w:spacing w:after="0"/>
        <w:rPr>
          <w:sz w:val="20"/>
          <w:szCs w:val="20"/>
          <w:color w:val="auto"/>
        </w:rPr>
      </w:pPr>
      <w:r>
        <w:rPr>
          <w:rFonts w:ascii="Calibri" w:cs="Calibri" w:eastAsia="Calibri" w:hAnsi="Calibri"/>
          <w:sz w:val="32"/>
          <w:szCs w:val="32"/>
          <w:b w:val="1"/>
          <w:bCs w:val="1"/>
          <w:color w:val="auto"/>
        </w:rPr>
        <w:t>ABBVIE INC.</w:t>
      </w:r>
    </w:p>
    <w:p>
      <w:pPr>
        <w:spacing w:after="0" w:line="1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(Exact name of registrant as specifed in its charter)</w:t>
      </w:r>
    </w:p>
    <w:p>
      <w:pPr>
        <w:sectPr>
          <w:pgSz w:w="11900" w:h="16838" w:orient="portrait"/>
          <w:cols w:equalWidth="0" w:num="1">
            <w:col w:w="11200"/>
          </w:cols>
          <w:pgMar w:left="320" w:top="1179" w:right="379" w:bottom="1440" w:gutter="0" w:footer="0" w:header="0"/>
        </w:sectPr>
      </w:pPr>
    </w:p>
    <w:p>
      <w:pPr>
        <w:spacing w:after="0" w:line="42" w:lineRule="exact"/>
        <w:rPr>
          <w:sz w:val="24"/>
          <w:szCs w:val="24"/>
          <w:color w:val="auto"/>
        </w:rPr>
      </w:pPr>
    </w:p>
    <w:p>
      <w:pPr>
        <w:ind w:left="1380"/>
        <w:spacing w:after="0"/>
        <w:rPr>
          <w:sz w:val="20"/>
          <w:szCs w:val="20"/>
          <w:color w:val="auto"/>
        </w:rPr>
      </w:pPr>
      <w:r>
        <w:rPr>
          <w:rFonts w:ascii="Calibri" w:cs="Calibri" w:eastAsia="Calibri" w:hAnsi="Calibri"/>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40"/>
        <w:spacing w:after="0"/>
        <w:rPr>
          <w:sz w:val="20"/>
          <w:szCs w:val="20"/>
          <w:color w:val="auto"/>
        </w:rPr>
      </w:pPr>
      <w:r>
        <w:rPr>
          <w:rFonts w:ascii="Calibri" w:cs="Calibri" w:eastAsia="Calibri" w:hAnsi="Calibri"/>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32-0375147</w:t>
      </w:r>
    </w:p>
    <w:p>
      <w:pPr>
        <w:spacing w:after="0" w:line="17" w:lineRule="exact"/>
        <w:rPr>
          <w:sz w:val="24"/>
          <w:szCs w:val="24"/>
          <w:color w:val="auto"/>
        </w:rPr>
      </w:pPr>
    </w:p>
    <w:p>
      <w:pPr>
        <w:sectPr>
          <w:pgSz w:w="11900" w:h="16838" w:orient="portrait"/>
          <w:cols w:equalWidth="0" w:num="3">
            <w:col w:w="4480" w:space="720"/>
            <w:col w:w="3120" w:space="720"/>
            <w:col w:w="2160"/>
          </w:cols>
          <w:pgMar w:left="320" w:top="1179" w:right="379" w:bottom="1440" w:gutter="0" w:footer="0" w:header="0"/>
          <w:type w:val="continuous"/>
        </w:sectPr>
      </w:pPr>
    </w:p>
    <w:p>
      <w:pPr>
        <w:spacing w:after="0" w:line="5" w:lineRule="exact"/>
        <w:rPr>
          <w:sz w:val="24"/>
          <w:szCs w:val="24"/>
          <w:color w:val="auto"/>
        </w:rPr>
      </w:pPr>
    </w:p>
    <w:p>
      <w:pPr>
        <w:jc w:val="center"/>
        <w:ind w:right="460"/>
        <w:spacing w:after="0"/>
        <w:rPr>
          <w:sz w:val="20"/>
          <w:szCs w:val="20"/>
          <w:color w:val="auto"/>
        </w:rPr>
      </w:pPr>
      <w:r>
        <w:rPr>
          <w:rFonts w:ascii="Calibri" w:cs="Calibri" w:eastAsia="Calibri" w:hAnsi="Calibri"/>
          <w:sz w:val="17"/>
          <w:szCs w:val="17"/>
          <w:color w:val="auto"/>
        </w:rPr>
        <w:t>(State or other Jurisdicton</w:t>
      </w:r>
    </w:p>
    <w:p>
      <w:pPr>
        <w:spacing w:after="0" w:line="17" w:lineRule="exact"/>
        <w:rPr>
          <w:sz w:val="24"/>
          <w:szCs w:val="24"/>
          <w:color w:val="auto"/>
        </w:rPr>
      </w:pPr>
    </w:p>
    <w:p>
      <w:pPr>
        <w:jc w:val="center"/>
        <w:ind w:right="460"/>
        <w:spacing w:after="0"/>
        <w:rPr>
          <w:sz w:val="20"/>
          <w:szCs w:val="20"/>
          <w:color w:val="auto"/>
        </w:rPr>
      </w:pPr>
      <w:r>
        <w:rPr>
          <w:rFonts w:ascii="Calibri" w:cs="Calibri" w:eastAsia="Calibri" w:hAnsi="Calibri"/>
          <w:sz w:val="18"/>
          <w:szCs w:val="18"/>
          <w:color w:val="auto"/>
        </w:rPr>
        <w:t>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Calibri" w:cs="Calibri" w:eastAsia="Calibri" w:hAnsi="Calibri"/>
          <w:sz w:val="18"/>
          <w:szCs w:val="18"/>
          <w:color w:val="auto"/>
        </w:rPr>
        <w:t>(IRS Employer</w:t>
      </w:r>
    </w:p>
    <w:p>
      <w:pPr>
        <w:spacing w:after="0" w:line="10" w:lineRule="exact"/>
        <w:rPr>
          <w:sz w:val="24"/>
          <w:szCs w:val="24"/>
          <w:color w:val="auto"/>
        </w:rPr>
      </w:pPr>
    </w:p>
    <w:p>
      <w:pPr>
        <w:jc w:val="center"/>
        <w:ind w:right="1080"/>
        <w:spacing w:after="0"/>
        <w:rPr>
          <w:sz w:val="20"/>
          <w:szCs w:val="20"/>
          <w:color w:val="auto"/>
        </w:rPr>
      </w:pPr>
      <w:r>
        <w:rPr>
          <w:rFonts w:ascii="Calibri" w:cs="Calibri" w:eastAsia="Calibri" w:hAnsi="Calibri"/>
          <w:sz w:val="18"/>
          <w:szCs w:val="18"/>
          <w:color w:val="auto"/>
        </w:rPr>
        <w:t>Identfcaton No.)</w:t>
      </w:r>
    </w:p>
    <w:p>
      <w:pPr>
        <w:spacing w:after="0" w:line="82" w:lineRule="exact"/>
        <w:rPr>
          <w:sz w:val="24"/>
          <w:szCs w:val="24"/>
          <w:color w:val="auto"/>
        </w:rPr>
      </w:pPr>
    </w:p>
    <w:p>
      <w:pPr>
        <w:sectPr>
          <w:pgSz w:w="11900" w:h="16838" w:orient="portrait"/>
          <w:cols w:equalWidth="0" w:num="3">
            <w:col w:w="3920" w:space="720"/>
            <w:col w:w="3460" w:space="720"/>
            <w:col w:w="2380"/>
          </w:cols>
          <w:pgMar w:left="320" w:top="1179" w:right="379" w:bottom="1440" w:gutter="0" w:footer="0" w:header="0"/>
          <w:type w:val="continuous"/>
        </w:sectPr>
      </w:pPr>
    </w:p>
    <w:p>
      <w:pPr>
        <w:jc w:val="center"/>
        <w:ind w:right="-79"/>
        <w:spacing w:after="0"/>
        <w:rPr>
          <w:sz w:val="20"/>
          <w:szCs w:val="20"/>
          <w:color w:val="auto"/>
        </w:rPr>
      </w:pPr>
      <w:r>
        <w:rPr>
          <w:rFonts w:ascii="Calibri" w:cs="Calibri" w:eastAsia="Calibri" w:hAnsi="Calibri"/>
          <w:sz w:val="17"/>
          <w:szCs w:val="17"/>
          <w:color w:val="auto"/>
        </w:rPr>
        <w:t>_____________________________________________________</w:t>
      </w:r>
    </w:p>
    <w:p>
      <w:pPr>
        <w:spacing w:after="0" w:line="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1 North Waukegan Road</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North Chicago, Illinois 60064-6400</w:t>
      </w:r>
    </w:p>
    <w:p>
      <w:pPr>
        <w:jc w:val="center"/>
        <w:ind w:right="-39"/>
        <w:spacing w:after="0" w:line="236" w:lineRule="auto"/>
        <w:rPr>
          <w:sz w:val="20"/>
          <w:szCs w:val="20"/>
          <w:color w:val="auto"/>
        </w:rPr>
      </w:pPr>
      <w:r>
        <w:rPr>
          <w:rFonts w:ascii="Calibri" w:cs="Calibri" w:eastAsia="Calibri" w:hAnsi="Calibri"/>
          <w:sz w:val="18"/>
          <w:szCs w:val="18"/>
          <w:color w:val="auto"/>
        </w:rPr>
        <w:t>(Address of principal executve ofces)(Zip Code)</w:t>
      </w:r>
    </w:p>
    <w:p>
      <w:pPr>
        <w:sectPr>
          <w:pgSz w:w="11900" w:h="16838" w:orient="portrait"/>
          <w:cols w:equalWidth="0" w:num="1">
            <w:col w:w="11200"/>
          </w:cols>
          <w:pgMar w:left="320" w:top="1179" w:right="379" w:bottom="1440" w:gutter="0" w:footer="0" w:header="0"/>
          <w:type w:val="continuous"/>
        </w:sectPr>
      </w:pPr>
    </w:p>
    <w:p>
      <w:pPr>
        <w:spacing w:after="0" w:line="137" w:lineRule="exact"/>
        <w:rPr>
          <w:sz w:val="24"/>
          <w:szCs w:val="24"/>
          <w:color w:val="auto"/>
        </w:rPr>
      </w:pPr>
    </w:p>
    <w:p>
      <w:pPr>
        <w:ind w:left="3180"/>
        <w:spacing w:after="0"/>
        <w:rPr>
          <w:sz w:val="20"/>
          <w:szCs w:val="20"/>
          <w:color w:val="auto"/>
        </w:rPr>
      </w:pPr>
      <w:r>
        <w:rPr>
          <w:rFonts w:ascii="Calibri" w:cs="Calibri" w:eastAsia="Calibri" w:hAnsi="Calibri"/>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(847) 932-7900</w:t>
      </w:r>
    </w:p>
    <w:p>
      <w:pPr>
        <w:spacing w:after="0" w:line="130" w:lineRule="exact"/>
        <w:rPr>
          <w:sz w:val="24"/>
          <w:szCs w:val="24"/>
          <w:color w:val="auto"/>
        </w:rPr>
      </w:pPr>
    </w:p>
    <w:p>
      <w:pPr>
        <w:sectPr>
          <w:pgSz w:w="11900" w:h="16838" w:orient="portrait"/>
          <w:cols w:equalWidth="0" w:num="2">
            <w:col w:w="6880" w:space="80"/>
            <w:col w:w="4240"/>
          </w:cols>
          <w:pgMar w:left="320" w:top="1179" w:right="379" w:bottom="1440" w:gutter="0" w:footer="0" w:header="0"/>
          <w:type w:val="continuous"/>
        </w:sectPr>
      </w:pPr>
    </w:p>
    <w:p>
      <w:pPr>
        <w:ind w:right="20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8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22" w:lineRule="exact"/>
        <w:rPr>
          <w:rFonts w:ascii="MS PGothic" w:cs="MS PGothic" w:eastAsia="MS PGothic" w:hAnsi="MS PGothic"/>
          <w:sz w:val="18"/>
          <w:szCs w:val="18"/>
          <w:color w:val="auto"/>
        </w:rPr>
      </w:pPr>
    </w:p>
    <w:p>
      <w:pPr>
        <w:ind w:left="3580" w:right="2920" w:hanging="3572"/>
        <w:spacing w:after="0" w:line="348" w:lineRule="auto"/>
        <w:tabs>
          <w:tab w:leader="none" w:pos="46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40"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Title of each class</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Trading Symbol(s)</w:t>
            </w:r>
          </w:p>
        </w:tc>
        <w:tc>
          <w:tcPr>
            <w:tcW w:w="3760" w:type="dxa"/>
            <w:vAlign w:val="bottom"/>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87"/>
        </w:trPr>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40" w:type="dxa"/>
            <w:vAlign w:val="bottom"/>
          </w:tcPr>
          <w:p>
            <w:pPr>
              <w:spacing w:after="0"/>
              <w:rPr>
                <w:sz w:val="16"/>
                <w:szCs w:val="16"/>
                <w:color w:val="auto"/>
              </w:rPr>
            </w:pPr>
          </w:p>
        </w:tc>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ABBV</w:t>
            </w:r>
          </w:p>
        </w:tc>
        <w:tc>
          <w:tcPr>
            <w:tcW w:w="260" w:type="dxa"/>
            <w:vAlign w:val="bottom"/>
          </w:tcPr>
          <w:p>
            <w:pPr>
              <w:spacing w:after="0"/>
              <w:rPr>
                <w:sz w:val="16"/>
                <w:szCs w:val="16"/>
                <w:color w:val="auto"/>
              </w:rPr>
            </w:pPr>
          </w:p>
        </w:tc>
        <w:tc>
          <w:tcPr>
            <w:tcW w:w="376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New York Stock Exchange</w:t>
            </w:r>
          </w:p>
        </w:tc>
      </w:tr>
      <w:tr>
        <w:trPr>
          <w:trHeight w:val="211"/>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Calibri" w:cs="Calibri" w:eastAsia="Calibri" w:hAnsi="Calibri"/>
                <w:sz w:val="16"/>
                <w:szCs w:val="16"/>
                <w:color w:val="auto"/>
              </w:rPr>
              <w:t>Chicago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0.750% Senior Notes due 2027</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ABBV27</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2028</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ABBV28</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2.625% Senior Notes due 2028</w:t>
            </w:r>
          </w:p>
        </w:tc>
        <w:tc>
          <w:tcPr>
            <w:tcW w:w="3700" w:type="dxa"/>
            <w:vAlign w:val="bottom"/>
            <w:gridSpan w:val="2"/>
          </w:tcPr>
          <w:p>
            <w:pPr>
              <w:jc w:val="center"/>
              <w:ind w:right="280"/>
              <w:spacing w:after="0"/>
              <w:rPr>
                <w:sz w:val="20"/>
                <w:szCs w:val="20"/>
                <w:color w:val="auto"/>
              </w:rPr>
            </w:pPr>
            <w:r>
              <w:rPr>
                <w:rFonts w:ascii="Calibri" w:cs="Calibri" w:eastAsia="Calibri" w:hAnsi="Calibri"/>
                <w:sz w:val="16"/>
                <w:szCs w:val="16"/>
                <w:color w:val="auto"/>
              </w:rPr>
              <w:t>ABBV28B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2029</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ABBV29</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1.250% Senior Notes due 2031</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ABBV31</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bl>
    <w:p>
      <w:pPr>
        <w:spacing w:after="0" w:line="181" w:lineRule="exact"/>
        <w:rPr>
          <w:sz w:val="24"/>
          <w:szCs w:val="24"/>
          <w:color w:val="auto"/>
        </w:rPr>
      </w:pPr>
    </w:p>
    <w:p>
      <w:pPr>
        <w:ind w:right="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73"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54" w:lineRule="exact"/>
        <w:rPr>
          <w:sz w:val="24"/>
          <w:szCs w:val="24"/>
          <w:color w:val="auto"/>
        </w:rPr>
      </w:pPr>
    </w:p>
    <w:p>
      <w:pPr>
        <w:ind w:right="6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179" w:right="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u w:val="single" w:color="auto"/>
          <w:color w:val="auto"/>
        </w:rPr>
        <w:t>Item 2.06 Material Impairments</w:t>
      </w:r>
    </w:p>
    <w:p>
      <w:pPr>
        <w:spacing w:after="0" w:line="252" w:lineRule="exact"/>
        <w:rPr>
          <w:sz w:val="20"/>
          <w:szCs w:val="20"/>
          <w:color w:val="auto"/>
        </w:rPr>
      </w:pPr>
    </w:p>
    <w:p>
      <w:pPr>
        <w:ind w:right="100"/>
        <w:spacing w:after="0" w:line="228" w:lineRule="auto"/>
        <w:rPr>
          <w:sz w:val="20"/>
          <w:szCs w:val="20"/>
          <w:color w:val="auto"/>
        </w:rPr>
      </w:pPr>
      <w:r>
        <w:rPr>
          <w:rFonts w:ascii="Calibri" w:cs="Calibri" w:eastAsia="Calibri" w:hAnsi="Calibri"/>
          <w:sz w:val="20"/>
          <w:szCs w:val="20"/>
          <w:color w:val="auto"/>
        </w:rPr>
        <w:t>On January 9, 2025, AbbVie determined that it will record an impairment charge related to the emraclidine intangible asset acquired as part of the acquisiton of Cerevel Therapeutcs Holdings, Inc.</w:t>
      </w:r>
    </w:p>
    <w:p>
      <w:pPr>
        <w:spacing w:after="0" w:line="252"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On November 11, 2024, AbbVie announced that its two Phase 2 EMPOWER trials investgatng emraclidine as a once-daily, oral monotherapy treatment for adults with schizophrenia who are experiencing an acute exacerbaton of psychotc symptoms, did not meet their primary endpoint of showing a statstcally signifcant reducton (improvement) in the change from baseline in the Positve and Negatve Syndrome Scale total score compared to the placebo group at week 6. Following the results of these trials, AbbVie began an evaluaton of the emraclidine intangible asset for impairment which resulted in a signifcant decrease in the estmated future cash fows for the product. Based on the revised cash fows, the company estmates a non-cash afer-tax intangible asset impairment charge of approximately $3.5 billion.</w:t>
      </w:r>
    </w:p>
    <w:p>
      <w:pPr>
        <w:spacing w:after="0" w:line="259" w:lineRule="exact"/>
        <w:rPr>
          <w:sz w:val="20"/>
          <w:szCs w:val="20"/>
          <w:color w:val="auto"/>
        </w:rPr>
      </w:pPr>
    </w:p>
    <w:p>
      <w:pPr>
        <w:ind w:right="560"/>
        <w:spacing w:after="0" w:line="234" w:lineRule="auto"/>
        <w:rPr>
          <w:sz w:val="20"/>
          <w:szCs w:val="20"/>
          <w:color w:val="auto"/>
        </w:rPr>
      </w:pPr>
      <w:r>
        <w:rPr>
          <w:rFonts w:ascii="Calibri" w:cs="Calibri" w:eastAsia="Calibri" w:hAnsi="Calibri"/>
          <w:sz w:val="20"/>
          <w:szCs w:val="20"/>
          <w:color w:val="auto"/>
        </w:rPr>
        <w:t>AbbVie contnues to evaluate informaton with respect to the Cerevel-related clinical development programs and will monitor the remaining intangible assets of approximately $3.6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5" w:right="39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20"/>
          <w:szCs w:val="20"/>
          <w:b w:val="1"/>
          <w:bCs w:val="1"/>
          <w:color w:val="auto"/>
        </w:rPr>
        <w:t>SIGNATURE</w:t>
      </w:r>
    </w:p>
    <w:p>
      <w:pPr>
        <w:spacing w:after="0" w:line="23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hereunto duly authorized.</w:t>
      </w:r>
    </w:p>
    <w:p>
      <w:pPr>
        <w:spacing w:after="0" w:line="351" w:lineRule="exact"/>
        <w:rPr>
          <w:sz w:val="20"/>
          <w:szCs w:val="20"/>
          <w:color w:val="auto"/>
        </w:rPr>
      </w:pPr>
    </w:p>
    <w:p>
      <w:pPr>
        <w:ind w:left="5580"/>
        <w:spacing w:after="0"/>
        <w:rPr>
          <w:sz w:val="20"/>
          <w:szCs w:val="20"/>
          <w:color w:val="auto"/>
        </w:rPr>
      </w:pPr>
      <w:r>
        <w:rPr>
          <w:rFonts w:ascii="Calibri" w:cs="Calibri" w:eastAsia="Calibri" w:hAnsi="Calibri"/>
          <w:sz w:val="20"/>
          <w:szCs w:val="20"/>
          <w:b w:val="1"/>
          <w:bCs w:val="1"/>
          <w:color w:val="auto"/>
        </w:rPr>
        <w:t>ABBVIE INC.</w:t>
      </w:r>
    </w:p>
    <w:p>
      <w:pPr>
        <w:spacing w:after="0" w:line="269" w:lineRule="exact"/>
        <w:rPr>
          <w:sz w:val="20"/>
          <w:szCs w:val="20"/>
          <w:color w:val="auto"/>
        </w:rPr>
      </w:pPr>
    </w:p>
    <w:p>
      <w:pPr>
        <w:ind w:left="20"/>
        <w:spacing w:after="0"/>
        <w:tabs>
          <w:tab w:leader="none" w:pos="660" w:val="left"/>
          <w:tab w:leader="none" w:pos="4980" w:val="left"/>
          <w:tab w:leader="none" w:pos="5560" w:val="left"/>
        </w:tabs>
        <w:rPr>
          <w:sz w:val="20"/>
          <w:szCs w:val="20"/>
          <w:color w:val="auto"/>
        </w:rPr>
      </w:pPr>
      <w:r>
        <w:rPr>
          <w:rFonts w:ascii="Calibri" w:cs="Calibri" w:eastAsia="Calibri" w:hAnsi="Calibri"/>
          <w:sz w:val="20"/>
          <w:szCs w:val="20"/>
          <w:color w:val="auto"/>
        </w:rPr>
        <w:t>Date:</w:t>
        <w:tab/>
        <w:t>January 10, 2025</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Scot T. Reents</w:t>
      </w:r>
    </w:p>
    <w:p>
      <w:pPr>
        <w:spacing w:after="0" w:line="26"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-141605</wp:posOffset>
            </wp:positionV>
            <wp:extent cx="3600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ind w:left="5580"/>
        <w:spacing w:after="0"/>
        <w:rPr>
          <w:sz w:val="20"/>
          <w:szCs w:val="20"/>
          <w:color w:val="auto"/>
        </w:rPr>
      </w:pPr>
      <w:r>
        <w:rPr>
          <w:rFonts w:ascii="Calibri" w:cs="Calibri" w:eastAsia="Calibri" w:hAnsi="Calibri"/>
          <w:sz w:val="20"/>
          <w:szCs w:val="20"/>
          <w:color w:val="auto"/>
        </w:rPr>
        <w:t>Executve Vice President,</w:t>
      </w:r>
    </w:p>
    <w:p>
      <w:pPr>
        <w:spacing w:after="0" w:line="12"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Chief Financial Ofcer</w:t>
      </w:r>
    </w:p>
    <w:sectPr>
      <w:pgSz w:w="11900" w:h="16838" w:orient="portrait"/>
      <w:cols w:equalWidth="0" w:num="1">
        <w:col w:w="11200"/>
      </w:cols>
      <w:pgMar w:left="320" w:top="87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2025-01-10T07:47:19Z</dcterms:created>
  <dcterms:modified xsi:type="dcterms:W3CDTF">2025-01-10T07:47:19Z</dcterms:modified>
</cp:coreProperties>
</file>