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292024_050201.xml.htm"/>
      <w:bookmarkStart w:id="1" w:name="ksform402292024_0502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GONZALEZ RICHARD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WAUKEGAN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AbbVie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ABBV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THE BOARD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770,489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767,964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T.O. Odutayo, attorney-in-fact for Richard A. Gonzalez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39127" TargetMode="External"/><Relationship Id="rId4" Type="http://schemas.openxmlformats.org/officeDocument/2006/relationships/hyperlink" Target="http://www.sec.gov/cgi-bin/browse-edgar?action=getcompany&amp;CIK=000155115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3115</Characters>
  <CharactersWithSpaces>3625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