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0"/>
          <w:szCs w:val="30"/>
          <w:b w:val="1"/>
          <w:bCs w:val="1"/>
          <w:color w:val="auto"/>
        </w:rPr>
        <w:drawing>
          <wp:anchor simplePos="0" relativeHeight="251657728" behindDoc="1" locked="0" layoutInCell="0" allowOverlap="1">
            <wp:simplePos x="0" y="0"/>
            <wp:positionH relativeFrom="page">
              <wp:posOffset>203200</wp:posOffset>
            </wp:positionH>
            <wp:positionV relativeFrom="page">
              <wp:posOffset>295275</wp:posOffset>
            </wp:positionV>
            <wp:extent cx="7142480" cy="234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2480" cy="23495"/>
                    </a:xfrm>
                    <a:prstGeom prst="rect">
                      <a:avLst/>
                    </a:prstGeom>
                    <a:noFill/>
                  </pic:spPr>
                </pic:pic>
              </a:graphicData>
            </a:graphic>
          </wp:anchor>
        </w:drawing>
        <w:drawing>
          <wp:anchor simplePos="0" relativeHeight="251657728" behindDoc="1" locked="0" layoutInCell="0" allowOverlap="1">
            <wp:simplePos x="0" y="0"/>
            <wp:positionH relativeFrom="page">
              <wp:posOffset>203200</wp:posOffset>
            </wp:positionH>
            <wp:positionV relativeFrom="page">
              <wp:posOffset>327025</wp:posOffset>
            </wp:positionV>
            <wp:extent cx="714248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2480" cy="7620"/>
                    </a:xfrm>
                    <a:prstGeom prst="rect">
                      <a:avLst/>
                    </a:prstGeom>
                    <a:noFill/>
                  </pic:spPr>
                </pic:pic>
              </a:graphicData>
            </a:graphic>
          </wp:anchor>
        </w:drawing>
        <w:t>UNITED STATES</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SECURITIES AND EXCHANGE COMMISSION</w:t>
      </w: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164"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FORM 8-K</w:t>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CURRENT REPORT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Pursuant to Section 13 or 15(d) of the</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Exchange Act of 1934</w:t>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 xml:space="preserve">Date of Report (Date of earliest event reported): </w:t>
      </w:r>
      <w:r>
        <w:rPr>
          <w:rFonts w:ascii="Arial" w:cs="Arial" w:eastAsia="Arial" w:hAnsi="Arial"/>
          <w:sz w:val="17"/>
          <w:szCs w:val="17"/>
          <w:b w:val="1"/>
          <w:bCs w:val="1"/>
          <w:color w:val="auto"/>
        </w:rPr>
        <w:t>January 12, 2021</w:t>
      </w:r>
    </w:p>
    <w:p>
      <w:pPr>
        <w:spacing w:after="0" w:line="182" w:lineRule="exact"/>
        <w:rPr>
          <w:sz w:val="24"/>
          <w:szCs w:val="24"/>
          <w:color w:val="auto"/>
        </w:rPr>
      </w:pPr>
    </w:p>
    <w:p>
      <w:pPr>
        <w:jc w:val="center"/>
        <w:ind w:right="60"/>
        <w:spacing w:after="0"/>
        <w:rPr>
          <w:sz w:val="20"/>
          <w:szCs w:val="20"/>
          <w:color w:val="auto"/>
        </w:rPr>
      </w:pPr>
      <w:r>
        <w:rPr>
          <w:rFonts w:ascii="Arial" w:cs="Arial" w:eastAsia="Arial" w:hAnsi="Arial"/>
          <w:sz w:val="30"/>
          <w:szCs w:val="30"/>
          <w:b w:val="1"/>
          <w:bCs w:val="1"/>
          <w:color w:val="auto"/>
        </w:rPr>
        <w:t>ABBVIE INC.</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pacing w:after="0" w:line="3" w:lineRule="exact"/>
        <w:rPr>
          <w:sz w:val="24"/>
          <w:szCs w:val="24"/>
          <w:color w:val="auto"/>
        </w:rPr>
      </w:pPr>
    </w:p>
    <w:p>
      <w:pPr>
        <w:ind w:left="3660"/>
        <w:spacing w:after="0"/>
        <w:rPr>
          <w:sz w:val="20"/>
          <w:szCs w:val="20"/>
          <w:color w:val="auto"/>
        </w:rPr>
      </w:pPr>
      <w:r>
        <w:rPr>
          <w:rFonts w:ascii="Arial" w:cs="Arial" w:eastAsia="Arial" w:hAnsi="Arial"/>
          <w:sz w:val="17"/>
          <w:szCs w:val="17"/>
          <w:color w:val="auto"/>
        </w:rPr>
        <w:t>_______________________________________________</w:t>
      </w:r>
    </w:p>
    <w:p>
      <w:pPr>
        <w:spacing w:after="0" w:line="187" w:lineRule="exact"/>
        <w:rPr>
          <w:sz w:val="24"/>
          <w:szCs w:val="24"/>
          <w:color w:val="auto"/>
        </w:rPr>
      </w:pPr>
    </w:p>
    <w:tbl>
      <w:tblPr>
        <w:tblLayout w:type="fixed"/>
        <w:tblInd w:w="920" w:type="dxa"/>
        <w:tblCellMar>
          <w:top w:w="0" w:type="dxa"/>
          <w:left w:w="0" w:type="dxa"/>
          <w:bottom w:w="0" w:type="dxa"/>
          <w:right w:w="0" w:type="dxa"/>
        </w:tblCellMar>
      </w:tblPr>
      <w:tr>
        <w:trPr>
          <w:trHeight w:val="204"/>
        </w:trPr>
        <w:tc>
          <w:tcPr>
            <w:tcW w:w="2100" w:type="dxa"/>
            <w:vAlign w:val="bottom"/>
          </w:tcPr>
          <w:p>
            <w:pPr>
              <w:jc w:val="center"/>
              <w:ind w:right="257"/>
              <w:spacing w:after="0"/>
              <w:rPr>
                <w:sz w:val="20"/>
                <w:szCs w:val="20"/>
                <w:color w:val="auto"/>
              </w:rPr>
            </w:pPr>
            <w:r>
              <w:rPr>
                <w:rFonts w:ascii="Arial" w:cs="Arial" w:eastAsia="Arial" w:hAnsi="Arial"/>
                <w:sz w:val="17"/>
                <w:szCs w:val="17"/>
                <w:b w:val="1"/>
                <w:bCs w:val="1"/>
                <w:color w:val="auto"/>
                <w:w w:val="91"/>
              </w:rPr>
              <w:t>Delaware</w:t>
            </w:r>
          </w:p>
        </w:tc>
        <w:tc>
          <w:tcPr>
            <w:tcW w:w="5340" w:type="dxa"/>
            <w:vAlign w:val="bottom"/>
          </w:tcPr>
          <w:p>
            <w:pPr>
              <w:jc w:val="center"/>
              <w:ind w:right="37"/>
              <w:spacing w:after="0"/>
              <w:rPr>
                <w:sz w:val="20"/>
                <w:szCs w:val="20"/>
                <w:color w:val="auto"/>
              </w:rPr>
            </w:pPr>
            <w:r>
              <w:rPr>
                <w:rFonts w:ascii="Arial" w:cs="Arial" w:eastAsia="Arial" w:hAnsi="Arial"/>
                <w:sz w:val="17"/>
                <w:szCs w:val="17"/>
                <w:b w:val="1"/>
                <w:bCs w:val="1"/>
                <w:color w:val="auto"/>
                <w:w w:val="90"/>
              </w:rPr>
              <w:t>001-35565</w:t>
            </w:r>
          </w:p>
        </w:tc>
        <w:tc>
          <w:tcPr>
            <w:tcW w:w="1700" w:type="dxa"/>
            <w:vAlign w:val="bottom"/>
          </w:tcPr>
          <w:p>
            <w:pPr>
              <w:jc w:val="center"/>
              <w:ind w:left="397"/>
              <w:spacing w:after="0"/>
              <w:rPr>
                <w:sz w:val="20"/>
                <w:szCs w:val="20"/>
                <w:color w:val="auto"/>
              </w:rPr>
            </w:pPr>
            <w:r>
              <w:rPr>
                <w:rFonts w:ascii="Arial" w:cs="Arial" w:eastAsia="Arial" w:hAnsi="Arial"/>
                <w:sz w:val="17"/>
                <w:szCs w:val="17"/>
                <w:b w:val="1"/>
                <w:bCs w:val="1"/>
                <w:color w:val="auto"/>
                <w:w w:val="90"/>
              </w:rPr>
              <w:t>32-0375147</w:t>
            </w:r>
          </w:p>
        </w:tc>
        <w:tc>
          <w:tcPr>
            <w:tcW w:w="0" w:type="dxa"/>
            <w:vAlign w:val="bottom"/>
          </w:tcPr>
          <w:p>
            <w:pPr>
              <w:spacing w:after="0"/>
              <w:rPr>
                <w:sz w:val="1"/>
                <w:szCs w:val="1"/>
                <w:color w:val="auto"/>
              </w:rPr>
            </w:pPr>
          </w:p>
        </w:tc>
      </w:tr>
      <w:tr>
        <w:trPr>
          <w:trHeight w:val="200"/>
        </w:trPr>
        <w:tc>
          <w:tcPr>
            <w:tcW w:w="2100" w:type="dxa"/>
            <w:vAlign w:val="bottom"/>
          </w:tcPr>
          <w:p>
            <w:pPr>
              <w:jc w:val="center"/>
              <w:ind w:right="257"/>
              <w:spacing w:after="0"/>
              <w:rPr>
                <w:sz w:val="20"/>
                <w:szCs w:val="20"/>
                <w:color w:val="auto"/>
              </w:rPr>
            </w:pPr>
            <w:r>
              <w:rPr>
                <w:rFonts w:ascii="Arial" w:cs="Arial" w:eastAsia="Arial" w:hAnsi="Arial"/>
                <w:sz w:val="17"/>
                <w:szCs w:val="17"/>
                <w:color w:val="auto"/>
                <w:w w:val="88"/>
              </w:rPr>
              <w:t>(State or other Jurisdiction</w:t>
            </w:r>
          </w:p>
        </w:tc>
        <w:tc>
          <w:tcPr>
            <w:tcW w:w="5340" w:type="dxa"/>
            <w:vAlign w:val="bottom"/>
          </w:tcPr>
          <w:p>
            <w:pPr>
              <w:jc w:val="center"/>
              <w:ind w:right="17"/>
              <w:spacing w:after="0"/>
              <w:rPr>
                <w:sz w:val="20"/>
                <w:szCs w:val="20"/>
                <w:color w:val="auto"/>
              </w:rPr>
            </w:pPr>
            <w:r>
              <w:rPr>
                <w:rFonts w:ascii="Arial" w:cs="Arial" w:eastAsia="Arial" w:hAnsi="Arial"/>
                <w:sz w:val="17"/>
                <w:szCs w:val="17"/>
                <w:color w:val="auto"/>
                <w:w w:val="91"/>
              </w:rPr>
              <w:t>(Commission File Number)</w:t>
            </w:r>
          </w:p>
        </w:tc>
        <w:tc>
          <w:tcPr>
            <w:tcW w:w="1700" w:type="dxa"/>
            <w:vAlign w:val="bottom"/>
          </w:tcPr>
          <w:p>
            <w:pPr>
              <w:jc w:val="center"/>
              <w:ind w:left="397"/>
              <w:spacing w:after="0"/>
              <w:rPr>
                <w:sz w:val="20"/>
                <w:szCs w:val="20"/>
                <w:color w:val="auto"/>
              </w:rPr>
            </w:pPr>
            <w:r>
              <w:rPr>
                <w:rFonts w:ascii="Arial" w:cs="Arial" w:eastAsia="Arial" w:hAnsi="Arial"/>
                <w:sz w:val="17"/>
                <w:szCs w:val="17"/>
                <w:color w:val="auto"/>
                <w:w w:val="92"/>
              </w:rPr>
              <w:t>(IRS Employer</w:t>
            </w:r>
          </w:p>
        </w:tc>
        <w:tc>
          <w:tcPr>
            <w:tcW w:w="0" w:type="dxa"/>
            <w:vAlign w:val="bottom"/>
          </w:tcPr>
          <w:p>
            <w:pPr>
              <w:spacing w:after="0"/>
              <w:rPr>
                <w:sz w:val="1"/>
                <w:szCs w:val="1"/>
                <w:color w:val="auto"/>
              </w:rPr>
            </w:pPr>
          </w:p>
        </w:tc>
      </w:tr>
      <w:tr>
        <w:trPr>
          <w:trHeight w:val="212"/>
        </w:trPr>
        <w:tc>
          <w:tcPr>
            <w:tcW w:w="2100" w:type="dxa"/>
            <w:vAlign w:val="bottom"/>
          </w:tcPr>
          <w:p>
            <w:pPr>
              <w:jc w:val="center"/>
              <w:ind w:right="237"/>
              <w:spacing w:after="0"/>
              <w:rPr>
                <w:sz w:val="20"/>
                <w:szCs w:val="20"/>
                <w:color w:val="auto"/>
              </w:rPr>
            </w:pPr>
            <w:r>
              <w:rPr>
                <w:rFonts w:ascii="Arial" w:cs="Arial" w:eastAsia="Arial" w:hAnsi="Arial"/>
                <w:sz w:val="17"/>
                <w:szCs w:val="17"/>
                <w:color w:val="auto"/>
                <w:w w:val="92"/>
              </w:rPr>
              <w:t>of Incorporation)</w:t>
            </w:r>
          </w:p>
        </w:tc>
        <w:tc>
          <w:tcPr>
            <w:tcW w:w="5340" w:type="dxa"/>
            <w:vAlign w:val="bottom"/>
            <w:vMerge w:val="restart"/>
          </w:tcPr>
          <w:p>
            <w:pPr>
              <w:jc w:val="center"/>
              <w:ind w:right="57"/>
              <w:spacing w:after="0"/>
              <w:rPr>
                <w:sz w:val="20"/>
                <w:szCs w:val="20"/>
                <w:color w:val="auto"/>
              </w:rPr>
            </w:pPr>
            <w:r>
              <w:rPr>
                <w:rFonts w:ascii="Arial" w:cs="Arial" w:eastAsia="Arial" w:hAnsi="Arial"/>
                <w:sz w:val="17"/>
                <w:szCs w:val="17"/>
                <w:b w:val="1"/>
                <w:bCs w:val="1"/>
                <w:color w:val="auto"/>
                <w:w w:val="88"/>
              </w:rPr>
              <w:t>_______________________________________________</w:t>
            </w:r>
          </w:p>
        </w:tc>
        <w:tc>
          <w:tcPr>
            <w:tcW w:w="1700" w:type="dxa"/>
            <w:vAlign w:val="bottom"/>
          </w:tcPr>
          <w:p>
            <w:pPr>
              <w:jc w:val="center"/>
              <w:ind w:left="397"/>
              <w:spacing w:after="0"/>
              <w:rPr>
                <w:sz w:val="20"/>
                <w:szCs w:val="20"/>
                <w:color w:val="auto"/>
              </w:rPr>
            </w:pPr>
            <w:r>
              <w:rPr>
                <w:rFonts w:ascii="Arial" w:cs="Arial" w:eastAsia="Arial" w:hAnsi="Arial"/>
                <w:sz w:val="17"/>
                <w:szCs w:val="17"/>
                <w:color w:val="auto"/>
                <w:w w:val="92"/>
              </w:rPr>
              <w:t>Identification No.)</w:t>
            </w:r>
          </w:p>
        </w:tc>
        <w:tc>
          <w:tcPr>
            <w:tcW w:w="0" w:type="dxa"/>
            <w:vAlign w:val="bottom"/>
          </w:tcPr>
          <w:p>
            <w:pPr>
              <w:spacing w:after="0"/>
              <w:rPr>
                <w:sz w:val="1"/>
                <w:szCs w:val="1"/>
                <w:color w:val="auto"/>
              </w:rPr>
            </w:pPr>
          </w:p>
        </w:tc>
      </w:tr>
      <w:tr>
        <w:trPr>
          <w:trHeight w:val="200"/>
        </w:trPr>
        <w:tc>
          <w:tcPr>
            <w:tcW w:w="2100" w:type="dxa"/>
            <w:vAlign w:val="bottom"/>
          </w:tcPr>
          <w:p>
            <w:pPr>
              <w:spacing w:after="0"/>
              <w:rPr>
                <w:sz w:val="17"/>
                <w:szCs w:val="17"/>
                <w:color w:val="auto"/>
              </w:rPr>
            </w:pPr>
          </w:p>
        </w:tc>
        <w:tc>
          <w:tcPr>
            <w:tcW w:w="5340" w:type="dxa"/>
            <w:vAlign w:val="bottom"/>
            <w:vMerge w:val="continue"/>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3"/>
        </w:trPr>
        <w:tc>
          <w:tcPr>
            <w:tcW w:w="2100" w:type="dxa"/>
            <w:vAlign w:val="bottom"/>
          </w:tcPr>
          <w:p>
            <w:pPr>
              <w:spacing w:after="0"/>
              <w:rPr>
                <w:sz w:val="24"/>
                <w:szCs w:val="24"/>
                <w:color w:val="auto"/>
              </w:rPr>
            </w:pPr>
          </w:p>
        </w:tc>
        <w:tc>
          <w:tcPr>
            <w:tcW w:w="5340" w:type="dxa"/>
            <w:vAlign w:val="bottom"/>
          </w:tcPr>
          <w:p>
            <w:pPr>
              <w:jc w:val="center"/>
              <w:ind w:right="57"/>
              <w:spacing w:after="0"/>
              <w:rPr>
                <w:sz w:val="20"/>
                <w:szCs w:val="20"/>
                <w:color w:val="auto"/>
              </w:rPr>
            </w:pPr>
            <w:r>
              <w:rPr>
                <w:rFonts w:ascii="Arial" w:cs="Arial" w:eastAsia="Arial" w:hAnsi="Arial"/>
                <w:sz w:val="17"/>
                <w:szCs w:val="17"/>
                <w:b w:val="1"/>
                <w:bCs w:val="1"/>
                <w:color w:val="auto"/>
                <w:w w:val="89"/>
              </w:rPr>
              <w:t>1 North Waukegan Road</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100" w:type="dxa"/>
            <w:vAlign w:val="bottom"/>
          </w:tcPr>
          <w:p>
            <w:pPr>
              <w:spacing w:after="0"/>
              <w:rPr>
                <w:sz w:val="17"/>
                <w:szCs w:val="17"/>
                <w:color w:val="auto"/>
              </w:rPr>
            </w:pPr>
          </w:p>
        </w:tc>
        <w:tc>
          <w:tcPr>
            <w:tcW w:w="5340" w:type="dxa"/>
            <w:vAlign w:val="bottom"/>
          </w:tcPr>
          <w:p>
            <w:pPr>
              <w:jc w:val="center"/>
              <w:ind w:right="37"/>
              <w:spacing w:after="0"/>
              <w:rPr>
                <w:sz w:val="20"/>
                <w:szCs w:val="20"/>
                <w:color w:val="auto"/>
              </w:rPr>
            </w:pPr>
            <w:r>
              <w:rPr>
                <w:rFonts w:ascii="Arial" w:cs="Arial" w:eastAsia="Arial" w:hAnsi="Arial"/>
                <w:sz w:val="17"/>
                <w:szCs w:val="17"/>
                <w:b w:val="1"/>
                <w:bCs w:val="1"/>
                <w:color w:val="auto"/>
                <w:w w:val="89"/>
              </w:rPr>
              <w:t>North Chicago, Illinois 60064-6400</w:t>
            </w: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100" w:type="dxa"/>
            <w:vAlign w:val="bottom"/>
          </w:tcPr>
          <w:p>
            <w:pPr>
              <w:spacing w:after="0"/>
              <w:rPr>
                <w:sz w:val="18"/>
                <w:szCs w:val="18"/>
                <w:color w:val="auto"/>
              </w:rPr>
            </w:pPr>
          </w:p>
        </w:tc>
        <w:tc>
          <w:tcPr>
            <w:tcW w:w="5340" w:type="dxa"/>
            <w:vAlign w:val="bottom"/>
          </w:tcPr>
          <w:p>
            <w:pPr>
              <w:jc w:val="center"/>
              <w:ind w:right="37"/>
              <w:spacing w:after="0"/>
              <w:rPr>
                <w:sz w:val="20"/>
                <w:szCs w:val="20"/>
                <w:color w:val="auto"/>
              </w:rPr>
            </w:pPr>
            <w:r>
              <w:rPr>
                <w:rFonts w:ascii="Arial" w:cs="Arial" w:eastAsia="Arial" w:hAnsi="Arial"/>
                <w:sz w:val="17"/>
                <w:szCs w:val="17"/>
                <w:color w:val="auto"/>
                <w:w w:val="90"/>
              </w:rPr>
              <w:t>(Address of principal executive offices) (Zip Code)</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9"/>
        </w:trPr>
        <w:tc>
          <w:tcPr>
            <w:tcW w:w="2100" w:type="dxa"/>
            <w:vAlign w:val="bottom"/>
          </w:tcPr>
          <w:p>
            <w:pPr>
              <w:spacing w:after="0"/>
              <w:rPr>
                <w:sz w:val="24"/>
                <w:szCs w:val="24"/>
                <w:color w:val="auto"/>
              </w:rPr>
            </w:pPr>
          </w:p>
        </w:tc>
        <w:tc>
          <w:tcPr>
            <w:tcW w:w="5340" w:type="dxa"/>
            <w:vAlign w:val="bottom"/>
          </w:tcPr>
          <w:p>
            <w:pPr>
              <w:jc w:val="center"/>
              <w:ind w:right="37"/>
              <w:spacing w:after="0"/>
              <w:rPr>
                <w:sz w:val="20"/>
                <w:szCs w:val="20"/>
                <w:color w:val="auto"/>
              </w:rPr>
            </w:pPr>
            <w:r>
              <w:rPr>
                <w:rFonts w:ascii="Arial" w:cs="Arial" w:eastAsia="Arial" w:hAnsi="Arial"/>
                <w:sz w:val="17"/>
                <w:szCs w:val="17"/>
                <w:color w:val="auto"/>
                <w:w w:val="88"/>
              </w:rPr>
              <w:t xml:space="preserve">Registrant’s telephone number, including area code: </w:t>
            </w:r>
            <w:r>
              <w:rPr>
                <w:rFonts w:ascii="Arial" w:cs="Arial" w:eastAsia="Arial" w:hAnsi="Arial"/>
                <w:sz w:val="17"/>
                <w:szCs w:val="17"/>
                <w:b w:val="1"/>
                <w:bCs w:val="1"/>
                <w:color w:val="auto"/>
                <w:w w:val="88"/>
              </w:rPr>
              <w:t>(847) 932-7900</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7"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27" w:lineRule="exact"/>
        <w:rPr>
          <w:sz w:val="24"/>
          <w:szCs w:val="24"/>
          <w:color w:val="auto"/>
        </w:rPr>
      </w:pPr>
    </w:p>
    <w:p>
      <w:pPr>
        <w:ind w:left="300" w:hanging="300"/>
        <w:spacing w:after="0"/>
        <w:tabs>
          <w:tab w:leader="none" w:pos="3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204" w:lineRule="exact"/>
        <w:rPr>
          <w:rFonts w:ascii="MS PGothic" w:cs="MS PGothic" w:eastAsia="MS PGothic" w:hAnsi="MS PGothic"/>
          <w:sz w:val="17"/>
          <w:szCs w:val="17"/>
          <w:color w:val="auto"/>
        </w:rPr>
      </w:pPr>
    </w:p>
    <w:p>
      <w:pPr>
        <w:ind w:left="300" w:hanging="300"/>
        <w:spacing w:after="0"/>
        <w:tabs>
          <w:tab w:leader="none" w:pos="3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204" w:lineRule="exact"/>
        <w:rPr>
          <w:rFonts w:ascii="MS PGothic" w:cs="MS PGothic" w:eastAsia="MS PGothic" w:hAnsi="MS PGothic"/>
          <w:sz w:val="17"/>
          <w:szCs w:val="17"/>
          <w:color w:val="auto"/>
        </w:rPr>
      </w:pPr>
    </w:p>
    <w:p>
      <w:pPr>
        <w:ind w:left="300" w:hanging="300"/>
        <w:spacing w:after="0"/>
        <w:tabs>
          <w:tab w:leader="none" w:pos="3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204" w:lineRule="exact"/>
        <w:rPr>
          <w:rFonts w:ascii="MS PGothic" w:cs="MS PGothic" w:eastAsia="MS PGothic" w:hAnsi="MS PGothic"/>
          <w:sz w:val="17"/>
          <w:szCs w:val="17"/>
          <w:color w:val="auto"/>
        </w:rPr>
      </w:pPr>
    </w:p>
    <w:p>
      <w:pPr>
        <w:ind w:left="300" w:hanging="300"/>
        <w:spacing w:after="0"/>
        <w:tabs>
          <w:tab w:leader="none" w:pos="3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00" w:lineRule="exact"/>
        <w:rPr>
          <w:rFonts w:ascii="MS PGothic" w:cs="MS PGothic" w:eastAsia="MS PGothic" w:hAnsi="MS PGothic"/>
          <w:sz w:val="17"/>
          <w:szCs w:val="17"/>
          <w:color w:val="auto"/>
        </w:rPr>
      </w:pPr>
    </w:p>
    <w:p>
      <w:pPr>
        <w:ind w:left="3580"/>
        <w:spacing w:after="0"/>
        <w:rPr>
          <w:rFonts w:ascii="MS PGothic" w:cs="MS PGothic" w:eastAsia="MS PGothic" w:hAnsi="MS PGothic"/>
          <w:sz w:val="17"/>
          <w:szCs w:val="17"/>
          <w:color w:val="auto"/>
        </w:rPr>
      </w:pPr>
      <w:r>
        <w:rPr>
          <w:rFonts w:ascii="Arial" w:cs="Arial" w:eastAsia="Arial" w:hAnsi="Arial"/>
          <w:sz w:val="17"/>
          <w:szCs w:val="17"/>
          <w:b w:val="1"/>
          <w:bCs w:val="1"/>
          <w:color w:val="auto"/>
        </w:rPr>
        <w:t>Securities registered pursuant to Section 12(b) of the Act:</w:t>
      </w:r>
    </w:p>
    <w:p>
      <w:pPr>
        <w:spacing w:after="0" w:line="204" w:lineRule="exact"/>
        <w:rPr>
          <w:sz w:val="24"/>
          <w:szCs w:val="24"/>
          <w:color w:val="auto"/>
        </w:rPr>
      </w:pPr>
    </w:p>
    <w:tbl>
      <w:tblPr>
        <w:tblLayout w:type="fixed"/>
        <w:tblInd w:w="760" w:type="dxa"/>
        <w:tblCellMar>
          <w:top w:w="0" w:type="dxa"/>
          <w:left w:w="0" w:type="dxa"/>
          <w:bottom w:w="0" w:type="dxa"/>
          <w:right w:w="0" w:type="dxa"/>
        </w:tblCellMar>
      </w:tblPr>
      <w:tr>
        <w:trPr>
          <w:trHeight w:val="200"/>
        </w:trPr>
        <w:tc>
          <w:tcPr>
            <w:tcW w:w="3220" w:type="dxa"/>
            <w:vAlign w:val="bottom"/>
          </w:tcPr>
          <w:p>
            <w:pPr>
              <w:ind w:left="460"/>
              <w:spacing w:after="0"/>
              <w:rPr>
                <w:sz w:val="20"/>
                <w:szCs w:val="20"/>
                <w:color w:val="auto"/>
              </w:rPr>
            </w:pPr>
            <w:r>
              <w:rPr>
                <w:rFonts w:ascii="Arial" w:cs="Arial" w:eastAsia="Arial" w:hAnsi="Arial"/>
                <w:sz w:val="17"/>
                <w:szCs w:val="17"/>
                <w:b w:val="1"/>
                <w:bCs w:val="1"/>
                <w:color w:val="auto"/>
              </w:rPr>
              <w:t>Title of each class</w:t>
            </w:r>
          </w:p>
        </w:tc>
        <w:tc>
          <w:tcPr>
            <w:tcW w:w="3340" w:type="dxa"/>
            <w:vAlign w:val="bottom"/>
          </w:tcPr>
          <w:p>
            <w:pPr>
              <w:jc w:val="center"/>
              <w:spacing w:after="0"/>
              <w:rPr>
                <w:sz w:val="20"/>
                <w:szCs w:val="20"/>
                <w:color w:val="auto"/>
              </w:rPr>
            </w:pPr>
            <w:r>
              <w:rPr>
                <w:rFonts w:ascii="Arial" w:cs="Arial" w:eastAsia="Arial" w:hAnsi="Arial"/>
                <w:sz w:val="17"/>
                <w:szCs w:val="17"/>
                <w:b w:val="1"/>
                <w:bCs w:val="1"/>
                <w:color w:val="auto"/>
                <w:w w:val="88"/>
              </w:rPr>
              <w:t>Trading Symbol(s)</w:t>
            </w:r>
          </w:p>
        </w:tc>
        <w:tc>
          <w:tcPr>
            <w:tcW w:w="3320" w:type="dxa"/>
            <w:vAlign w:val="bottom"/>
          </w:tcPr>
          <w:p>
            <w:pPr>
              <w:jc w:val="center"/>
              <w:ind w:left="897"/>
              <w:spacing w:after="0"/>
              <w:rPr>
                <w:sz w:val="20"/>
                <w:szCs w:val="20"/>
                <w:color w:val="auto"/>
              </w:rPr>
            </w:pPr>
            <w:r>
              <w:rPr>
                <w:rFonts w:ascii="Arial" w:cs="Arial" w:eastAsia="Arial" w:hAnsi="Arial"/>
                <w:sz w:val="17"/>
                <w:szCs w:val="17"/>
                <w:b w:val="1"/>
                <w:bCs w:val="1"/>
                <w:color w:val="auto"/>
                <w:w w:val="85"/>
              </w:rPr>
              <w:t>Name of each exchange on which</w:t>
            </w:r>
          </w:p>
        </w:tc>
      </w:tr>
      <w:tr>
        <w:trPr>
          <w:trHeight w:val="204"/>
        </w:trPr>
        <w:tc>
          <w:tcPr>
            <w:tcW w:w="32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320" w:type="dxa"/>
            <w:vAlign w:val="bottom"/>
          </w:tcPr>
          <w:p>
            <w:pPr>
              <w:jc w:val="center"/>
              <w:ind w:left="937"/>
              <w:spacing w:after="0"/>
              <w:rPr>
                <w:sz w:val="20"/>
                <w:szCs w:val="20"/>
                <w:color w:val="auto"/>
              </w:rPr>
            </w:pPr>
            <w:r>
              <w:rPr>
                <w:rFonts w:ascii="Arial" w:cs="Arial" w:eastAsia="Arial" w:hAnsi="Arial"/>
                <w:sz w:val="17"/>
                <w:szCs w:val="17"/>
                <w:b w:val="1"/>
                <w:bCs w:val="1"/>
                <w:color w:val="auto"/>
                <w:w w:val="85"/>
              </w:rPr>
              <w:t>registered</w:t>
            </w:r>
          </w:p>
        </w:tc>
      </w:tr>
      <w:tr>
        <w:trPr>
          <w:trHeight w:val="200"/>
        </w:trPr>
        <w:tc>
          <w:tcPr>
            <w:tcW w:w="3220" w:type="dxa"/>
            <w:vAlign w:val="bottom"/>
          </w:tcPr>
          <w:p>
            <w:pPr>
              <w:spacing w:after="0"/>
              <w:rPr>
                <w:sz w:val="20"/>
                <w:szCs w:val="20"/>
                <w:color w:val="auto"/>
              </w:rPr>
            </w:pPr>
            <w:r>
              <w:rPr>
                <w:rFonts w:ascii="Arial" w:cs="Arial" w:eastAsia="Arial" w:hAnsi="Arial"/>
                <w:sz w:val="17"/>
                <w:szCs w:val="17"/>
                <w:color w:val="auto"/>
              </w:rPr>
              <w:t>Common Stock, $0.01 Par Value</w:t>
            </w:r>
          </w:p>
        </w:tc>
        <w:tc>
          <w:tcPr>
            <w:tcW w:w="3340" w:type="dxa"/>
            <w:vAlign w:val="bottom"/>
          </w:tcPr>
          <w:p>
            <w:pPr>
              <w:jc w:val="center"/>
              <w:spacing w:after="0"/>
              <w:rPr>
                <w:sz w:val="20"/>
                <w:szCs w:val="20"/>
                <w:color w:val="auto"/>
              </w:rPr>
            </w:pPr>
            <w:r>
              <w:rPr>
                <w:rFonts w:ascii="Arial" w:cs="Arial" w:eastAsia="Arial" w:hAnsi="Arial"/>
                <w:sz w:val="17"/>
                <w:szCs w:val="17"/>
                <w:color w:val="auto"/>
              </w:rPr>
              <w:t>ABBV</w:t>
            </w:r>
          </w:p>
        </w:tc>
        <w:tc>
          <w:tcPr>
            <w:tcW w:w="3320" w:type="dxa"/>
            <w:vAlign w:val="bottom"/>
          </w:tcPr>
          <w:p>
            <w:pPr>
              <w:jc w:val="center"/>
              <w:ind w:left="917"/>
              <w:spacing w:after="0"/>
              <w:rPr>
                <w:sz w:val="20"/>
                <w:szCs w:val="20"/>
                <w:color w:val="auto"/>
              </w:rPr>
            </w:pPr>
            <w:r>
              <w:rPr>
                <w:rFonts w:ascii="Arial" w:cs="Arial" w:eastAsia="Arial" w:hAnsi="Arial"/>
                <w:sz w:val="17"/>
                <w:szCs w:val="17"/>
                <w:color w:val="auto"/>
                <w:w w:val="89"/>
              </w:rPr>
              <w:t>New York Stock Exchange</w:t>
            </w:r>
          </w:p>
        </w:tc>
      </w:tr>
      <w:tr>
        <w:trPr>
          <w:trHeight w:val="200"/>
        </w:trPr>
        <w:tc>
          <w:tcPr>
            <w:tcW w:w="32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320" w:type="dxa"/>
            <w:vAlign w:val="bottom"/>
          </w:tcPr>
          <w:p>
            <w:pPr>
              <w:jc w:val="center"/>
              <w:ind w:left="957"/>
              <w:spacing w:after="0"/>
              <w:rPr>
                <w:sz w:val="20"/>
                <w:szCs w:val="20"/>
                <w:color w:val="auto"/>
              </w:rPr>
            </w:pPr>
            <w:r>
              <w:rPr>
                <w:rFonts w:ascii="Arial" w:cs="Arial" w:eastAsia="Arial" w:hAnsi="Arial"/>
                <w:sz w:val="17"/>
                <w:szCs w:val="17"/>
                <w:color w:val="auto"/>
                <w:w w:val="88"/>
              </w:rPr>
              <w:t>Chicago Stock Exchange</w:t>
            </w:r>
          </w:p>
        </w:tc>
      </w:tr>
      <w:tr>
        <w:trPr>
          <w:trHeight w:val="200"/>
        </w:trPr>
        <w:tc>
          <w:tcPr>
            <w:tcW w:w="3220" w:type="dxa"/>
            <w:vAlign w:val="bottom"/>
          </w:tcPr>
          <w:p>
            <w:pPr>
              <w:spacing w:after="0"/>
              <w:rPr>
                <w:sz w:val="20"/>
                <w:szCs w:val="20"/>
                <w:color w:val="auto"/>
              </w:rPr>
            </w:pPr>
            <w:r>
              <w:rPr>
                <w:rFonts w:ascii="Arial" w:cs="Arial" w:eastAsia="Arial" w:hAnsi="Arial"/>
                <w:sz w:val="17"/>
                <w:szCs w:val="17"/>
                <w:color w:val="auto"/>
              </w:rPr>
              <w:t>0.500% Senior Notes due 2021</w:t>
            </w:r>
          </w:p>
        </w:tc>
        <w:tc>
          <w:tcPr>
            <w:tcW w:w="3340" w:type="dxa"/>
            <w:vAlign w:val="bottom"/>
          </w:tcPr>
          <w:p>
            <w:pPr>
              <w:jc w:val="center"/>
              <w:spacing w:after="0"/>
              <w:rPr>
                <w:sz w:val="20"/>
                <w:szCs w:val="20"/>
                <w:color w:val="auto"/>
              </w:rPr>
            </w:pPr>
            <w:r>
              <w:rPr>
                <w:rFonts w:ascii="Arial" w:cs="Arial" w:eastAsia="Arial" w:hAnsi="Arial"/>
                <w:sz w:val="17"/>
                <w:szCs w:val="17"/>
                <w:color w:val="auto"/>
                <w:w w:val="96"/>
              </w:rPr>
              <w:t>ABBV21C</w:t>
            </w:r>
          </w:p>
        </w:tc>
        <w:tc>
          <w:tcPr>
            <w:tcW w:w="3320" w:type="dxa"/>
            <w:vAlign w:val="bottom"/>
          </w:tcPr>
          <w:p>
            <w:pPr>
              <w:jc w:val="center"/>
              <w:ind w:left="877"/>
              <w:spacing w:after="0"/>
              <w:rPr>
                <w:sz w:val="20"/>
                <w:szCs w:val="20"/>
                <w:color w:val="auto"/>
              </w:rPr>
            </w:pPr>
            <w:r>
              <w:rPr>
                <w:rFonts w:ascii="Arial" w:cs="Arial" w:eastAsia="Arial" w:hAnsi="Arial"/>
                <w:sz w:val="17"/>
                <w:szCs w:val="17"/>
                <w:color w:val="auto"/>
                <w:w w:val="89"/>
              </w:rPr>
              <w:t>New York Stock Exchange</w:t>
            </w:r>
          </w:p>
        </w:tc>
      </w:tr>
      <w:tr>
        <w:trPr>
          <w:trHeight w:val="200"/>
        </w:trPr>
        <w:tc>
          <w:tcPr>
            <w:tcW w:w="3220" w:type="dxa"/>
            <w:vAlign w:val="bottom"/>
          </w:tcPr>
          <w:p>
            <w:pPr>
              <w:spacing w:after="0"/>
              <w:rPr>
                <w:sz w:val="20"/>
                <w:szCs w:val="20"/>
                <w:color w:val="auto"/>
              </w:rPr>
            </w:pPr>
            <w:r>
              <w:rPr>
                <w:rFonts w:ascii="Arial" w:cs="Arial" w:eastAsia="Arial" w:hAnsi="Arial"/>
                <w:sz w:val="17"/>
                <w:szCs w:val="17"/>
                <w:color w:val="auto"/>
              </w:rPr>
              <w:t>1.500% Senior Notes due 2023</w:t>
            </w:r>
          </w:p>
        </w:tc>
        <w:tc>
          <w:tcPr>
            <w:tcW w:w="3340" w:type="dxa"/>
            <w:vAlign w:val="bottom"/>
          </w:tcPr>
          <w:p>
            <w:pPr>
              <w:jc w:val="center"/>
              <w:spacing w:after="0"/>
              <w:rPr>
                <w:sz w:val="20"/>
                <w:szCs w:val="20"/>
                <w:color w:val="auto"/>
              </w:rPr>
            </w:pPr>
            <w:r>
              <w:rPr>
                <w:rFonts w:ascii="Arial" w:cs="Arial" w:eastAsia="Arial" w:hAnsi="Arial"/>
                <w:sz w:val="17"/>
                <w:szCs w:val="17"/>
                <w:color w:val="auto"/>
                <w:w w:val="97"/>
              </w:rPr>
              <w:t>ABBV23B</w:t>
            </w:r>
          </w:p>
        </w:tc>
        <w:tc>
          <w:tcPr>
            <w:tcW w:w="3320" w:type="dxa"/>
            <w:vAlign w:val="bottom"/>
          </w:tcPr>
          <w:p>
            <w:pPr>
              <w:jc w:val="center"/>
              <w:ind w:left="877"/>
              <w:spacing w:after="0"/>
              <w:rPr>
                <w:sz w:val="20"/>
                <w:szCs w:val="20"/>
                <w:color w:val="auto"/>
              </w:rPr>
            </w:pPr>
            <w:r>
              <w:rPr>
                <w:rFonts w:ascii="Arial" w:cs="Arial" w:eastAsia="Arial" w:hAnsi="Arial"/>
                <w:sz w:val="17"/>
                <w:szCs w:val="17"/>
                <w:color w:val="auto"/>
                <w:w w:val="89"/>
              </w:rPr>
              <w:t>New York Stock Exchange</w:t>
            </w:r>
          </w:p>
        </w:tc>
      </w:tr>
      <w:tr>
        <w:trPr>
          <w:trHeight w:val="200"/>
        </w:trPr>
        <w:tc>
          <w:tcPr>
            <w:tcW w:w="3220" w:type="dxa"/>
            <w:vAlign w:val="bottom"/>
          </w:tcPr>
          <w:p>
            <w:pPr>
              <w:spacing w:after="0"/>
              <w:rPr>
                <w:sz w:val="20"/>
                <w:szCs w:val="20"/>
                <w:color w:val="auto"/>
              </w:rPr>
            </w:pPr>
            <w:r>
              <w:rPr>
                <w:rFonts w:ascii="Arial" w:cs="Arial" w:eastAsia="Arial" w:hAnsi="Arial"/>
                <w:sz w:val="17"/>
                <w:szCs w:val="17"/>
                <w:color w:val="auto"/>
              </w:rPr>
              <w:t>1.375% Senior Notes due 2024</w:t>
            </w:r>
          </w:p>
        </w:tc>
        <w:tc>
          <w:tcPr>
            <w:tcW w:w="3340" w:type="dxa"/>
            <w:vAlign w:val="bottom"/>
          </w:tcPr>
          <w:p>
            <w:pPr>
              <w:jc w:val="center"/>
              <w:spacing w:after="0"/>
              <w:rPr>
                <w:sz w:val="20"/>
                <w:szCs w:val="20"/>
                <w:color w:val="auto"/>
              </w:rPr>
            </w:pPr>
            <w:r>
              <w:rPr>
                <w:rFonts w:ascii="Arial" w:cs="Arial" w:eastAsia="Arial" w:hAnsi="Arial"/>
                <w:sz w:val="17"/>
                <w:szCs w:val="17"/>
                <w:color w:val="auto"/>
                <w:w w:val="96"/>
              </w:rPr>
              <w:t>ABBV24</w:t>
            </w:r>
          </w:p>
        </w:tc>
        <w:tc>
          <w:tcPr>
            <w:tcW w:w="3320" w:type="dxa"/>
            <w:vAlign w:val="bottom"/>
          </w:tcPr>
          <w:p>
            <w:pPr>
              <w:jc w:val="center"/>
              <w:ind w:left="877"/>
              <w:spacing w:after="0"/>
              <w:rPr>
                <w:sz w:val="20"/>
                <w:szCs w:val="20"/>
                <w:color w:val="auto"/>
              </w:rPr>
            </w:pPr>
            <w:r>
              <w:rPr>
                <w:rFonts w:ascii="Arial" w:cs="Arial" w:eastAsia="Arial" w:hAnsi="Arial"/>
                <w:sz w:val="17"/>
                <w:szCs w:val="17"/>
                <w:color w:val="auto"/>
                <w:w w:val="89"/>
              </w:rPr>
              <w:t>New York Stock Exchange</w:t>
            </w:r>
          </w:p>
        </w:tc>
      </w:tr>
      <w:tr>
        <w:trPr>
          <w:trHeight w:val="200"/>
        </w:trPr>
        <w:tc>
          <w:tcPr>
            <w:tcW w:w="3220" w:type="dxa"/>
            <w:vAlign w:val="bottom"/>
          </w:tcPr>
          <w:p>
            <w:pPr>
              <w:spacing w:after="0"/>
              <w:rPr>
                <w:sz w:val="20"/>
                <w:szCs w:val="20"/>
                <w:color w:val="auto"/>
              </w:rPr>
            </w:pPr>
            <w:r>
              <w:rPr>
                <w:rFonts w:ascii="Arial" w:cs="Arial" w:eastAsia="Arial" w:hAnsi="Arial"/>
                <w:sz w:val="17"/>
                <w:szCs w:val="17"/>
                <w:color w:val="auto"/>
              </w:rPr>
              <w:t>1.250% Senior Notes due 2024</w:t>
            </w:r>
          </w:p>
        </w:tc>
        <w:tc>
          <w:tcPr>
            <w:tcW w:w="3340" w:type="dxa"/>
            <w:vAlign w:val="bottom"/>
          </w:tcPr>
          <w:p>
            <w:pPr>
              <w:jc w:val="center"/>
              <w:spacing w:after="0"/>
              <w:rPr>
                <w:sz w:val="20"/>
                <w:szCs w:val="20"/>
                <w:color w:val="auto"/>
              </w:rPr>
            </w:pPr>
            <w:r>
              <w:rPr>
                <w:rFonts w:ascii="Arial" w:cs="Arial" w:eastAsia="Arial" w:hAnsi="Arial"/>
                <w:sz w:val="17"/>
                <w:szCs w:val="17"/>
                <w:color w:val="auto"/>
                <w:w w:val="97"/>
              </w:rPr>
              <w:t>ABBV24B</w:t>
            </w:r>
          </w:p>
        </w:tc>
        <w:tc>
          <w:tcPr>
            <w:tcW w:w="3320" w:type="dxa"/>
            <w:vAlign w:val="bottom"/>
          </w:tcPr>
          <w:p>
            <w:pPr>
              <w:jc w:val="center"/>
              <w:ind w:left="877"/>
              <w:spacing w:after="0"/>
              <w:rPr>
                <w:sz w:val="20"/>
                <w:szCs w:val="20"/>
                <w:color w:val="auto"/>
              </w:rPr>
            </w:pPr>
            <w:r>
              <w:rPr>
                <w:rFonts w:ascii="Arial" w:cs="Arial" w:eastAsia="Arial" w:hAnsi="Arial"/>
                <w:sz w:val="17"/>
                <w:szCs w:val="17"/>
                <w:color w:val="auto"/>
                <w:w w:val="89"/>
              </w:rPr>
              <w:t>New York Stock Exchange</w:t>
            </w:r>
          </w:p>
        </w:tc>
      </w:tr>
      <w:tr>
        <w:trPr>
          <w:trHeight w:val="200"/>
        </w:trPr>
        <w:tc>
          <w:tcPr>
            <w:tcW w:w="3220" w:type="dxa"/>
            <w:vAlign w:val="bottom"/>
          </w:tcPr>
          <w:p>
            <w:pPr>
              <w:spacing w:after="0"/>
              <w:rPr>
                <w:sz w:val="20"/>
                <w:szCs w:val="20"/>
                <w:color w:val="auto"/>
              </w:rPr>
            </w:pPr>
            <w:r>
              <w:rPr>
                <w:rFonts w:ascii="Arial" w:cs="Arial" w:eastAsia="Arial" w:hAnsi="Arial"/>
                <w:sz w:val="17"/>
                <w:szCs w:val="17"/>
                <w:color w:val="auto"/>
              </w:rPr>
              <w:t>0.750% Senior Notes due 2027</w:t>
            </w:r>
          </w:p>
        </w:tc>
        <w:tc>
          <w:tcPr>
            <w:tcW w:w="3340" w:type="dxa"/>
            <w:vAlign w:val="bottom"/>
          </w:tcPr>
          <w:p>
            <w:pPr>
              <w:jc w:val="center"/>
              <w:spacing w:after="0"/>
              <w:rPr>
                <w:sz w:val="20"/>
                <w:szCs w:val="20"/>
                <w:color w:val="auto"/>
              </w:rPr>
            </w:pPr>
            <w:r>
              <w:rPr>
                <w:rFonts w:ascii="Arial" w:cs="Arial" w:eastAsia="Arial" w:hAnsi="Arial"/>
                <w:sz w:val="17"/>
                <w:szCs w:val="17"/>
                <w:color w:val="auto"/>
                <w:w w:val="96"/>
              </w:rPr>
              <w:t>ABBV27</w:t>
            </w:r>
          </w:p>
        </w:tc>
        <w:tc>
          <w:tcPr>
            <w:tcW w:w="3320" w:type="dxa"/>
            <w:vAlign w:val="bottom"/>
          </w:tcPr>
          <w:p>
            <w:pPr>
              <w:jc w:val="center"/>
              <w:ind w:left="877"/>
              <w:spacing w:after="0"/>
              <w:rPr>
                <w:sz w:val="20"/>
                <w:szCs w:val="20"/>
                <w:color w:val="auto"/>
              </w:rPr>
            </w:pPr>
            <w:r>
              <w:rPr>
                <w:rFonts w:ascii="Arial" w:cs="Arial" w:eastAsia="Arial" w:hAnsi="Arial"/>
                <w:sz w:val="17"/>
                <w:szCs w:val="17"/>
                <w:color w:val="auto"/>
                <w:w w:val="89"/>
              </w:rPr>
              <w:t>New York Stock Exchange</w:t>
            </w:r>
          </w:p>
        </w:tc>
      </w:tr>
      <w:tr>
        <w:trPr>
          <w:trHeight w:val="200"/>
        </w:trPr>
        <w:tc>
          <w:tcPr>
            <w:tcW w:w="3220" w:type="dxa"/>
            <w:vAlign w:val="bottom"/>
          </w:tcPr>
          <w:p>
            <w:pPr>
              <w:spacing w:after="0"/>
              <w:rPr>
                <w:sz w:val="20"/>
                <w:szCs w:val="20"/>
                <w:color w:val="auto"/>
              </w:rPr>
            </w:pPr>
            <w:r>
              <w:rPr>
                <w:rFonts w:ascii="Arial" w:cs="Arial" w:eastAsia="Arial" w:hAnsi="Arial"/>
                <w:sz w:val="17"/>
                <w:szCs w:val="17"/>
                <w:color w:val="auto"/>
              </w:rPr>
              <w:t>2.125% Senior Notes due 2028</w:t>
            </w:r>
          </w:p>
        </w:tc>
        <w:tc>
          <w:tcPr>
            <w:tcW w:w="3340" w:type="dxa"/>
            <w:vAlign w:val="bottom"/>
          </w:tcPr>
          <w:p>
            <w:pPr>
              <w:jc w:val="center"/>
              <w:spacing w:after="0"/>
              <w:rPr>
                <w:sz w:val="20"/>
                <w:szCs w:val="20"/>
                <w:color w:val="auto"/>
              </w:rPr>
            </w:pPr>
            <w:r>
              <w:rPr>
                <w:rFonts w:ascii="Arial" w:cs="Arial" w:eastAsia="Arial" w:hAnsi="Arial"/>
                <w:sz w:val="17"/>
                <w:szCs w:val="17"/>
                <w:color w:val="auto"/>
                <w:w w:val="96"/>
              </w:rPr>
              <w:t>ABBV28</w:t>
            </w:r>
          </w:p>
        </w:tc>
        <w:tc>
          <w:tcPr>
            <w:tcW w:w="3320" w:type="dxa"/>
            <w:vAlign w:val="bottom"/>
          </w:tcPr>
          <w:p>
            <w:pPr>
              <w:jc w:val="center"/>
              <w:ind w:left="877"/>
              <w:spacing w:after="0"/>
              <w:rPr>
                <w:sz w:val="20"/>
                <w:szCs w:val="20"/>
                <w:color w:val="auto"/>
              </w:rPr>
            </w:pPr>
            <w:r>
              <w:rPr>
                <w:rFonts w:ascii="Arial" w:cs="Arial" w:eastAsia="Arial" w:hAnsi="Arial"/>
                <w:sz w:val="17"/>
                <w:szCs w:val="17"/>
                <w:color w:val="auto"/>
                <w:w w:val="89"/>
              </w:rPr>
              <w:t>New York Stock Exchange</w:t>
            </w:r>
          </w:p>
        </w:tc>
      </w:tr>
      <w:tr>
        <w:trPr>
          <w:trHeight w:val="200"/>
        </w:trPr>
        <w:tc>
          <w:tcPr>
            <w:tcW w:w="3220" w:type="dxa"/>
            <w:vAlign w:val="bottom"/>
          </w:tcPr>
          <w:p>
            <w:pPr>
              <w:spacing w:after="0"/>
              <w:rPr>
                <w:sz w:val="20"/>
                <w:szCs w:val="20"/>
                <w:color w:val="auto"/>
              </w:rPr>
            </w:pPr>
            <w:r>
              <w:rPr>
                <w:rFonts w:ascii="Arial" w:cs="Arial" w:eastAsia="Arial" w:hAnsi="Arial"/>
                <w:sz w:val="17"/>
                <w:szCs w:val="17"/>
                <w:color w:val="auto"/>
              </w:rPr>
              <w:t>2.625% Senior Notes due 2028</w:t>
            </w:r>
          </w:p>
        </w:tc>
        <w:tc>
          <w:tcPr>
            <w:tcW w:w="3340" w:type="dxa"/>
            <w:vAlign w:val="bottom"/>
          </w:tcPr>
          <w:p>
            <w:pPr>
              <w:jc w:val="center"/>
              <w:spacing w:after="0"/>
              <w:rPr>
                <w:sz w:val="20"/>
                <w:szCs w:val="20"/>
                <w:color w:val="auto"/>
              </w:rPr>
            </w:pPr>
            <w:r>
              <w:rPr>
                <w:rFonts w:ascii="Arial" w:cs="Arial" w:eastAsia="Arial" w:hAnsi="Arial"/>
                <w:sz w:val="17"/>
                <w:szCs w:val="17"/>
                <w:color w:val="auto"/>
                <w:w w:val="97"/>
              </w:rPr>
              <w:t>ABBV28B</w:t>
            </w:r>
          </w:p>
        </w:tc>
        <w:tc>
          <w:tcPr>
            <w:tcW w:w="3320" w:type="dxa"/>
            <w:vAlign w:val="bottom"/>
          </w:tcPr>
          <w:p>
            <w:pPr>
              <w:jc w:val="center"/>
              <w:ind w:left="877"/>
              <w:spacing w:after="0"/>
              <w:rPr>
                <w:sz w:val="20"/>
                <w:szCs w:val="20"/>
                <w:color w:val="auto"/>
              </w:rPr>
            </w:pPr>
            <w:r>
              <w:rPr>
                <w:rFonts w:ascii="Arial" w:cs="Arial" w:eastAsia="Arial" w:hAnsi="Arial"/>
                <w:sz w:val="17"/>
                <w:szCs w:val="17"/>
                <w:color w:val="auto"/>
                <w:w w:val="89"/>
              </w:rPr>
              <w:t>New York Stock Exchange</w:t>
            </w:r>
          </w:p>
        </w:tc>
      </w:tr>
      <w:tr>
        <w:trPr>
          <w:trHeight w:val="200"/>
        </w:trPr>
        <w:tc>
          <w:tcPr>
            <w:tcW w:w="3220" w:type="dxa"/>
            <w:vAlign w:val="bottom"/>
          </w:tcPr>
          <w:p>
            <w:pPr>
              <w:spacing w:after="0"/>
              <w:rPr>
                <w:sz w:val="20"/>
                <w:szCs w:val="20"/>
                <w:color w:val="auto"/>
              </w:rPr>
            </w:pPr>
            <w:r>
              <w:rPr>
                <w:rFonts w:ascii="Arial" w:cs="Arial" w:eastAsia="Arial" w:hAnsi="Arial"/>
                <w:sz w:val="17"/>
                <w:szCs w:val="17"/>
                <w:color w:val="auto"/>
              </w:rPr>
              <w:t>2.125% Senior Notes due 2029</w:t>
            </w:r>
          </w:p>
        </w:tc>
        <w:tc>
          <w:tcPr>
            <w:tcW w:w="3340" w:type="dxa"/>
            <w:vAlign w:val="bottom"/>
          </w:tcPr>
          <w:p>
            <w:pPr>
              <w:jc w:val="center"/>
              <w:spacing w:after="0"/>
              <w:rPr>
                <w:sz w:val="20"/>
                <w:szCs w:val="20"/>
                <w:color w:val="auto"/>
              </w:rPr>
            </w:pPr>
            <w:r>
              <w:rPr>
                <w:rFonts w:ascii="Arial" w:cs="Arial" w:eastAsia="Arial" w:hAnsi="Arial"/>
                <w:sz w:val="17"/>
                <w:szCs w:val="17"/>
                <w:color w:val="auto"/>
                <w:w w:val="96"/>
              </w:rPr>
              <w:t>ABBV29</w:t>
            </w:r>
          </w:p>
        </w:tc>
        <w:tc>
          <w:tcPr>
            <w:tcW w:w="3320" w:type="dxa"/>
            <w:vAlign w:val="bottom"/>
          </w:tcPr>
          <w:p>
            <w:pPr>
              <w:jc w:val="center"/>
              <w:ind w:left="877"/>
              <w:spacing w:after="0"/>
              <w:rPr>
                <w:sz w:val="20"/>
                <w:szCs w:val="20"/>
                <w:color w:val="auto"/>
              </w:rPr>
            </w:pPr>
            <w:r>
              <w:rPr>
                <w:rFonts w:ascii="Arial" w:cs="Arial" w:eastAsia="Arial" w:hAnsi="Arial"/>
                <w:sz w:val="17"/>
                <w:szCs w:val="17"/>
                <w:color w:val="auto"/>
                <w:w w:val="89"/>
              </w:rPr>
              <w:t>New York Stock Exchange</w:t>
            </w:r>
          </w:p>
        </w:tc>
      </w:tr>
      <w:tr>
        <w:trPr>
          <w:trHeight w:val="212"/>
        </w:trPr>
        <w:tc>
          <w:tcPr>
            <w:tcW w:w="3220" w:type="dxa"/>
            <w:vAlign w:val="bottom"/>
          </w:tcPr>
          <w:p>
            <w:pPr>
              <w:spacing w:after="0"/>
              <w:rPr>
                <w:sz w:val="20"/>
                <w:szCs w:val="20"/>
                <w:color w:val="auto"/>
              </w:rPr>
            </w:pPr>
            <w:r>
              <w:rPr>
                <w:rFonts w:ascii="Arial" w:cs="Arial" w:eastAsia="Arial" w:hAnsi="Arial"/>
                <w:sz w:val="17"/>
                <w:szCs w:val="17"/>
                <w:color w:val="auto"/>
              </w:rPr>
              <w:t>1.250% Senior Notes due 2031</w:t>
            </w:r>
          </w:p>
        </w:tc>
        <w:tc>
          <w:tcPr>
            <w:tcW w:w="3340" w:type="dxa"/>
            <w:vAlign w:val="bottom"/>
          </w:tcPr>
          <w:p>
            <w:pPr>
              <w:jc w:val="center"/>
              <w:spacing w:after="0"/>
              <w:rPr>
                <w:sz w:val="20"/>
                <w:szCs w:val="20"/>
                <w:color w:val="auto"/>
              </w:rPr>
            </w:pPr>
            <w:r>
              <w:rPr>
                <w:rFonts w:ascii="Arial" w:cs="Arial" w:eastAsia="Arial" w:hAnsi="Arial"/>
                <w:sz w:val="17"/>
                <w:szCs w:val="17"/>
                <w:color w:val="auto"/>
                <w:w w:val="96"/>
              </w:rPr>
              <w:t>ABBV31</w:t>
            </w:r>
          </w:p>
        </w:tc>
        <w:tc>
          <w:tcPr>
            <w:tcW w:w="3320" w:type="dxa"/>
            <w:vAlign w:val="bottom"/>
          </w:tcPr>
          <w:p>
            <w:pPr>
              <w:jc w:val="center"/>
              <w:ind w:left="877"/>
              <w:spacing w:after="0"/>
              <w:rPr>
                <w:sz w:val="20"/>
                <w:szCs w:val="20"/>
                <w:color w:val="auto"/>
              </w:rPr>
            </w:pPr>
            <w:r>
              <w:rPr>
                <w:rFonts w:ascii="Arial" w:cs="Arial" w:eastAsia="Arial" w:hAnsi="Arial"/>
                <w:sz w:val="17"/>
                <w:szCs w:val="17"/>
                <w:color w:val="auto"/>
                <w:w w:val="89"/>
              </w:rPr>
              <w:t>New York Stock Exchange</w:t>
            </w:r>
          </w:p>
        </w:tc>
      </w:tr>
    </w:tbl>
    <w:p>
      <w:pPr>
        <w:spacing w:after="0" w:line="187" w:lineRule="exact"/>
        <w:rPr>
          <w:sz w:val="24"/>
          <w:szCs w:val="24"/>
          <w:color w:val="auto"/>
        </w:rPr>
      </w:pPr>
    </w:p>
    <w:p>
      <w:pPr>
        <w:spacing w:after="0" w:line="250"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ind w:left="9240"/>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pacing w:after="0" w:line="219" w:lineRule="exact"/>
        <w:rPr>
          <w:sz w:val="24"/>
          <w:szCs w:val="24"/>
          <w:color w:val="auto"/>
        </w:rPr>
      </w:pPr>
    </w:p>
    <w:p>
      <w:pPr>
        <w:spacing w:after="0" w:line="215"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714248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248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132080</wp:posOffset>
            </wp:positionV>
            <wp:extent cx="7142480" cy="234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2480" cy="2349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409575</wp:posOffset>
            </wp:positionV>
            <wp:extent cx="714248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712" w:right="33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7"/>
          <w:szCs w:val="17"/>
          <w:b w:val="1"/>
          <w:bCs w:val="1"/>
          <w:color w:val="auto"/>
        </w:rPr>
        <w:t>Item 7.01</w:t>
      </w:r>
      <w:r>
        <w:rPr>
          <w:sz w:val="20"/>
          <w:szCs w:val="20"/>
          <w:color w:val="auto"/>
        </w:rPr>
        <w:tab/>
      </w:r>
      <w:r>
        <w:rPr>
          <w:rFonts w:ascii="Arial" w:cs="Arial" w:eastAsia="Arial" w:hAnsi="Arial"/>
          <w:sz w:val="14"/>
          <w:szCs w:val="14"/>
          <w:b w:val="1"/>
          <w:bCs w:val="1"/>
          <w:color w:val="auto"/>
        </w:rPr>
        <w:t>Regulation FD Disclosure.</w:t>
      </w:r>
    </w:p>
    <w:p>
      <w:pPr>
        <w:spacing w:after="0" w:line="20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On January 12, 2021, AbbVie Inc. posted an investor presentation to its website at: https://investors.abbvie.com/presentations. A copy is attached as Exhibit 99.1 to this Current Report on Form 8-K.</w:t>
      </w:r>
    </w:p>
    <w:p>
      <w:pPr>
        <w:spacing w:after="0" w:line="168"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As provided in General Instruction B.2 of Form 8-K, the information in this Item 7.01 and Exhibit 99.1 incorporated herein shall not be deemed to be “filed” for purposes of Section 18 of the Securities Exchange Act of 1934, as amended, nor shall they be deemed to be incorporated by reference in any filing under the Securities Act of 1933, as amended, except as shall be expressly set forth by specific reference in such a filing. Additionally, the submission of the information set forth in this Item 7.01 is not deemed an admission as to the materiality of any information in this Current Report on Form 8-K that is required to be disclosed solely by Regulation FD.</w:t>
      </w:r>
    </w:p>
    <w:p>
      <w:pPr>
        <w:spacing w:after="0" w:line="176" w:lineRule="exact"/>
        <w:rPr>
          <w:sz w:val="20"/>
          <w:szCs w:val="20"/>
          <w:color w:val="auto"/>
        </w:rPr>
      </w:pPr>
    </w:p>
    <w:p>
      <w:pPr>
        <w:spacing w:after="0"/>
        <w:tabs>
          <w:tab w:leader="none" w:pos="1120" w:val="left"/>
        </w:tabs>
        <w:rPr>
          <w:sz w:val="20"/>
          <w:szCs w:val="20"/>
          <w:color w:val="auto"/>
        </w:rPr>
      </w:pPr>
      <w:r>
        <w:rPr>
          <w:rFonts w:ascii="Arial" w:cs="Arial" w:eastAsia="Arial" w:hAnsi="Arial"/>
          <w:sz w:val="17"/>
          <w:szCs w:val="17"/>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900" w:type="dxa"/>
            <w:vAlign w:val="bottom"/>
            <w:gridSpan w:val="2"/>
          </w:tcPr>
          <w:p>
            <w:pPr>
              <w:ind w:left="360"/>
              <w:spacing w:after="0"/>
              <w:rPr>
                <w:sz w:val="20"/>
                <w:szCs w:val="20"/>
                <w:color w:val="auto"/>
              </w:rPr>
            </w:pPr>
            <w:r>
              <w:rPr>
                <w:rFonts w:ascii="Arial" w:cs="Arial" w:eastAsia="Arial" w:hAnsi="Arial"/>
                <w:sz w:val="17"/>
                <w:szCs w:val="17"/>
                <w:color w:val="auto"/>
              </w:rPr>
              <w:t>(d) Exhibits</w:t>
            </w:r>
          </w:p>
        </w:tc>
        <w:tc>
          <w:tcPr>
            <w:tcW w:w="9320" w:type="dxa"/>
            <w:vAlign w:val="bottom"/>
          </w:tcPr>
          <w:p>
            <w:pPr>
              <w:spacing w:after="0"/>
              <w:rPr>
                <w:sz w:val="18"/>
                <w:szCs w:val="18"/>
                <w:color w:val="auto"/>
              </w:rPr>
            </w:pPr>
          </w:p>
        </w:tc>
      </w:tr>
      <w:tr>
        <w:trPr>
          <w:trHeight w:val="383"/>
        </w:trPr>
        <w:tc>
          <w:tcPr>
            <w:tcW w:w="20" w:type="dxa"/>
            <w:vAlign w:val="bottom"/>
          </w:tcPr>
          <w:p>
            <w:pPr>
              <w:spacing w:after="0"/>
              <w:rPr>
                <w:sz w:val="24"/>
                <w:szCs w:val="24"/>
                <w:color w:val="auto"/>
              </w:rPr>
            </w:pPr>
          </w:p>
        </w:tc>
        <w:tc>
          <w:tcPr>
            <w:tcW w:w="190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5"/>
              </w:rPr>
              <w:t>Exhibit</w:t>
            </w:r>
          </w:p>
        </w:tc>
        <w:tc>
          <w:tcPr>
            <w:tcW w:w="93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90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4"/>
              </w:rPr>
              <w:t>No.</w:t>
            </w:r>
          </w:p>
        </w:tc>
        <w:tc>
          <w:tcPr>
            <w:tcW w:w="9320" w:type="dxa"/>
            <w:vAlign w:val="bottom"/>
          </w:tcPr>
          <w:p>
            <w:pPr>
              <w:spacing w:after="0"/>
              <w:rPr>
                <w:sz w:val="20"/>
                <w:szCs w:val="20"/>
                <w:color w:val="auto"/>
              </w:rPr>
            </w:pPr>
            <w:r>
              <w:rPr>
                <w:rFonts w:ascii="Arial" w:cs="Arial" w:eastAsia="Arial" w:hAnsi="Arial"/>
                <w:sz w:val="17"/>
                <w:szCs w:val="17"/>
                <w:b w:val="1"/>
                <w:bCs w:val="1"/>
                <w:color w:val="auto"/>
              </w:rPr>
              <w:t>Exhibit</w:t>
            </w:r>
          </w:p>
        </w:tc>
      </w:tr>
      <w:tr>
        <w:trPr>
          <w:trHeight w:val="180"/>
        </w:trPr>
        <w:tc>
          <w:tcPr>
            <w:tcW w:w="20" w:type="dxa"/>
            <w:vAlign w:val="bottom"/>
          </w:tcPr>
          <w:p>
            <w:pPr>
              <w:spacing w:after="0"/>
              <w:rPr>
                <w:sz w:val="15"/>
                <w:szCs w:val="15"/>
                <w:color w:val="auto"/>
              </w:rPr>
            </w:pPr>
          </w:p>
        </w:tc>
        <w:tc>
          <w:tcPr>
            <w:tcW w:w="1680" w:type="dxa"/>
            <w:vAlign w:val="bottom"/>
            <w:tcBorders>
              <w:top w:val="single" w:sz="8" w:color="auto"/>
            </w:tcBorders>
          </w:tcPr>
          <w:p>
            <w:pPr>
              <w:spacing w:after="0" w:line="180" w:lineRule="exact"/>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99.1</w:t>
              </w:r>
            </w:hyperlink>
          </w:p>
        </w:tc>
        <w:tc>
          <w:tcPr>
            <w:tcW w:w="220" w:type="dxa"/>
            <w:vAlign w:val="bottom"/>
          </w:tcPr>
          <w:p>
            <w:pPr>
              <w:spacing w:after="0"/>
              <w:rPr>
                <w:sz w:val="15"/>
                <w:szCs w:val="15"/>
                <w:color w:val="auto"/>
              </w:rPr>
            </w:pPr>
          </w:p>
        </w:tc>
        <w:tc>
          <w:tcPr>
            <w:tcW w:w="9320" w:type="dxa"/>
            <w:vAlign w:val="bottom"/>
            <w:tcBorders>
              <w:top w:val="single" w:sz="8" w:color="auto"/>
            </w:tcBorders>
          </w:tcPr>
          <w:p>
            <w:pPr>
              <w:spacing w:after="0" w:line="180" w:lineRule="exact"/>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Investor Presentation dated January 12, 2021.</w:t>
              </w:r>
            </w:hyperlink>
          </w:p>
        </w:tc>
      </w:tr>
      <w:tr>
        <w:trPr>
          <w:trHeight w:val="212"/>
        </w:trPr>
        <w:tc>
          <w:tcPr>
            <w:tcW w:w="1700" w:type="dxa"/>
            <w:vAlign w:val="bottom"/>
            <w:gridSpan w:val="2"/>
          </w:tcPr>
          <w:p>
            <w:pPr>
              <w:spacing w:after="0"/>
              <w:rPr>
                <w:sz w:val="20"/>
                <w:szCs w:val="20"/>
                <w:color w:val="auto"/>
              </w:rPr>
            </w:pPr>
            <w:r>
              <w:rPr>
                <w:rFonts w:ascii="Arial" w:cs="Arial" w:eastAsia="Arial" w:hAnsi="Arial"/>
                <w:sz w:val="17"/>
                <w:szCs w:val="17"/>
                <w:color w:val="auto"/>
              </w:rPr>
              <w:t>104</w:t>
            </w:r>
          </w:p>
        </w:tc>
        <w:tc>
          <w:tcPr>
            <w:tcW w:w="2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7"/>
                <w:szCs w:val="17"/>
                <w:color w:val="auto"/>
              </w:rPr>
              <w:t>The cover page from this Current Report on Form 8-K formatted in Inline XBRL (included as Exhibit 101).</w:t>
            </w:r>
          </w:p>
        </w:tc>
      </w:tr>
      <w:tr>
        <w:trPr>
          <w:trHeight w:val="599"/>
        </w:trPr>
        <w:tc>
          <w:tcPr>
            <w:tcW w:w="20" w:type="dxa"/>
            <w:vAlign w:val="bottom"/>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320" w:type="dxa"/>
            <w:vAlign w:val="bottom"/>
            <w:tcBorders>
              <w:bottom w:val="single" w:sz="8" w:color="auto"/>
            </w:tcBorders>
          </w:tcPr>
          <w:p>
            <w:pPr>
              <w:jc w:val="right"/>
              <w:ind w:right="5477"/>
              <w:spacing w:after="0"/>
              <w:rPr>
                <w:sz w:val="20"/>
                <w:szCs w:val="20"/>
                <w:color w:val="auto"/>
              </w:rPr>
            </w:pPr>
            <w:r>
              <w:rPr>
                <w:rFonts w:ascii="Arial" w:cs="Arial" w:eastAsia="Arial" w:hAnsi="Arial"/>
                <w:sz w:val="17"/>
                <w:szCs w:val="17"/>
                <w:color w:val="auto"/>
              </w:rPr>
              <w:t>2</w:t>
            </w:r>
          </w:p>
        </w:tc>
      </w:tr>
    </w:tbl>
    <w:p>
      <w:pPr>
        <w:sectPr>
          <w:pgSz w:w="11900" w:h="16838" w:orient="portrait"/>
          <w:cols w:equalWidth="0" w:num="1">
            <w:col w:w="11240"/>
          </w:cols>
          <w:pgMar w:left="320" w:top="872"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SIGNATURE</w:t>
      </w:r>
    </w:p>
    <w:p>
      <w:pPr>
        <w:spacing w:after="0" w:line="208" w:lineRule="exact"/>
        <w:rPr>
          <w:sz w:val="20"/>
          <w:szCs w:val="20"/>
          <w:color w:val="auto"/>
        </w:rPr>
      </w:pPr>
    </w:p>
    <w:p>
      <w:pPr>
        <w:ind w:firstLine="599"/>
        <w:spacing w:after="0" w:line="265"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7680" w:type="dxa"/>
            <w:vAlign w:val="bottom"/>
            <w:gridSpan w:val="2"/>
          </w:tcPr>
          <w:p>
            <w:pPr>
              <w:ind w:left="2080"/>
              <w:spacing w:after="0"/>
              <w:rPr>
                <w:sz w:val="20"/>
                <w:szCs w:val="20"/>
                <w:color w:val="auto"/>
              </w:rPr>
            </w:pPr>
            <w:r>
              <w:rPr>
                <w:rFonts w:ascii="Arial" w:cs="Arial" w:eastAsia="Arial" w:hAnsi="Arial"/>
                <w:sz w:val="17"/>
                <w:szCs w:val="17"/>
                <w:b w:val="1"/>
                <w:bCs w:val="1"/>
                <w:color w:val="auto"/>
              </w:rPr>
              <w:t>ABBVIE INC.</w:t>
            </w:r>
          </w:p>
        </w:tc>
      </w:tr>
      <w:tr>
        <w:trPr>
          <w:trHeight w:val="399"/>
        </w:trPr>
        <w:tc>
          <w:tcPr>
            <w:tcW w:w="3560" w:type="dxa"/>
            <w:vAlign w:val="bottom"/>
          </w:tcPr>
          <w:p>
            <w:pPr>
              <w:spacing w:after="0"/>
              <w:rPr>
                <w:sz w:val="20"/>
                <w:szCs w:val="20"/>
                <w:color w:val="auto"/>
              </w:rPr>
            </w:pPr>
            <w:r>
              <w:rPr>
                <w:rFonts w:ascii="Arial" w:cs="Arial" w:eastAsia="Arial" w:hAnsi="Arial"/>
                <w:sz w:val="17"/>
                <w:szCs w:val="17"/>
                <w:color w:val="auto"/>
              </w:rPr>
              <w:t>Date: January 12, 2021</w:t>
            </w:r>
          </w:p>
        </w:tc>
        <w:tc>
          <w:tcPr>
            <w:tcW w:w="2740" w:type="dxa"/>
            <w:vAlign w:val="bottom"/>
          </w:tcPr>
          <w:p>
            <w:pPr>
              <w:ind w:left="2080"/>
              <w:spacing w:after="0"/>
              <w:rPr>
                <w:sz w:val="20"/>
                <w:szCs w:val="20"/>
                <w:color w:val="auto"/>
              </w:rPr>
            </w:pPr>
            <w:r>
              <w:rPr>
                <w:rFonts w:ascii="Arial" w:cs="Arial" w:eastAsia="Arial" w:hAnsi="Arial"/>
                <w:sz w:val="17"/>
                <w:szCs w:val="17"/>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Robert A. Michael</w:t>
            </w:r>
          </w:p>
        </w:tc>
      </w:tr>
      <w:tr>
        <w:trPr>
          <w:trHeight w:val="180"/>
        </w:trPr>
        <w:tc>
          <w:tcPr>
            <w:tcW w:w="3560" w:type="dxa"/>
            <w:vAlign w:val="bottom"/>
          </w:tcPr>
          <w:p>
            <w:pPr>
              <w:spacing w:after="0"/>
              <w:rPr>
                <w:sz w:val="15"/>
                <w:szCs w:val="15"/>
                <w:color w:val="auto"/>
              </w:rPr>
            </w:pPr>
          </w:p>
        </w:tc>
        <w:tc>
          <w:tcPr>
            <w:tcW w:w="2740" w:type="dxa"/>
            <w:vAlign w:val="bottom"/>
          </w:tcPr>
          <w:p>
            <w:pPr>
              <w:ind w:left="2080"/>
              <w:spacing w:after="0" w:line="180" w:lineRule="exact"/>
              <w:rPr>
                <w:sz w:val="20"/>
                <w:szCs w:val="20"/>
                <w:color w:val="auto"/>
              </w:rPr>
            </w:pPr>
            <w:r>
              <w:rPr>
                <w:rFonts w:ascii="Arial" w:cs="Arial" w:eastAsia="Arial" w:hAnsi="Arial"/>
                <w:sz w:val="17"/>
                <w:szCs w:val="17"/>
                <w:color w:val="auto"/>
              </w:rPr>
              <w:t>Name:</w:t>
            </w:r>
          </w:p>
        </w:tc>
        <w:tc>
          <w:tcPr>
            <w:tcW w:w="4940" w:type="dxa"/>
            <w:vAlign w:val="bottom"/>
          </w:tcPr>
          <w:p>
            <w:pPr>
              <w:spacing w:after="0" w:line="180" w:lineRule="exact"/>
              <w:rPr>
                <w:sz w:val="20"/>
                <w:szCs w:val="20"/>
                <w:color w:val="auto"/>
              </w:rPr>
            </w:pPr>
            <w:r>
              <w:rPr>
                <w:rFonts w:ascii="Arial" w:cs="Arial" w:eastAsia="Arial" w:hAnsi="Arial"/>
                <w:sz w:val="17"/>
                <w:szCs w:val="17"/>
                <w:color w:val="auto"/>
              </w:rPr>
              <w:t>Robert A. Michael</w:t>
            </w:r>
          </w:p>
        </w:tc>
      </w:tr>
      <w:tr>
        <w:trPr>
          <w:trHeight w:val="212"/>
        </w:trPr>
        <w:tc>
          <w:tcPr>
            <w:tcW w:w="3560" w:type="dxa"/>
            <w:vAlign w:val="bottom"/>
          </w:tcPr>
          <w:p>
            <w:pPr>
              <w:spacing w:after="0"/>
              <w:rPr>
                <w:sz w:val="18"/>
                <w:szCs w:val="18"/>
                <w:color w:val="auto"/>
              </w:rPr>
            </w:pPr>
          </w:p>
        </w:tc>
        <w:tc>
          <w:tcPr>
            <w:tcW w:w="2740" w:type="dxa"/>
            <w:vAlign w:val="bottom"/>
          </w:tcPr>
          <w:p>
            <w:pPr>
              <w:ind w:left="2080"/>
              <w:spacing w:after="0"/>
              <w:rPr>
                <w:sz w:val="20"/>
                <w:szCs w:val="20"/>
                <w:color w:val="auto"/>
              </w:rPr>
            </w:pPr>
            <w:r>
              <w:rPr>
                <w:rFonts w:ascii="Arial" w:cs="Arial" w:eastAsia="Arial" w:hAnsi="Arial"/>
                <w:sz w:val="17"/>
                <w:szCs w:val="17"/>
                <w:color w:val="auto"/>
              </w:rPr>
              <w:t>Title:</w:t>
            </w:r>
          </w:p>
        </w:tc>
        <w:tc>
          <w:tcPr>
            <w:tcW w:w="4940" w:type="dxa"/>
            <w:vAlign w:val="bottom"/>
          </w:tcPr>
          <w:p>
            <w:pPr>
              <w:spacing w:after="0"/>
              <w:rPr>
                <w:sz w:val="20"/>
                <w:szCs w:val="20"/>
                <w:color w:val="auto"/>
              </w:rPr>
            </w:pPr>
            <w:r>
              <w:rPr>
                <w:rFonts w:ascii="Arial" w:cs="Arial" w:eastAsia="Arial" w:hAnsi="Arial"/>
                <w:sz w:val="17"/>
                <w:szCs w:val="17"/>
                <w:color w:val="auto"/>
              </w:rPr>
              <w:t>Executive Vice President, Chief Financial Officer</w:t>
            </w:r>
          </w:p>
        </w:tc>
      </w:tr>
      <w:tr>
        <w:trPr>
          <w:trHeight w:val="599"/>
        </w:trPr>
        <w:tc>
          <w:tcPr>
            <w:tcW w:w="35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ind w:left="2000"/>
              <w:spacing w:after="0"/>
              <w:rPr>
                <w:sz w:val="20"/>
                <w:szCs w:val="20"/>
                <w:color w:val="auto"/>
              </w:rPr>
            </w:pPr>
            <w:r>
              <w:rPr>
                <w:rFonts w:ascii="Arial" w:cs="Arial" w:eastAsia="Arial" w:hAnsi="Arial"/>
                <w:sz w:val="17"/>
                <w:szCs w:val="17"/>
                <w:color w:val="auto"/>
              </w:rPr>
              <w:t>3</w:t>
            </w: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47" w:right="339" w:bottom="1440" w:gutter="0" w:footer="0" w:header="0"/>
        </w:sectPr>
      </w:pPr>
    </w:p>
    <w:bookmarkStart w:id="3" w:name="page4"/>
    <w:bookmarkEnd w:id="3"/>
    <w:p>
      <w:pPr>
        <w:ind w:left="9100"/>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154305</wp:posOffset>
            </wp:positionV>
            <wp:extent cx="7142480" cy="520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2480" cy="5208270"/>
                    </a:xfrm>
                    <a:prstGeom prst="rect">
                      <a:avLst/>
                    </a:prstGeom>
                    <a:noFill/>
                  </pic:spPr>
                </pic:pic>
              </a:graphicData>
            </a:graphic>
          </wp:anchor>
        </w:drawing>
      </w:r>
    </w:p>
    <w:p>
      <w:pPr>
        <w:sectPr>
          <w:pgSz w:w="11900" w:h="16838" w:orient="portrait"/>
          <w:cols w:equalWidth="0" w:num="1">
            <w:col w:w="10120"/>
          </w:cols>
          <w:pgMar w:left="1440" w:top="114" w:right="33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548640</wp:posOffset>
            </wp:positionV>
            <wp:extent cx="7142480" cy="52082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2480" cy="5208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548640</wp:posOffset>
            </wp:positionV>
            <wp:extent cx="7142480" cy="52082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2480" cy="5208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548640</wp:posOffset>
            </wp:positionV>
            <wp:extent cx="7142480" cy="52082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2480" cy="5208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548640</wp:posOffset>
            </wp:positionV>
            <wp:extent cx="7142480" cy="52082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2480" cy="5208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548640</wp:posOffset>
            </wp:positionV>
            <wp:extent cx="7142480" cy="52082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2480" cy="5208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548640</wp:posOffset>
            </wp:positionV>
            <wp:extent cx="7142480" cy="52082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2480" cy="5208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548640</wp:posOffset>
            </wp:positionV>
            <wp:extent cx="7142480" cy="52082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2480" cy="5208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548640</wp:posOffset>
            </wp:positionV>
            <wp:extent cx="7142480" cy="52082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2480" cy="5208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548640</wp:posOffset>
            </wp:positionV>
            <wp:extent cx="7142480" cy="520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2480" cy="5208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548640</wp:posOffset>
            </wp:positionV>
            <wp:extent cx="7142480" cy="520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2480" cy="5208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548640</wp:posOffset>
            </wp:positionV>
            <wp:extent cx="7142480" cy="520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2480" cy="5208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548640</wp:posOffset>
            </wp:positionV>
            <wp:extent cx="7142480" cy="520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2480" cy="5208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548640</wp:posOffset>
            </wp:positionV>
            <wp:extent cx="7142480" cy="52082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2480" cy="5208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548640</wp:posOffset>
            </wp:positionV>
            <wp:extent cx="7142480" cy="52082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2480" cy="5208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548640</wp:posOffset>
            </wp:positionV>
            <wp:extent cx="7142480" cy="520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2480" cy="5208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548640</wp:posOffset>
            </wp:positionV>
            <wp:extent cx="7142480" cy="520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2480" cy="5208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548640</wp:posOffset>
            </wp:positionV>
            <wp:extent cx="7142480" cy="520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2480" cy="5208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548640</wp:posOffset>
            </wp:positionV>
            <wp:extent cx="7142480" cy="52006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2480" cy="52006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548640</wp:posOffset>
            </wp:positionV>
            <wp:extent cx="7142480" cy="52082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2480" cy="5208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5749290</wp:posOffset>
            </wp:positionV>
            <wp:extent cx="714248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2021-01-12T15:32:49Z</dcterms:created>
  <dcterms:modified xsi:type="dcterms:W3CDTF">2021-01-12T15:32:49Z</dcterms:modified>
</cp:coreProperties>
</file>