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_____________________________________________________</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30, 2026</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ABBVIE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189" w:right="339" w:bottom="1440" w:gutter="0" w:footer="0" w:header="0"/>
        </w:sectPr>
      </w:pP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ind w:left="680"/>
        <w:spacing w:after="0"/>
        <w:rPr>
          <w:sz w:val="20"/>
          <w:szCs w:val="20"/>
          <w:color w:val="auto"/>
        </w:rPr>
      </w:pPr>
      <w:r>
        <w:rPr>
          <w:rFonts w:ascii="Arial" w:cs="Arial" w:eastAsia="Arial" w:hAnsi="Arial"/>
          <w:sz w:val="17"/>
          <w:szCs w:val="17"/>
          <w:color w:val="auto"/>
        </w:rPr>
        <w:t>(State or other Jurisdiction</w:t>
      </w:r>
    </w:p>
    <w:p>
      <w:pPr>
        <w:spacing w:after="0" w:line="26"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001-35565</w:t>
      </w:r>
    </w:p>
    <w:p>
      <w:pPr>
        <w:spacing w:after="0" w:line="40"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32-0375147</w:t>
      </w:r>
    </w:p>
    <w:p>
      <w:pPr>
        <w:spacing w:after="0" w:line="40"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(IRS Employer</w:t>
      </w:r>
    </w:p>
    <w:p>
      <w:pPr>
        <w:spacing w:after="0" w:line="15" w:lineRule="exact"/>
        <w:rPr>
          <w:sz w:val="24"/>
          <w:szCs w:val="24"/>
          <w:color w:val="auto"/>
        </w:rPr>
      </w:pPr>
    </w:p>
    <w:p>
      <w:pPr>
        <w:jc w:val="center"/>
        <w:ind w:right="1060"/>
        <w:spacing w:after="0"/>
        <w:rPr>
          <w:sz w:val="20"/>
          <w:szCs w:val="20"/>
          <w:color w:val="auto"/>
        </w:rPr>
      </w:pPr>
      <w:r>
        <w:rPr>
          <w:rFonts w:ascii="Arial" w:cs="Arial" w:eastAsia="Arial" w:hAnsi="Arial"/>
          <w:sz w:val="17"/>
          <w:szCs w:val="17"/>
          <w:color w:val="auto"/>
        </w:rPr>
        <w:t>Identification No.)</w:t>
      </w:r>
    </w:p>
    <w:p>
      <w:pPr>
        <w:spacing w:after="0" w:line="92" w:lineRule="exact"/>
        <w:rPr>
          <w:sz w:val="24"/>
          <w:szCs w:val="24"/>
          <w:color w:val="auto"/>
        </w:rPr>
      </w:pPr>
    </w:p>
    <w:p>
      <w:pPr>
        <w:sectPr>
          <w:pgSz w:w="11900" w:h="16838" w:orient="portrait"/>
          <w:cols w:equalWidth="0" w:num="3">
            <w:col w:w="3800" w:space="720"/>
            <w:col w:w="3540" w:space="720"/>
            <w:col w:w="2460"/>
          </w:cols>
          <w:pgMar w:left="320" w:top="1189" w:right="339" w:bottom="1440" w:gutter="0" w:footer="0" w:header="0"/>
          <w:type w:val="continuous"/>
        </w:sectPr>
      </w:pPr>
    </w:p>
    <w:p>
      <w:pPr>
        <w:jc w:val="center"/>
        <w:ind w:right="-59"/>
        <w:spacing w:after="0"/>
        <w:rPr>
          <w:sz w:val="20"/>
          <w:szCs w:val="20"/>
          <w:color w:val="auto"/>
        </w:rPr>
      </w:pPr>
      <w:r>
        <w:rPr>
          <w:rFonts w:ascii="Arial" w:cs="Arial" w:eastAsia="Arial" w:hAnsi="Arial"/>
          <w:sz w:val="17"/>
          <w:szCs w:val="17"/>
          <w:color w:val="auto"/>
        </w:rPr>
        <w:t>_____________________________________________________</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 North Waukegan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North Chicago, Illinois 60064-6400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offices)(Zip Code)</w:t>
      </w:r>
    </w:p>
    <w:p>
      <w:pPr>
        <w:sectPr>
          <w:pgSz w:w="11900" w:h="16838" w:orient="portrait"/>
          <w:cols w:equalWidth="0" w:num="1">
            <w:col w:w="11240"/>
          </w:cols>
          <w:pgMar w:left="320" w:top="1189" w:right="339" w:bottom="1440" w:gutter="0" w:footer="0" w:header="0"/>
          <w:type w:val="continuous"/>
        </w:sectPr>
      </w:pPr>
    </w:p>
    <w:p>
      <w:pPr>
        <w:spacing w:after="0" w:line="126" w:lineRule="exact"/>
        <w:rPr>
          <w:sz w:val="24"/>
          <w:szCs w:val="24"/>
          <w:color w:val="auto"/>
        </w:rPr>
      </w:pPr>
    </w:p>
    <w:p>
      <w:pPr>
        <w:ind w:left="2880"/>
        <w:spacing w:after="0"/>
        <w:rPr>
          <w:sz w:val="20"/>
          <w:szCs w:val="20"/>
          <w:color w:val="auto"/>
        </w:rPr>
      </w:pPr>
      <w:r>
        <w:rPr>
          <w:rFonts w:ascii="Arial" w:cs="Arial" w:eastAsia="Arial" w:hAnsi="Arial"/>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(847) 932-7900</w:t>
      </w:r>
    </w:p>
    <w:p>
      <w:pPr>
        <w:spacing w:after="0" w:line="142" w:lineRule="exact"/>
        <w:rPr>
          <w:sz w:val="24"/>
          <w:szCs w:val="24"/>
          <w:color w:val="auto"/>
        </w:rPr>
      </w:pPr>
    </w:p>
    <w:p>
      <w:pPr>
        <w:sectPr>
          <w:pgSz w:w="11900" w:h="16838" w:orient="portrait"/>
          <w:cols w:equalWidth="0" w:num="2">
            <w:col w:w="7040" w:space="100"/>
            <w:col w:w="4100"/>
          </w:cols>
          <w:pgMar w:left="320" w:top="1189" w:right="339" w:bottom="1440" w:gutter="0" w:footer="0" w:header="0"/>
          <w:type w:val="continuous"/>
        </w:sect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2"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340" w:right="1820" w:hanging="3332"/>
        <w:spacing w:after="0" w:line="394" w:lineRule="auto"/>
        <w:tabs>
          <w:tab w:leader="none" w:pos="5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60" w:type="dxa"/>
        <w:tblCellMar>
          <w:top w:w="0" w:type="dxa"/>
          <w:left w:w="0" w:type="dxa"/>
          <w:bottom w:w="0" w:type="dxa"/>
          <w:right w:w="0" w:type="dxa"/>
        </w:tblCellMar>
      </w:tblPr>
      <w:tr>
        <w:trPr>
          <w:trHeight w:val="217"/>
        </w:trPr>
        <w:tc>
          <w:tcPr>
            <w:tcW w:w="36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Title of each class</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Trading Symbol(s)</w:t>
            </w:r>
          </w:p>
        </w:tc>
        <w:tc>
          <w:tcPr>
            <w:tcW w:w="376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Common Stock, $0.01 Par Value</w:t>
            </w:r>
          </w:p>
        </w:tc>
        <w:tc>
          <w:tcPr>
            <w:tcW w:w="240" w:type="dxa"/>
            <w:vAlign w:val="bottom"/>
          </w:tcPr>
          <w:p>
            <w:pPr>
              <w:spacing w:after="0"/>
              <w:rPr>
                <w:sz w:val="18"/>
                <w:szCs w:val="18"/>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ABBV</w:t>
            </w:r>
          </w:p>
        </w:tc>
        <w:tc>
          <w:tcPr>
            <w:tcW w:w="260" w:type="dxa"/>
            <w:vAlign w:val="bottom"/>
          </w:tcPr>
          <w:p>
            <w:pPr>
              <w:spacing w:after="0"/>
              <w:rPr>
                <w:sz w:val="18"/>
                <w:szCs w:val="18"/>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r>
        <w:trPr>
          <w:trHeight w:val="215"/>
        </w:trPr>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w w:val="98"/>
              </w:rPr>
              <w:t>NYSE Texas</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0.750% Senior Notes due 2027</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ABBV27</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2.125% Senior Notes due 2028</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ABBV28</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2.625% Senior Notes due 2028</w:t>
            </w:r>
          </w:p>
        </w:tc>
        <w:tc>
          <w:tcPr>
            <w:tcW w:w="3700" w:type="dxa"/>
            <w:vAlign w:val="bottom"/>
            <w:gridSpan w:val="2"/>
          </w:tcPr>
          <w:p>
            <w:pPr>
              <w:jc w:val="center"/>
              <w:ind w:right="260"/>
              <w:spacing w:after="0"/>
              <w:rPr>
                <w:sz w:val="20"/>
                <w:szCs w:val="20"/>
                <w:color w:val="auto"/>
              </w:rPr>
            </w:pPr>
            <w:r>
              <w:rPr>
                <w:rFonts w:ascii="Arial" w:cs="Arial" w:eastAsia="Arial" w:hAnsi="Arial"/>
                <w:sz w:val="16"/>
                <w:szCs w:val="16"/>
                <w:color w:val="auto"/>
              </w:rPr>
              <w:t>ABBV28B</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2.125% Senior Notes due 2029</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ABBV29</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1.250% Senior Notes due 2031</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ABBV31</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59"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5" w:lineRule="exact"/>
        <w:rPr>
          <w:sz w:val="20"/>
          <w:szCs w:val="20"/>
          <w:color w:val="auto"/>
        </w:rPr>
      </w:pPr>
    </w:p>
    <w:p>
      <w:pPr>
        <w:ind w:right="40"/>
        <w:spacing w:after="0" w:line="286" w:lineRule="auto"/>
        <w:rPr>
          <w:sz w:val="20"/>
          <w:szCs w:val="20"/>
          <w:color w:val="auto"/>
        </w:rPr>
      </w:pPr>
      <w:r>
        <w:rPr>
          <w:rFonts w:ascii="Arial" w:cs="Arial" w:eastAsia="Arial" w:hAnsi="Arial"/>
          <w:sz w:val="20"/>
          <w:szCs w:val="20"/>
          <w:color w:val="auto"/>
        </w:rPr>
        <w:t>On October 30, 2026, AbbVie Inc. issued a press release announcing financial results for the third quarter ended September 30, 2026. A copy of the press release is furnished as Exhibit 99.1 to this report and incorporated herein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920" w:type="dxa"/>
            <w:vAlign w:val="bottom"/>
            <w:gridSpan w:val="2"/>
          </w:tcPr>
          <w:p>
            <w:pPr>
              <w:spacing w:after="0"/>
              <w:rPr>
                <w:sz w:val="20"/>
                <w:szCs w:val="20"/>
                <w:color w:val="auto"/>
              </w:rPr>
            </w:pPr>
            <w:r>
              <w:rPr>
                <w:rFonts w:ascii="Arial" w:cs="Arial" w:eastAsia="Arial" w:hAnsi="Arial"/>
                <w:sz w:val="20"/>
                <w:szCs w:val="20"/>
                <w:color w:val="auto"/>
              </w:rPr>
              <w:t>(d) Exhibits</w:t>
            </w:r>
          </w:p>
        </w:tc>
        <w:tc>
          <w:tcPr>
            <w:tcW w:w="92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68"/>
        </w:trPr>
        <w:tc>
          <w:tcPr>
            <w:tcW w:w="1920" w:type="dxa"/>
            <w:vAlign w:val="bottom"/>
            <w:gridSpan w:val="2"/>
          </w:tcPr>
          <w:p>
            <w:pPr>
              <w:ind w:left="20"/>
              <w:spacing w:after="0"/>
              <w:rPr>
                <w:sz w:val="20"/>
                <w:szCs w:val="20"/>
                <w:color w:val="auto"/>
              </w:rPr>
            </w:pPr>
            <w:r>
              <w:rPr>
                <w:rFonts w:ascii="Arial" w:cs="Arial" w:eastAsia="Arial" w:hAnsi="Arial"/>
                <w:sz w:val="20"/>
                <w:szCs w:val="20"/>
                <w:b w:val="1"/>
                <w:bCs w:val="1"/>
                <w:color w:val="auto"/>
              </w:rPr>
              <w:t>Exhibit No.</w:t>
            </w:r>
          </w:p>
        </w:tc>
        <w:tc>
          <w:tcPr>
            <w:tcW w:w="9320" w:type="dxa"/>
            <w:vAlign w:val="bottom"/>
            <w:gridSpan w:val="2"/>
          </w:tcPr>
          <w:p>
            <w:pPr>
              <w:ind w:left="20"/>
              <w:spacing w:after="0"/>
              <w:rPr>
                <w:sz w:val="20"/>
                <w:szCs w:val="20"/>
                <w:color w:val="auto"/>
              </w:rPr>
            </w:pPr>
            <w:r>
              <w:rPr>
                <w:rFonts w:ascii="Arial" w:cs="Arial" w:eastAsia="Arial" w:hAnsi="Arial"/>
                <w:sz w:val="20"/>
                <w:szCs w:val="20"/>
                <w:b w:val="1"/>
                <w:bCs w:val="1"/>
                <w:color w:val="auto"/>
              </w:rPr>
              <w:t>Exhibit</w:t>
            </w:r>
          </w:p>
        </w:tc>
      </w:tr>
      <w:tr>
        <w:trPr>
          <w:trHeight w:val="242"/>
        </w:trPr>
        <w:tc>
          <w:tcPr>
            <w:tcW w:w="140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99.1</w:t>
            </w:r>
          </w:p>
        </w:tc>
        <w:tc>
          <w:tcPr>
            <w:tcW w:w="520" w:type="dxa"/>
            <w:vAlign w:val="bottom"/>
          </w:tcPr>
          <w:p>
            <w:pPr>
              <w:spacing w:after="0"/>
              <w:rPr>
                <w:sz w:val="21"/>
                <w:szCs w:val="21"/>
                <w:color w:val="auto"/>
              </w:rPr>
            </w:pPr>
          </w:p>
        </w:tc>
        <w:tc>
          <w:tcPr>
            <w:tcW w:w="92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Press Release dated October 30, 2026 (furnished pursuant to Item 2.02).</w:t>
            </w:r>
          </w:p>
        </w:tc>
        <w:tc>
          <w:tcPr>
            <w:tcW w:w="40" w:type="dxa"/>
            <w:vAlign w:val="bottom"/>
          </w:tcPr>
          <w:p>
            <w:pPr>
              <w:spacing w:after="0"/>
              <w:rPr>
                <w:sz w:val="21"/>
                <w:szCs w:val="21"/>
                <w:color w:val="auto"/>
              </w:rPr>
            </w:pPr>
          </w:p>
        </w:tc>
      </w:tr>
      <w:tr>
        <w:trPr>
          <w:trHeight w:val="261"/>
        </w:trPr>
        <w:tc>
          <w:tcPr>
            <w:tcW w:w="1400" w:type="dxa"/>
            <w:vAlign w:val="bottom"/>
          </w:tcPr>
          <w:p>
            <w:pPr>
              <w:ind w:left="20"/>
              <w:spacing w:after="0"/>
              <w:rPr>
                <w:sz w:val="20"/>
                <w:szCs w:val="20"/>
                <w:color w:val="auto"/>
              </w:rPr>
            </w:pPr>
            <w:r>
              <w:rPr>
                <w:rFonts w:ascii="Arial" w:cs="Arial" w:eastAsia="Arial" w:hAnsi="Arial"/>
                <w:sz w:val="20"/>
                <w:szCs w:val="20"/>
                <w:color w:val="auto"/>
              </w:rPr>
              <w:t>104</w:t>
            </w:r>
          </w:p>
        </w:tc>
        <w:tc>
          <w:tcPr>
            <w:tcW w:w="520" w:type="dxa"/>
            <w:vAlign w:val="bottom"/>
          </w:tcPr>
          <w:p>
            <w:pPr>
              <w:spacing w:after="0"/>
              <w:rPr>
                <w:sz w:val="22"/>
                <w:szCs w:val="22"/>
                <w:color w:val="auto"/>
              </w:rPr>
            </w:pPr>
          </w:p>
        </w:tc>
        <w:tc>
          <w:tcPr>
            <w:tcW w:w="9320" w:type="dxa"/>
            <w:vAlign w:val="bottom"/>
            <w:gridSpan w:val="2"/>
          </w:tcPr>
          <w:p>
            <w:pPr>
              <w:ind w:left="20"/>
              <w:spacing w:after="0"/>
              <w:rPr>
                <w:sz w:val="20"/>
                <w:szCs w:val="20"/>
                <w:color w:val="auto"/>
              </w:rPr>
            </w:pPr>
            <w:r>
              <w:rPr>
                <w:rFonts w:ascii="Arial" w:cs="Arial" w:eastAsia="Arial" w:hAnsi="Arial"/>
                <w:sz w:val="20"/>
                <w:szCs w:val="20"/>
                <w:color w:val="auto"/>
                <w:w w:val="99"/>
              </w:rPr>
              <w:t>The cover page from this Current Report on Form 8-K formatted in Inline XBRL (included as Exhibit 101).</w:t>
            </w:r>
          </w:p>
        </w:tc>
      </w:tr>
      <w:tr>
        <w:trPr>
          <w:trHeight w:val="1225"/>
        </w:trPr>
        <w:tc>
          <w:tcPr>
            <w:tcW w:w="14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w:t>
      </w:r>
    </w:p>
    <w:p>
      <w:pPr>
        <w:spacing w:after="0" w:line="245" w:lineRule="exact"/>
        <w:rPr>
          <w:sz w:val="20"/>
          <w:szCs w:val="20"/>
          <w:color w:val="auto"/>
        </w:rPr>
      </w:pPr>
    </w:p>
    <w:p>
      <w:pPr>
        <w:ind w:right="120"/>
        <w:spacing w:after="0" w:line="28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35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20"/>
                <w:szCs w:val="20"/>
                <w:b w:val="1"/>
                <w:bCs w:val="1"/>
                <w:color w:val="auto"/>
              </w:rPr>
              <w:t>ABBVIE INC.</w:t>
            </w:r>
          </w:p>
        </w:tc>
      </w:tr>
      <w:tr>
        <w:trPr>
          <w:trHeight w:val="302"/>
        </w:trPr>
        <w:tc>
          <w:tcPr>
            <w:tcW w:w="3580" w:type="dxa"/>
            <w:vAlign w:val="bottom"/>
          </w:tcPr>
          <w:p>
            <w:pPr>
              <w:spacing w:after="0"/>
              <w:rPr>
                <w:sz w:val="20"/>
                <w:szCs w:val="20"/>
                <w:color w:val="auto"/>
              </w:rPr>
            </w:pPr>
            <w:r>
              <w:rPr>
                <w:rFonts w:ascii="Arial" w:cs="Arial" w:eastAsia="Arial" w:hAnsi="Arial"/>
                <w:sz w:val="20"/>
                <w:szCs w:val="20"/>
                <w:color w:val="auto"/>
              </w:rPr>
              <w:t>Date:  October 30, 2026</w:t>
            </w:r>
          </w:p>
        </w:tc>
        <w:tc>
          <w:tcPr>
            <w:tcW w:w="7640" w:type="dxa"/>
            <w:vAlign w:val="bottom"/>
            <w:gridSpan w:val="2"/>
          </w:tcPr>
          <w:p>
            <w:pPr>
              <w:ind w:left="1400"/>
              <w:spacing w:after="0"/>
              <w:rPr>
                <w:sz w:val="20"/>
                <w:szCs w:val="20"/>
                <w:color w:val="auto"/>
              </w:rPr>
            </w:pPr>
            <w:r>
              <w:rPr>
                <w:rFonts w:ascii="Arial" w:cs="Arial" w:eastAsia="Arial" w:hAnsi="Arial"/>
                <w:sz w:val="20"/>
                <w:szCs w:val="20"/>
                <w:color w:val="auto"/>
              </w:rPr>
              <w:t>By:   /s/ Scott T. Reents</w:t>
            </w:r>
          </w:p>
        </w:tc>
      </w:tr>
      <w:tr>
        <w:trPr>
          <w:trHeight w:val="244"/>
        </w:trPr>
        <w:tc>
          <w:tcPr>
            <w:tcW w:w="35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6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Scott T. Reents</w:t>
            </w:r>
          </w:p>
        </w:tc>
      </w:tr>
      <w:tr>
        <w:trPr>
          <w:trHeight w:val="257"/>
        </w:trPr>
        <w:tc>
          <w:tcPr>
            <w:tcW w:w="35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680" w:type="dxa"/>
            <w:vAlign w:val="bottom"/>
          </w:tcPr>
          <w:p>
            <w:pPr>
              <w:ind w:left="20"/>
              <w:spacing w:after="0"/>
              <w:rPr>
                <w:sz w:val="20"/>
                <w:szCs w:val="20"/>
                <w:color w:val="auto"/>
              </w:rPr>
            </w:pPr>
            <w:r>
              <w:rPr>
                <w:rFonts w:ascii="Arial" w:cs="Arial" w:eastAsia="Arial" w:hAnsi="Arial"/>
                <w:sz w:val="20"/>
                <w:szCs w:val="20"/>
                <w:color w:val="auto"/>
              </w:rPr>
              <w:t>Executive Vice President,</w:t>
            </w:r>
          </w:p>
        </w:tc>
      </w:tr>
      <w:tr>
        <w:trPr>
          <w:trHeight w:val="261"/>
        </w:trPr>
        <w:tc>
          <w:tcPr>
            <w:tcW w:w="35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68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240"/>
          </w:cols>
          <w:pgMar w:left="320" w:top="885"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285875"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14630"/>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29"/>
          <w:szCs w:val="29"/>
          <w:b w:val="1"/>
          <w:bCs w:val="1"/>
          <w:color w:val="071D49"/>
        </w:rPr>
        <w:t>PRESS RELEASE</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AbbVie Reports Third-Quarter 2026 Financial Results</w:t>
      </w:r>
    </w:p>
    <w:p>
      <w:pPr>
        <w:spacing w:after="0" w:line="269" w:lineRule="exact"/>
        <w:rPr>
          <w:sz w:val="20"/>
          <w:szCs w:val="20"/>
          <w:color w:val="auto"/>
        </w:rPr>
      </w:pPr>
    </w:p>
    <w:p>
      <w:pPr>
        <w:ind w:left="660" w:right="80" w:hanging="328"/>
        <w:spacing w:after="0" w:line="262"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Reports Third-Quarter Diluted EPS of $2.37 on a GAAP Basis, an Increase of Over 100.0 Percent; Adjusted Diluted EPS of $3.82, an Increase of Over 100.0 Percent; These Results Include an Unfavorable Impact of $0.11 Per Share Related to Acquired IPR&amp;D and Milestones Expense</w:t>
      </w:r>
    </w:p>
    <w:p>
      <w:pPr>
        <w:spacing w:after="0" w:line="191" w:lineRule="exact"/>
        <w:rPr>
          <w:rFonts w:ascii="Arial" w:cs="Arial" w:eastAsia="Arial" w:hAnsi="Arial"/>
          <w:sz w:val="20"/>
          <w:szCs w:val="20"/>
          <w:i w:val="1"/>
          <w:iCs w:val="1"/>
          <w:color w:val="auto"/>
        </w:rPr>
      </w:pPr>
    </w:p>
    <w:p>
      <w:pPr>
        <w:ind w:left="660" w:right="720" w:hanging="328"/>
        <w:spacing w:after="0" w:line="286"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Delivers Third-Quarter Net Revenues of $17.404 Billion, an Increase of 10.3 Percent on a Reported Basis or 10.5 Percent on an Operational Basis</w:t>
      </w:r>
    </w:p>
    <w:p>
      <w:pPr>
        <w:spacing w:after="0" w:line="180" w:lineRule="exact"/>
        <w:rPr>
          <w:rFonts w:ascii="Arial" w:cs="Arial" w:eastAsia="Arial" w:hAnsi="Arial"/>
          <w:sz w:val="20"/>
          <w:szCs w:val="20"/>
          <w:i w:val="1"/>
          <w:iCs w:val="1"/>
          <w:color w:val="auto"/>
        </w:rPr>
      </w:pPr>
    </w:p>
    <w:p>
      <w:pPr>
        <w:ind w:left="660" w:right="60" w:hanging="328"/>
        <w:spacing w:after="0" w:line="262"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Third-Quarter Global Net Revenues from the Immunology Portfolio Were $9.165 Billion, an Increase of 16.3 Percent on a Reported Basis, or 16.6 Percent on an Operational Basis; Global Skyrizi Net Revenues Were $5.776 Billion; Global Rinvoq Net Revenues Were $2.706 Billion; Global Humira Net Revenues Were $683 Million</w:t>
      </w:r>
    </w:p>
    <w:p>
      <w:pPr>
        <w:spacing w:after="0" w:line="191" w:lineRule="exact"/>
        <w:rPr>
          <w:rFonts w:ascii="Arial" w:cs="Arial" w:eastAsia="Arial" w:hAnsi="Arial"/>
          <w:sz w:val="20"/>
          <w:szCs w:val="20"/>
          <w:i w:val="1"/>
          <w:iCs w:val="1"/>
          <w:color w:val="auto"/>
        </w:rPr>
      </w:pPr>
    </w:p>
    <w:p>
      <w:pPr>
        <w:ind w:left="660" w:right="100" w:hanging="328"/>
        <w:spacing w:after="0" w:line="259"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Third-Quarter Global Net Revenues from the Neuroscience Portfolio Were $3.389 Billion, an Increase of 19.4 Percent on a Reported Basis, or 19.5 Percent on an Operational Basis; Global Vraylar Net Revenues Were $1.068 Billion; Global Botox Therapeutic Net Revenues Were $1.080 Billion; Combined Global Ubrelvy and Qulipta Net Revenues Were $847 Million; Global Vyalev Net Revenues Were $286 Million</w:t>
      </w:r>
    </w:p>
    <w:p>
      <w:pPr>
        <w:spacing w:after="0" w:line="208" w:lineRule="exact"/>
        <w:rPr>
          <w:rFonts w:ascii="Arial" w:cs="Arial" w:eastAsia="Arial" w:hAnsi="Arial"/>
          <w:sz w:val="20"/>
          <w:szCs w:val="20"/>
          <w:i w:val="1"/>
          <w:iCs w:val="1"/>
          <w:color w:val="auto"/>
        </w:rPr>
      </w:pPr>
    </w:p>
    <w:p>
      <w:pPr>
        <w:ind w:left="660" w:right="400" w:hanging="328"/>
        <w:spacing w:after="0" w:line="262"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Third-Quarter Global Net Revenues from the Oncology Portfolio Were $1.696 Billion, an Increase of 0.8 Percent on a Reported Basis, or 0.9 Percent on an Operational Basis; Global Venclexta Net Revenues Were $803 Million; Global Imbruvica Net Revenues Were $522 Million; Global Elahere Net Revenues Were $224 Million</w:t>
      </w:r>
    </w:p>
    <w:p>
      <w:pPr>
        <w:spacing w:after="0" w:line="205" w:lineRule="exact"/>
        <w:rPr>
          <w:rFonts w:ascii="Arial" w:cs="Arial" w:eastAsia="Arial" w:hAnsi="Arial"/>
          <w:sz w:val="20"/>
          <w:szCs w:val="20"/>
          <w:i w:val="1"/>
          <w:iCs w:val="1"/>
          <w:color w:val="auto"/>
        </w:rPr>
      </w:pPr>
    </w:p>
    <w:p>
      <w:pPr>
        <w:ind w:left="660" w:right="360" w:hanging="328"/>
        <w:spacing w:after="0" w:line="262"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Third-Quarter Global Net Revenues from the Aesthetics Portfolio Were $1.176 Billion, a Decrease of 1.4 Percent on a Reported Basis, or 1.8 Percent on an Operational Basis; Global Botox Cosmetic Net Revenues Were $669 Million; Global Juvederm Net Revenues Were $222 Million</w:t>
      </w:r>
    </w:p>
    <w:p>
      <w:pPr>
        <w:spacing w:after="0" w:line="191" w:lineRule="exact"/>
        <w:rPr>
          <w:rFonts w:ascii="Arial" w:cs="Arial" w:eastAsia="Arial" w:hAnsi="Arial"/>
          <w:sz w:val="20"/>
          <w:szCs w:val="20"/>
          <w:i w:val="1"/>
          <w:iCs w:val="1"/>
          <w:color w:val="auto"/>
        </w:rPr>
      </w:pPr>
    </w:p>
    <w:p>
      <w:pPr>
        <w:ind w:left="620" w:hanging="288"/>
        <w:spacing w:after="0"/>
        <w:tabs>
          <w:tab w:leader="none" w:pos="62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Successfully Completed Acquisition of Apogee Therapeutics, Deepening AbbVie's Robust Immunology Pipeline</w:t>
      </w:r>
    </w:p>
    <w:p>
      <w:pPr>
        <w:spacing w:after="0" w:line="256" w:lineRule="exact"/>
        <w:rPr>
          <w:rFonts w:ascii="Arial" w:cs="Arial" w:eastAsia="Arial" w:hAnsi="Arial"/>
          <w:sz w:val="20"/>
          <w:szCs w:val="20"/>
          <w:i w:val="1"/>
          <w:iCs w:val="1"/>
          <w:color w:val="auto"/>
        </w:rPr>
      </w:pPr>
    </w:p>
    <w:p>
      <w:pPr>
        <w:ind w:left="660" w:right="480" w:hanging="328"/>
        <w:spacing w:after="0" w:line="262"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Raises 2026 Adjusted Diluted EPS Guidance Range from $13.76 - $13.96 to $13.95 - $13.99, which Includes an Unfavorable Impact of $0.69 Per Share Related to Acquired IPR&amp;D and Milestones Expense Incurred Year-To-Date Through the Third Quarter 2026</w:t>
      </w:r>
    </w:p>
    <w:p>
      <w:pPr>
        <w:spacing w:after="0" w:line="205" w:lineRule="exact"/>
        <w:rPr>
          <w:rFonts w:ascii="Arial" w:cs="Arial" w:eastAsia="Arial" w:hAnsi="Arial"/>
          <w:sz w:val="20"/>
          <w:szCs w:val="20"/>
          <w:i w:val="1"/>
          <w:iCs w:val="1"/>
          <w:color w:val="auto"/>
        </w:rPr>
      </w:pPr>
    </w:p>
    <w:p>
      <w:pPr>
        <w:ind w:left="620" w:hanging="288"/>
        <w:spacing w:after="0"/>
        <w:tabs>
          <w:tab w:leader="none" w:pos="62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Announces 2027 Dividend Increase of 5.2 Percent, Beginning with Dividend Payable in February 2027</w:t>
      </w:r>
    </w:p>
    <w:p>
      <w:pPr>
        <w:spacing w:after="0" w:line="241" w:lineRule="exact"/>
        <w:rPr>
          <w:sz w:val="20"/>
          <w:szCs w:val="20"/>
          <w:color w:val="auto"/>
        </w:rPr>
      </w:pPr>
    </w:p>
    <w:p>
      <w:pPr>
        <w:ind w:right="620"/>
        <w:spacing w:after="0" w:line="274" w:lineRule="auto"/>
        <w:rPr>
          <w:sz w:val="20"/>
          <w:szCs w:val="20"/>
          <w:color w:val="auto"/>
        </w:rPr>
      </w:pPr>
      <w:r>
        <w:rPr>
          <w:rFonts w:ascii="Arial" w:cs="Arial" w:eastAsia="Arial" w:hAnsi="Arial"/>
          <w:sz w:val="20"/>
          <w:szCs w:val="20"/>
          <w:b w:val="1"/>
          <w:bCs w:val="1"/>
          <w:color w:val="auto"/>
        </w:rPr>
        <w:t xml:space="preserve">NORTH CHICAGO, Ill., </w:t>
      </w:r>
      <w:r>
        <w:rPr>
          <w:rFonts w:ascii="Arial" w:cs="Arial" w:eastAsia="Arial" w:hAnsi="Arial"/>
          <w:sz w:val="20"/>
          <w:szCs w:val="20"/>
          <w:color w:val="auto"/>
        </w:rPr>
        <w:t>October 30, 2026 – AbbVie (NYSE:ABBV) announced financial results for the third quarter ended</w:t>
      </w:r>
      <w:r>
        <w:rPr>
          <w:rFonts w:ascii="Arial" w:cs="Arial" w:eastAsia="Arial" w:hAnsi="Arial"/>
          <w:sz w:val="20"/>
          <w:szCs w:val="20"/>
          <w:b w:val="1"/>
          <w:bCs w:val="1"/>
          <w:color w:val="auto"/>
        </w:rPr>
        <w:t xml:space="preserve"> </w:t>
      </w:r>
      <w:r>
        <w:rPr>
          <w:rFonts w:ascii="Arial" w:cs="Arial" w:eastAsia="Arial" w:hAnsi="Arial"/>
          <w:sz w:val="20"/>
          <w:szCs w:val="20"/>
          <w:color w:val="auto"/>
        </w:rPr>
        <w:t>September 30, 2026.</w:t>
      </w:r>
    </w:p>
    <w:p>
      <w:pPr>
        <w:spacing w:after="0" w:line="179" w:lineRule="exact"/>
        <w:rPr>
          <w:sz w:val="20"/>
          <w:szCs w:val="20"/>
          <w:color w:val="auto"/>
        </w:rPr>
      </w:pPr>
    </w:p>
    <w:p>
      <w:pPr>
        <w:ind w:right="120"/>
        <w:spacing w:after="0" w:line="239" w:lineRule="auto"/>
        <w:rPr>
          <w:sz w:val="20"/>
          <w:szCs w:val="20"/>
          <w:color w:val="auto"/>
        </w:rPr>
      </w:pPr>
      <w:r>
        <w:rPr>
          <w:rFonts w:ascii="Arial" w:cs="Arial" w:eastAsia="Arial" w:hAnsi="Arial"/>
          <w:sz w:val="19"/>
          <w:szCs w:val="19"/>
          <w:color w:val="auto"/>
        </w:rPr>
        <w:t>“AbbVie continues to deliver outstanding results, reflecting solid execution across our diverse portfolio,” said Robert A. Michael, chairman and chief executive officer, AbbVie. “We also enhanced our long-term growth potential by securing key regulatory</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approvals, generating differentiated clinical data and completing the acquisition of Apogee Therapeutics. Given our strong outlook and significant momentum, we are once again increasing AbbVie's full-year guidance and raising our quarterly dividend.”</w:t>
      </w:r>
    </w:p>
    <w:p>
      <w:pPr>
        <w:spacing w:after="0" w:line="200" w:lineRule="exact"/>
        <w:rPr>
          <w:sz w:val="20"/>
          <w:szCs w:val="20"/>
          <w:color w:val="auto"/>
        </w:rPr>
      </w:pP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10900" w:type="dxa"/>
            <w:vAlign w:val="bottom"/>
          </w:tcPr>
          <w:p>
            <w:pPr>
              <w:spacing w:after="0"/>
              <w:rPr>
                <w:sz w:val="20"/>
                <w:szCs w:val="20"/>
                <w:color w:val="auto"/>
              </w:rPr>
            </w:pPr>
            <w:r>
              <w:rPr>
                <w:rFonts w:ascii="Arial" w:cs="Arial" w:eastAsia="Arial" w:hAnsi="Arial"/>
                <w:sz w:val="14"/>
                <w:szCs w:val="14"/>
                <w:color w:val="auto"/>
              </w:rPr>
              <w:t>Note: "Operational" comparisons are presented at constant currency rates that reflect comparative local currency net revenues at the prior year's foreign exchange rates.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Third-Quarter Results</w:t>
      </w:r>
    </w:p>
    <w:p>
      <w:pPr>
        <w:spacing w:after="0" w:line="245" w:lineRule="exact"/>
        <w:rPr>
          <w:sz w:val="20"/>
          <w:szCs w:val="20"/>
          <w:color w:val="auto"/>
        </w:rPr>
      </w:pPr>
    </w:p>
    <w:p>
      <w:pPr>
        <w:ind w:left="660" w:right="420" w:hanging="328"/>
        <w:spacing w:after="0" w:line="286"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Worldwide net revenues were $17.404 billion, an increase of 10.3 percent on a reported basis, or 10.5 percent on an operational basis.</w:t>
      </w:r>
    </w:p>
    <w:p>
      <w:pPr>
        <w:spacing w:after="0" w:line="207" w:lineRule="exact"/>
        <w:rPr>
          <w:rFonts w:ascii="Arial" w:cs="Arial" w:eastAsia="Arial" w:hAnsi="Arial"/>
          <w:sz w:val="20"/>
          <w:szCs w:val="20"/>
          <w:color w:val="auto"/>
        </w:rPr>
      </w:pPr>
    </w:p>
    <w:p>
      <w:pPr>
        <w:ind w:left="660" w:right="160" w:hanging="328"/>
        <w:spacing w:after="0" w:line="248"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Global net revenues from the immunology portfolio were $9.165 billion, an increase of 16.3 percent on a reported basis, or 16.6 percent on an operational basis.</w:t>
      </w:r>
    </w:p>
    <w:p>
      <w:pPr>
        <w:spacing w:after="0" w:line="1" w:lineRule="exact"/>
        <w:rPr>
          <w:rFonts w:ascii="Arial" w:cs="Arial" w:eastAsia="Arial" w:hAnsi="Arial"/>
          <w:sz w:val="20"/>
          <w:szCs w:val="20"/>
          <w:color w:val="auto"/>
        </w:rPr>
      </w:pPr>
    </w:p>
    <w:p>
      <w:pPr>
        <w:ind w:left="1300" w:right="100" w:hanging="320"/>
        <w:spacing w:after="0" w:line="246"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Skyrizi net revenues were $5.776 billion, an increase of 22.7 percent on a reported basis, or 22.9 percent on an operational basis.</w:t>
      </w:r>
    </w:p>
    <w:p>
      <w:pPr>
        <w:spacing w:after="0" w:line="1" w:lineRule="exact"/>
        <w:rPr>
          <w:rFonts w:ascii="Arial" w:cs="Arial" w:eastAsia="Arial" w:hAnsi="Arial"/>
          <w:sz w:val="20"/>
          <w:szCs w:val="20"/>
          <w:color w:val="auto"/>
        </w:rPr>
      </w:pPr>
    </w:p>
    <w:p>
      <w:pPr>
        <w:ind w:left="1300" w:right="60" w:hanging="320"/>
        <w:spacing w:after="0" w:line="239"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Rinvoq net revenues were $2.706 billion, an increase of 23.9 percent on a reported basis, or 24.3 percent on an operational basis.</w:t>
      </w:r>
    </w:p>
    <w:p>
      <w:pPr>
        <w:ind w:left="1300" w:right="200" w:hanging="320"/>
        <w:spacing w:after="0" w:line="267"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Humira net revenues were $683 million, a decrease of 31.2 percent on a reported basis, or 30.6 percent on an operational basis.</w:t>
      </w:r>
    </w:p>
    <w:p>
      <w:pPr>
        <w:spacing w:after="0" w:line="226" w:lineRule="exact"/>
        <w:rPr>
          <w:rFonts w:ascii="Arial" w:cs="Arial" w:eastAsia="Arial" w:hAnsi="Arial"/>
          <w:sz w:val="20"/>
          <w:szCs w:val="20"/>
          <w:color w:val="auto"/>
        </w:rPr>
      </w:pPr>
    </w:p>
    <w:p>
      <w:pPr>
        <w:ind w:left="660" w:right="40" w:hanging="328"/>
        <w:spacing w:after="0" w:line="248"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Global net revenues from the neuroscience portfolio were $3.389 billion, an increase of 19.4 percent on a reported basis, or 19.5 percent on an operational basis.</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Vraylar net revenues were $1.068 billion, an increase of 14.3 percent.</w:t>
      </w: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Botox Therapeutic net revenues were $1.080 billion, an increase of 9.8 percent.</w:t>
      </w:r>
    </w:p>
    <w:p>
      <w:pPr>
        <w:spacing w:after="0" w:line="13" w:lineRule="exact"/>
        <w:rPr>
          <w:rFonts w:ascii="Arial" w:cs="Arial" w:eastAsia="Arial" w:hAnsi="Arial"/>
          <w:sz w:val="20"/>
          <w:szCs w:val="20"/>
          <w:color w:val="auto"/>
        </w:rPr>
      </w:pP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Ubrelvy net revenues were $449 million, an increase of 26.9 percent.</w:t>
      </w:r>
    </w:p>
    <w:p>
      <w:pPr>
        <w:ind w:left="1300" w:right="160" w:hanging="320"/>
        <w:spacing w:after="0" w:line="246"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Qulipta net revenues were $398 million, an increase of 38.2 percent on a reported basis, or 38.5 percent on an operational basis.</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Vyalev net revenues were $286 million.</w:t>
      </w:r>
    </w:p>
    <w:p>
      <w:pPr>
        <w:spacing w:after="0" w:line="265"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Global net revenues from the oncology portfolio were $1.696 billion, an increase of 0.8 percent on a reported basis, or</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0.9 percent on an operational basis.</w:t>
      </w: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Global Venclexta net revenues were $803 million, an increase of 10.7 percent.</w:t>
      </w:r>
    </w:p>
    <w:p>
      <w:pPr>
        <w:spacing w:after="0" w:line="13" w:lineRule="exact"/>
        <w:rPr>
          <w:rFonts w:ascii="Arial" w:cs="Arial" w:eastAsia="Arial" w:hAnsi="Arial"/>
          <w:sz w:val="20"/>
          <w:szCs w:val="20"/>
          <w:color w:val="auto"/>
        </w:rPr>
      </w:pP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Global Imbruvica net revenues were $522 million, a decrease of 26.1 percent.</w:t>
      </w:r>
    </w:p>
    <w:p>
      <w:pPr>
        <w:ind w:left="1300" w:right="120" w:hanging="320"/>
        <w:spacing w:after="0" w:line="253" w:lineRule="auto"/>
        <w:tabs>
          <w:tab w:leader="none" w:pos="1303" w:val="left"/>
        </w:tabs>
        <w:numPr>
          <w:ilvl w:val="1"/>
          <w:numId w:val="4"/>
        </w:numPr>
        <w:rPr>
          <w:rFonts w:ascii="Arial" w:cs="Arial" w:eastAsia="Arial" w:hAnsi="Arial"/>
          <w:sz w:val="20"/>
          <w:szCs w:val="20"/>
          <w:color w:val="auto"/>
        </w:rPr>
      </w:pPr>
      <w:r>
        <w:rPr>
          <w:rFonts w:ascii="Arial" w:cs="Arial" w:eastAsia="Arial" w:hAnsi="Arial"/>
          <w:sz w:val="20"/>
          <w:szCs w:val="20"/>
          <w:color w:val="auto"/>
        </w:rPr>
        <w:t>Global Elahere net revenues were $224 million, an increase of 31.0 percent on a reported basis, or 31.2 percent on an operational basis.</w:t>
      </w:r>
    </w:p>
    <w:p>
      <w:pPr>
        <w:spacing w:after="0" w:line="239" w:lineRule="exact"/>
        <w:rPr>
          <w:rFonts w:ascii="Arial" w:cs="Arial" w:eastAsia="Arial" w:hAnsi="Arial"/>
          <w:sz w:val="20"/>
          <w:szCs w:val="20"/>
          <w:color w:val="auto"/>
        </w:rPr>
      </w:pPr>
    </w:p>
    <w:p>
      <w:pPr>
        <w:ind w:left="660" w:right="260" w:hanging="328"/>
        <w:spacing w:after="0" w:line="255"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Global net revenues from the aesthetics portfolio were $1.176 billion, a decrease of 1.4 percent on a reported basis, or 1.8 percent on an operational basis.</w:t>
      </w:r>
    </w:p>
    <w:p>
      <w:pPr>
        <w:spacing w:after="0" w:line="1" w:lineRule="exact"/>
        <w:rPr>
          <w:rFonts w:ascii="Arial" w:cs="Arial" w:eastAsia="Arial" w:hAnsi="Arial"/>
          <w:sz w:val="20"/>
          <w:szCs w:val="20"/>
          <w:color w:val="auto"/>
        </w:rPr>
      </w:pPr>
    </w:p>
    <w:p>
      <w:pPr>
        <w:ind w:left="1300" w:right="340" w:hanging="320"/>
        <w:spacing w:after="0" w:line="239" w:lineRule="auto"/>
        <w:tabs>
          <w:tab w:leader="none" w:pos="1303" w:val="left"/>
        </w:tabs>
        <w:numPr>
          <w:ilvl w:val="1"/>
          <w:numId w:val="4"/>
        </w:numPr>
        <w:rPr>
          <w:rFonts w:ascii="Arial" w:cs="Arial" w:eastAsia="Arial" w:hAnsi="Arial"/>
          <w:sz w:val="20"/>
          <w:szCs w:val="20"/>
          <w:color w:val="auto"/>
        </w:rPr>
      </w:pPr>
      <w:r>
        <w:rPr>
          <w:rFonts w:ascii="Arial" w:cs="Arial" w:eastAsia="Arial" w:hAnsi="Arial"/>
          <w:sz w:val="20"/>
          <w:szCs w:val="20"/>
          <w:color w:val="auto"/>
        </w:rPr>
        <w:t>Global Botox Cosmetic net revenues were $669 million, an increase of 4.9 percent on a reported basis, or 4.1 percent on an operational basis.</w:t>
      </w:r>
    </w:p>
    <w:p>
      <w:pPr>
        <w:ind w:left="1300" w:hanging="320"/>
        <w:spacing w:after="0" w:line="267" w:lineRule="auto"/>
        <w:tabs>
          <w:tab w:leader="none" w:pos="1303" w:val="left"/>
        </w:tabs>
        <w:numPr>
          <w:ilvl w:val="1"/>
          <w:numId w:val="4"/>
        </w:numPr>
        <w:rPr>
          <w:rFonts w:ascii="Arial" w:cs="Arial" w:eastAsia="Arial" w:hAnsi="Arial"/>
          <w:sz w:val="20"/>
          <w:szCs w:val="20"/>
          <w:color w:val="auto"/>
        </w:rPr>
      </w:pPr>
      <w:r>
        <w:rPr>
          <w:rFonts w:ascii="Arial" w:cs="Arial" w:eastAsia="Arial" w:hAnsi="Arial"/>
          <w:sz w:val="20"/>
          <w:szCs w:val="20"/>
          <w:color w:val="auto"/>
        </w:rPr>
        <w:t>Global Juvederm net revenues were $222 million, a decrease of 11.9 percent on a reported basis, or 11.8 percent on an operational basis.</w:t>
      </w:r>
    </w:p>
    <w:p>
      <w:pPr>
        <w:spacing w:after="0" w:line="212" w:lineRule="exact"/>
        <w:rPr>
          <w:rFonts w:ascii="Arial" w:cs="Arial" w:eastAsia="Arial" w:hAnsi="Arial"/>
          <w:sz w:val="20"/>
          <w:szCs w:val="20"/>
          <w:color w:val="auto"/>
        </w:rPr>
      </w:pPr>
    </w:p>
    <w:p>
      <w:pPr>
        <w:ind w:left="660" w:right="60" w:hanging="328"/>
        <w:spacing w:after="0" w:line="286"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a GAAP basis, the gross margin ratio in the third quarter was 75.4 percent. The adjusted gross margin ratio was 85.1 percent.</w:t>
      </w:r>
    </w:p>
    <w:p>
      <w:pPr>
        <w:spacing w:after="0" w:line="207" w:lineRule="exact"/>
        <w:rPr>
          <w:rFonts w:ascii="Arial" w:cs="Arial" w:eastAsia="Arial" w:hAnsi="Arial"/>
          <w:sz w:val="20"/>
          <w:szCs w:val="20"/>
          <w:color w:val="auto"/>
        </w:rPr>
      </w:pPr>
    </w:p>
    <w:p>
      <w:pPr>
        <w:ind w:left="660" w:right="180" w:hanging="328"/>
        <w:spacing w:after="0" w:line="271"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a GAAP basis, selling, general and administrative (SG&amp;A) expense was 23.5 percent of net revenues. The adjusted SG&amp;A expense was 21.2 percent of net revenues.</w:t>
      </w:r>
    </w:p>
    <w:p>
      <w:pPr>
        <w:spacing w:after="0" w:line="223" w:lineRule="exact"/>
        <w:rPr>
          <w:rFonts w:ascii="Arial" w:cs="Arial" w:eastAsia="Arial" w:hAnsi="Arial"/>
          <w:sz w:val="20"/>
          <w:szCs w:val="20"/>
          <w:color w:val="auto"/>
        </w:rPr>
      </w:pPr>
    </w:p>
    <w:p>
      <w:pPr>
        <w:ind w:left="660" w:right="480" w:hanging="328"/>
        <w:spacing w:after="0" w:line="271"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a GAAP basis, research and development (R&amp;D) expense was 14.7 percent of net revenues. The adjusted R&amp;D expense was 13.9 percent of net revenues.</w:t>
      </w:r>
    </w:p>
    <w:p>
      <w:pPr>
        <w:spacing w:after="0" w:line="223" w:lineRule="exact"/>
        <w:rPr>
          <w:rFonts w:ascii="Arial" w:cs="Arial" w:eastAsia="Arial" w:hAnsi="Arial"/>
          <w:sz w:val="20"/>
          <w:szCs w:val="20"/>
          <w:color w:val="auto"/>
        </w:rPr>
      </w:pPr>
    </w:p>
    <w:p>
      <w:pPr>
        <w:ind w:left="620" w:hanging="288"/>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Acquired IPR&amp;D and milestones expense was 1.2 percent of net revenues.</w:t>
      </w:r>
    </w:p>
    <w:p>
      <w:pPr>
        <w:spacing w:after="0" w:line="283" w:lineRule="exact"/>
        <w:rPr>
          <w:rFonts w:ascii="Arial" w:cs="Arial" w:eastAsia="Arial" w:hAnsi="Arial"/>
          <w:sz w:val="20"/>
          <w:szCs w:val="20"/>
          <w:color w:val="auto"/>
        </w:rPr>
      </w:pPr>
    </w:p>
    <w:p>
      <w:pPr>
        <w:ind w:left="660" w:right="240" w:hanging="328"/>
        <w:spacing w:after="0" w:line="271"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a GAAP basis, the operating margin ratio in the third quarter was 36.0 percent. The adjusted operating margin ratio was 48.7 percent.</w:t>
      </w:r>
    </w:p>
    <w:p>
      <w:pPr>
        <w:spacing w:after="0" w:line="223" w:lineRule="exact"/>
        <w:rPr>
          <w:rFonts w:ascii="Arial" w:cs="Arial" w:eastAsia="Arial" w:hAnsi="Arial"/>
          <w:sz w:val="20"/>
          <w:szCs w:val="20"/>
          <w:color w:val="auto"/>
        </w:rPr>
      </w:pPr>
    </w:p>
    <w:p>
      <w:pPr>
        <w:ind w:left="620" w:hanging="288"/>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a GAAP basis, net interest expense was $700 million. The adjusted net interest expense was $688 million.</w:t>
      </w:r>
    </w:p>
    <w:p>
      <w:pPr>
        <w:spacing w:after="0" w:line="283" w:lineRule="exact"/>
        <w:rPr>
          <w:rFonts w:ascii="Arial" w:cs="Arial" w:eastAsia="Arial" w:hAnsi="Arial"/>
          <w:sz w:val="20"/>
          <w:szCs w:val="20"/>
          <w:color w:val="auto"/>
        </w:rPr>
      </w:pPr>
    </w:p>
    <w:p>
      <w:pPr>
        <w:ind w:left="620" w:hanging="288"/>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a GAAP basis, the tax rate in the quarter was 12.6 percent. The adjusted tax rate was 13.6 percent.</w:t>
      </w:r>
    </w:p>
    <w:p>
      <w:pPr>
        <w:spacing w:after="0" w:line="283" w:lineRule="exact"/>
        <w:rPr>
          <w:rFonts w:ascii="Arial" w:cs="Arial" w:eastAsia="Arial" w:hAnsi="Arial"/>
          <w:sz w:val="20"/>
          <w:szCs w:val="20"/>
          <w:color w:val="auto"/>
        </w:rPr>
      </w:pPr>
    </w:p>
    <w:p>
      <w:pPr>
        <w:ind w:left="660" w:right="260" w:hanging="328"/>
        <w:spacing w:after="0" w:line="262"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Diluted earnings per share (EPS) in the third quarter was $2.37 on a GAAP basis. Adjusted diluted EPS, excluding specified items, was $3.82. These results include an unfavorable impact of $0.11 per share related to acquired IPR&amp;D and milestones expense.</w:t>
      </w:r>
    </w:p>
    <w:p>
      <w:pPr>
        <w:sectPr>
          <w:pgSz w:w="11900" w:h="16838" w:orient="portrait"/>
          <w:cols w:equalWidth="0" w:num="1">
            <w:col w:w="11220"/>
          </w:cols>
          <w:pgMar w:left="320" w:top="926" w:right="359" w:bottom="540" w:gutter="0" w:footer="0" w:header="0"/>
        </w:sectPr>
      </w:pP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11080" w:val="left"/>
        </w:tabs>
        <w:rPr>
          <w:sz w:val="20"/>
          <w:szCs w:val="20"/>
          <w:color w:val="auto"/>
        </w:rPr>
      </w:pPr>
      <w:r>
        <w:rPr>
          <w:rFonts w:ascii="Arial" w:cs="Arial" w:eastAsia="Arial" w:hAnsi="Arial"/>
          <w:sz w:val="14"/>
          <w:szCs w:val="14"/>
          <w:color w:val="auto"/>
        </w:rPr>
        <w:t>Note: "Operational" comparisons are presented at constant currency rates that reflect comparative local currency net revenues at the prior year's foreign exchange rates.</w:t>
      </w:r>
      <w:r>
        <w:rPr>
          <w:sz w:val="20"/>
          <w:szCs w:val="20"/>
          <w:color w:val="auto"/>
        </w:rPr>
        <w:tab/>
      </w:r>
      <w:r>
        <w:rPr>
          <w:rFonts w:ascii="Arial" w:cs="Arial" w:eastAsia="Arial" w:hAnsi="Arial"/>
          <w:sz w:val="17"/>
          <w:szCs w:val="17"/>
          <w:color w:val="auto"/>
        </w:rPr>
        <w:t>2</w:t>
      </w:r>
    </w:p>
    <w:p>
      <w:pPr>
        <w:sectPr>
          <w:pgSz w:w="11900" w:h="16838" w:orient="portrait"/>
          <w:cols w:equalWidth="0" w:num="1">
            <w:col w:w="11220"/>
          </w:cols>
          <w:pgMar w:left="320" w:top="926" w:right="359" w:bottom="540"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b w:val="1"/>
          <w:bCs w:val="1"/>
          <w:color w:val="auto"/>
        </w:rPr>
        <w:t>Recent Events</w:t>
      </w:r>
    </w:p>
    <w:p>
      <w:pPr>
        <w:spacing w:after="0" w:line="245" w:lineRule="exact"/>
        <w:rPr>
          <w:sz w:val="20"/>
          <w:szCs w:val="20"/>
          <w:color w:val="auto"/>
        </w:rPr>
      </w:pPr>
    </w:p>
    <w:p>
      <w:pPr>
        <w:ind w:left="660" w:right="20" w:hanging="328"/>
        <w:spacing w:after="0" w:line="229"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AbbVie announced it completed its acquisition of Apogee Therapeutics, deepening AbbVie’s robust immunology pipeline with diverse assets targeting dermatologic, respiratory and other inflammatory and immunological diseases. The acquisition includes zumilokibart, a late-stage, half-life extended monoclonal antibody targeting IL-13 for atopic dermatitis (AD), as well as APG273, a potential best-in-category long-acting combination targeting IL-13 and thymic stromal lymphopoietin (TSLP) in asthma.</w:t>
      </w:r>
    </w:p>
    <w:p>
      <w:pPr>
        <w:spacing w:after="0" w:line="198" w:lineRule="exact"/>
        <w:rPr>
          <w:rFonts w:ascii="Arial" w:cs="Arial" w:eastAsia="Arial" w:hAnsi="Arial"/>
          <w:sz w:val="20"/>
          <w:szCs w:val="20"/>
          <w:color w:val="auto"/>
        </w:rPr>
      </w:pPr>
    </w:p>
    <w:p>
      <w:pPr>
        <w:ind w:left="660" w:right="20" w:hanging="328"/>
        <w:spacing w:after="0" w:line="228"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AbbVie announced the U.S. Food and Drug Administration (FDA) approved Skyrizi (risankizumab) for subcutaneous (SC) induction in the treatment of moderately to severely active Crohn's disease (CD). The approval offers adult CD patients an additional option for induction of Skyrizi and is supported by positive data from the Phase 3 AFFIRM study. The FDA also approved an update to the U.S. prescribing information's warning and precautions for Skyrizi, across all indications, to allow healthcare providers to use clinical judgment when determining whether tuberculosis testing is needed. Additionally, AbbVie announced it submitted an application to the European Medicines Agency (EMA) seeking approval for Skyrizi for SC induction in the treatment of adult patients with moderately to severely active CD.</w:t>
      </w:r>
    </w:p>
    <w:p>
      <w:pPr>
        <w:spacing w:after="0" w:line="198" w:lineRule="exact"/>
        <w:rPr>
          <w:rFonts w:ascii="Arial" w:cs="Arial" w:eastAsia="Arial" w:hAnsi="Arial"/>
          <w:sz w:val="20"/>
          <w:szCs w:val="20"/>
          <w:color w:val="auto"/>
        </w:rPr>
      </w:pPr>
    </w:p>
    <w:p>
      <w:pPr>
        <w:ind w:left="660" w:right="20" w:hanging="328"/>
        <w:spacing w:after="0" w:line="225"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AbbVie announced positive topline results from the Phase 3 INTREPID study evaluating the safety and efficacy of lutikizumab, an investigational dual-variable-domain IL-1α/1β antagonist, in adults and adolescents with moderate to severe hidradenitis suppurativa (HS). In the study, lutikizumab met the primary endpoint, achieving a significantly higher response rate of Hidradenitis Suppurativa Clinical Response 75 (HiSCR 75) at Week 16 compared with placebo and also met the majority of ranked secondary endpoints, including significant improvements in HS-related skin pain at Week 8 and significant reductions in the occurrence of HS flares over the first 16 weeks. Lutikizumab was generally well tolerated, with no new safety concerns identified. These data will be presented at a future medical congress. Additional data from this study, including results from a 36-week blinded extension period, are expected next year and will be used to support regulatory submissions for lutikizumab in HS in the second half of 2027.</w:t>
      </w:r>
    </w:p>
    <w:p>
      <w:pPr>
        <w:spacing w:after="0" w:line="206" w:lineRule="exact"/>
        <w:rPr>
          <w:rFonts w:ascii="Arial" w:cs="Arial" w:eastAsia="Arial" w:hAnsi="Arial"/>
          <w:sz w:val="20"/>
          <w:szCs w:val="20"/>
          <w:color w:val="auto"/>
        </w:rPr>
      </w:pPr>
    </w:p>
    <w:p>
      <w:pPr>
        <w:ind w:left="660" w:right="60" w:hanging="328"/>
        <w:spacing w:after="0" w:line="228"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At the American College of Gastroenterology (ACG) 2026 Annual Scientific Meeting, AbbVie shared new Skyrizi and Rinvoq (upadacitinib) data which demonstrated disease control for patients living with inflammatory bowel disease (IBD). Highlights included new Phase 3 AFFIRM data which showed higher rates of clinical and endoscopic response in CD patients treated with SC Skyrizi versus placebo across all efficacy endpoints and observed subgroups; open-label extension analyses that demonstrated sustained endoscopic outcomes over time with Skyrizi, even in patients with complex disease characteristics and prior treatment exposure; and real-world studies that showed patients with advanced CD achieved disease control with Rinvoq, highlighting its potential benefit for difficult-to-treat patients.</w:t>
      </w:r>
    </w:p>
    <w:p>
      <w:pPr>
        <w:spacing w:after="0" w:line="198" w:lineRule="exact"/>
        <w:rPr>
          <w:rFonts w:ascii="Arial" w:cs="Arial" w:eastAsia="Arial" w:hAnsi="Arial"/>
          <w:sz w:val="20"/>
          <w:szCs w:val="20"/>
          <w:color w:val="auto"/>
        </w:rPr>
      </w:pPr>
    </w:p>
    <w:p>
      <w:pPr>
        <w:ind w:left="660" w:right="80" w:hanging="328"/>
        <w:spacing w:after="0" w:line="228"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At the 2026 United European Gastroenterology (UEG) Week, AbbVie showcased 20 presentations that underscored the breadth of its IBD research programs. Key disclosures included late-breaking results from the Phase 2a TARGET-CD trial for combination therapy ABBV-466 (Skyrizi + ABBV-382) which demonstrated higher endoscopic remission rates than either Skyrizi or ABBV-382 monotherapy at Week 12, the primary endpoint, with remission rates continuing to increase through Week 24 in patients with moderate to severe CD. AbbVie also presented long-term and real-world data for Skyrizi and Rinvoq that provided additional insight into clinical and endoscopic outcomes in moderately to severely active CD and ulcerative colitis (UC).</w:t>
      </w:r>
    </w:p>
    <w:p>
      <w:pPr>
        <w:spacing w:after="0" w:line="198" w:lineRule="exact"/>
        <w:rPr>
          <w:rFonts w:ascii="Arial" w:cs="Arial" w:eastAsia="Arial" w:hAnsi="Arial"/>
          <w:sz w:val="20"/>
          <w:szCs w:val="20"/>
          <w:color w:val="auto"/>
        </w:rPr>
      </w:pPr>
    </w:p>
    <w:p>
      <w:pPr>
        <w:ind w:left="660" w:right="60" w:hanging="328"/>
        <w:spacing w:after="0" w:line="226"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At the 2026 European Academy of Dermatology and Venereology (EADV) Congress, AbbVie presented data from 60 abstracts reflecting AbbVie’s expanding portfolio across a wide spectrum of immune-mediated skin diseases. Highlights included late-breaking presentations from the Phase 3 Viti-Up-1 and Viti-Up-2 studies of Rinvoq in non-segmental vitiligo (NSV), which showed continued facial and total body repigmentation through week 76; primary results from the Phase 2 APEX Part B study evaluating zumilokibart in adult patients with moderate to severe AD, which showed all three dose regimens met the primary endpoint with significantly greater improvements in Eczema Area and Severity Index-75 (EASI-75) response rates versus placebo at week 16; and data showing how lutikizumab targets neutrophilic inflammation and fibroblast activation in HS.</w:t>
      </w:r>
    </w:p>
    <w:p>
      <w:pPr>
        <w:sectPr>
          <w:pgSz w:w="11900" w:h="16838" w:orient="portrait"/>
          <w:cols w:equalWidth="0" w:num="1">
            <w:col w:w="11240"/>
          </w:cols>
          <w:pgMar w:left="320" w:top="9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926"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0"/>
          <w:szCs w:val="20"/>
          <w:b w:val="1"/>
          <w:bCs w:val="1"/>
          <w:color w:val="auto"/>
        </w:rPr>
        <w:t>Recent Events (Continued)</w:t>
      </w:r>
    </w:p>
    <w:p>
      <w:pPr>
        <w:spacing w:after="0" w:line="245" w:lineRule="exact"/>
        <w:rPr>
          <w:sz w:val="20"/>
          <w:szCs w:val="20"/>
          <w:color w:val="auto"/>
        </w:rPr>
      </w:pPr>
    </w:p>
    <w:p>
      <w:pPr>
        <w:ind w:left="660" w:right="20" w:hanging="328"/>
        <w:spacing w:after="0" w:line="229"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AbbVie announced the FDA approved Juvmo (tavapadon) tablets as the only selective D1/D5 receptor agonist for the treatment of adults with Parkinson's disease (PD). Taken once daily with or without levodopa therapy, Juvmo offers patients a differentiated approach to motor symptom control across the PD continuum. This approval is supported by the Phase 3 TEMPO program, which demonstrated significant improvements in daily functioning, increased "on" time without troublesome dyskinesia and a favorable safety profile.</w:t>
      </w:r>
    </w:p>
    <w:p>
      <w:pPr>
        <w:spacing w:after="0" w:line="198" w:lineRule="exact"/>
        <w:rPr>
          <w:rFonts w:ascii="Arial" w:cs="Arial" w:eastAsia="Arial" w:hAnsi="Arial"/>
          <w:sz w:val="20"/>
          <w:szCs w:val="20"/>
          <w:color w:val="auto"/>
        </w:rPr>
      </w:pPr>
    </w:p>
    <w:p>
      <w:pPr>
        <w:ind w:left="660" w:right="40" w:hanging="328"/>
        <w:spacing w:after="0" w:line="228"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AbbVie announced positive topline results from the Phase 3 LUNA study, which evaluated Qulipta (atogepant), a calcitonin gene-related peptide (CGRP) receptor antagonist, for the preventive treatment of menstrual migraine in adults. In the study, Qulipta demonstrated statistically significant reductions in migraine days associated with the menstrual period, meeting the primary and all eight ranked secondary endpoints versus placebo. Menstrual migraine is a recurrent, debilitating migraine pattern, with attacks occurring around or during the menstrual period. No treatment options are currently approved for menstrual migraine, underscoring the urgent need for care approaches specifically designed for this patient population.</w:t>
      </w:r>
    </w:p>
    <w:p>
      <w:pPr>
        <w:spacing w:after="0" w:line="198" w:lineRule="exact"/>
        <w:rPr>
          <w:rFonts w:ascii="Arial" w:cs="Arial" w:eastAsia="Arial" w:hAnsi="Arial"/>
          <w:sz w:val="20"/>
          <w:szCs w:val="20"/>
          <w:color w:val="auto"/>
        </w:rPr>
      </w:pPr>
    </w:p>
    <w:p>
      <w:pPr>
        <w:ind w:left="660" w:right="80" w:hanging="328"/>
        <w:spacing w:after="0" w:line="232"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At Psych Congress 2026, AbbVie presented new real-world data supporting the effectiveness of Vraylar (cariprazine), which showed meaningful improvements in depressive symptoms, functioning and quality of life among adults living with major depressive disorder and bipolar I depression. These findings provide additional evidence that the benefits observed with Vraylar in clinical trials can also be achieved in routine practice, where patients often have more complex treatment needs. Vraylar is being co-developed by AbbVie and Gedeon Richter.</w:t>
      </w:r>
    </w:p>
    <w:p>
      <w:pPr>
        <w:spacing w:after="0" w:line="184" w:lineRule="exact"/>
        <w:rPr>
          <w:rFonts w:ascii="Arial" w:cs="Arial" w:eastAsia="Arial" w:hAnsi="Arial"/>
          <w:sz w:val="20"/>
          <w:szCs w:val="20"/>
          <w:color w:val="auto"/>
        </w:rPr>
      </w:pPr>
    </w:p>
    <w:p>
      <w:pPr>
        <w:ind w:left="660" w:right="220" w:hanging="328"/>
        <w:spacing w:after="0" w:line="227"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AbbVie announced submission of a Biologics License Application (BLA) to the FDA for etentamig, a next-generation BCMA x CD3 bispecific T-cell engager, for the treatment of patients living with relapsed/refractory multiple myeloma (RRMM). The submission is supported by positive results from the Phase 3 CERVINO study which demonstrated that etentamig achieved significant improvements in overall response rate (ORR, 74%) and progression-free survival (PFS, 60%) versus investigator's choice of standard available therapies in triple-class exposed adults with RRMM who had received at least two prior lines of therapy. Etentamig demonstrated low rates of cytokine release syndrome and fatal infections with monthly dosing from initiation following a single step-up dose. These results support the potential for etentamig treatment across a range of settings, including community-based care, offering a potentially differentiated treatment option for patients and providers.</w:t>
      </w:r>
    </w:p>
    <w:p>
      <w:pPr>
        <w:spacing w:after="0" w:line="188" w:lineRule="exact"/>
        <w:rPr>
          <w:rFonts w:ascii="Arial" w:cs="Arial" w:eastAsia="Arial" w:hAnsi="Arial"/>
          <w:sz w:val="20"/>
          <w:szCs w:val="20"/>
          <w:color w:val="auto"/>
        </w:rPr>
      </w:pPr>
    </w:p>
    <w:p>
      <w:pPr>
        <w:ind w:left="660" w:right="140" w:hanging="328"/>
        <w:spacing w:after="0" w:line="227"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AbbVie and Genmab announced positive topline results from the Phase 3 EPCORE DLBCL-2 trial evaluating fixed treatment duration Epkinly (epcoritamab), a T-cell engaging bispecific antibody with SC administration, in combination with standard of care rituximab, cyclophosphamide, doxorubicin hydrochloride, vincristine, and prednisone (R-CHOP), compared to R-CHOP alone, in newly diagnosed patients with diffuse large B-cell lymphoma (DLBCL). The trial demonstrated a statistically significant and clinically meaningful improvement in PFS in DLBCL patients, as the risk of disease progression or death was reduced by 51%. The safety profile of Epkinly when administered in combination with standard of care R-CHOP was generally well tolerated and consistent with the previously reported safety profiles of the individual agents. Based on the topline results, Genmab and AbbVie will engage global regulatory authorities. Epkinly is being co-developed by AbbVie and Genmab.</w:t>
      </w:r>
    </w:p>
    <w:p>
      <w:pPr>
        <w:spacing w:after="0" w:line="202" w:lineRule="exact"/>
        <w:rPr>
          <w:rFonts w:ascii="Arial" w:cs="Arial" w:eastAsia="Arial" w:hAnsi="Arial"/>
          <w:sz w:val="20"/>
          <w:szCs w:val="20"/>
          <w:color w:val="auto"/>
        </w:rPr>
      </w:pPr>
    </w:p>
    <w:p>
      <w:pPr>
        <w:ind w:left="660" w:right="240" w:hanging="328"/>
        <w:spacing w:after="0" w:line="233"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AbbVie announced the FDA granted two Breakthrough Therapy Designations (BTDs) for telisotuzumab adizutecan (Temab-A), a next-generation, c-Met-directed antibody-drug conjugate (ADC) with a novel topoisomerase 1 inhibitor, in colorectal cancer (CRC) and non-small cell lung cancer (NSCLC). These designations represent the first BTDs for Temab-A.</w:t>
      </w:r>
    </w:p>
    <w:p>
      <w:pPr>
        <w:spacing w:after="0" w:line="186" w:lineRule="exact"/>
        <w:rPr>
          <w:rFonts w:ascii="Arial" w:cs="Arial" w:eastAsia="Arial" w:hAnsi="Arial"/>
          <w:sz w:val="20"/>
          <w:szCs w:val="20"/>
          <w:color w:val="auto"/>
        </w:rPr>
      </w:pPr>
    </w:p>
    <w:p>
      <w:pPr>
        <w:ind w:left="660" w:right="120" w:hanging="328"/>
        <w:spacing w:after="0" w:line="219"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At the 23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International Myeloma Society (IMS) Annual Meeting, AbbVie presented research demonstrating the breadth of its myeloma pipeline. Highlights included a plenary presentation featuring full results from the Phase 3 CERVINO study evaluating etentamig; as well as data from ABBV-2001, a trispecific T-cell engager; surzetoclax, a BCL-2 inhibitor; and combination approaches.</w:t>
      </w:r>
    </w:p>
    <w:p>
      <w:pPr>
        <w:sectPr>
          <w:pgSz w:w="11900" w:h="16838" w:orient="portrait"/>
          <w:cols w:equalWidth="0" w:num="1">
            <w:col w:w="11240"/>
          </w:cols>
          <w:pgMar w:left="320" w:top="9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926"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20"/>
          <w:szCs w:val="20"/>
          <w:b w:val="1"/>
          <w:bCs w:val="1"/>
          <w:color w:val="auto"/>
        </w:rPr>
        <w:t>Recent Events (Continued)</w:t>
      </w:r>
    </w:p>
    <w:p>
      <w:pPr>
        <w:spacing w:after="0" w:line="245" w:lineRule="exact"/>
        <w:rPr>
          <w:sz w:val="20"/>
          <w:szCs w:val="20"/>
          <w:color w:val="auto"/>
        </w:rPr>
      </w:pPr>
    </w:p>
    <w:p>
      <w:pPr>
        <w:ind w:left="660" w:right="320" w:hanging="328"/>
        <w:spacing w:after="0" w:line="247" w:lineRule="auto"/>
        <w:tabs>
          <w:tab w:leader="none" w:pos="621" w:val="left"/>
        </w:tabs>
        <w:numPr>
          <w:ilvl w:val="0"/>
          <w:numId w:val="7"/>
        </w:numPr>
        <w:rPr>
          <w:rFonts w:ascii="Arial" w:cs="Arial" w:eastAsia="Arial" w:hAnsi="Arial"/>
          <w:sz w:val="19"/>
          <w:szCs w:val="19"/>
          <w:color w:val="auto"/>
        </w:rPr>
      </w:pPr>
      <w:r>
        <w:rPr>
          <w:rFonts w:ascii="Arial" w:cs="Arial" w:eastAsia="Arial" w:hAnsi="Arial"/>
          <w:sz w:val="19"/>
          <w:szCs w:val="19"/>
          <w:color w:val="auto"/>
        </w:rPr>
        <w:t>At the 2026 World Conference on Lung Cancer (WCLC), AbbVie shared new data showcasing its strategy aimed at building a lung cancer pipeline spanning next-generation immunotherapies, targeted ADCs and the potential for novel combination approaches. Presentations included clinical data from ABBV-1480, Temab-A and ABBV-706 programs across NSCLC and small cell lung cancer (SCLC). ABBV-1480 is developed in partnership with RemeGen.</w:t>
      </w:r>
    </w:p>
    <w:p>
      <w:pPr>
        <w:spacing w:after="0" w:line="180" w:lineRule="exact"/>
        <w:rPr>
          <w:rFonts w:ascii="Arial" w:cs="Arial" w:eastAsia="Arial" w:hAnsi="Arial"/>
          <w:sz w:val="19"/>
          <w:szCs w:val="19"/>
          <w:color w:val="auto"/>
        </w:rPr>
      </w:pPr>
    </w:p>
    <w:p>
      <w:pPr>
        <w:ind w:left="660" w:right="120" w:hanging="328"/>
        <w:spacing w:after="0" w:line="233"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At the 2026 European Society for Medical Oncology (ESMO), AbbVie presented new data across its solid tumor pipeline that underscored the potential of AbbVie's oncology portfolio to address diverse patient needs through next-generation ADCs, combination approaches and precision medicine. Data across multiple assets in various stages of development highlighted longer-term survival, combination and biomarker findings.</w:t>
      </w:r>
    </w:p>
    <w:p>
      <w:pPr>
        <w:spacing w:after="0" w:line="200" w:lineRule="exact"/>
        <w:rPr>
          <w:rFonts w:ascii="Arial" w:cs="Arial" w:eastAsia="Arial" w:hAnsi="Arial"/>
          <w:sz w:val="20"/>
          <w:szCs w:val="20"/>
          <w:color w:val="auto"/>
        </w:rPr>
      </w:pPr>
    </w:p>
    <w:p>
      <w:pPr>
        <w:ind w:left="660" w:hanging="328"/>
        <w:spacing w:after="0" w:line="230"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Allergan Aesthetics announced the FDA accepted for review its supplemental BLA for Botox Cosmetic (onabotulinumtoxinA) for the temporary improvement in the appearance of marked to very marked masseter muscle prominence (MMP) associated with masseter muscle activity in adults. The submission is supported by two Phase 3 studies, demonstrating statistically significant improvements in MMP and patient satisfaction with treatment. If approved, Botox Cosmetic would become the first neurotoxin indicated for this condition in the U.S. and expand its portfolio to a fifth aesthetic indication.</w:t>
      </w:r>
    </w:p>
    <w:p>
      <w:pPr>
        <w:spacing w:after="0" w:line="189" w:lineRule="exact"/>
        <w:rPr>
          <w:rFonts w:ascii="Arial" w:cs="Arial" w:eastAsia="Arial" w:hAnsi="Arial"/>
          <w:sz w:val="20"/>
          <w:szCs w:val="20"/>
          <w:color w:val="auto"/>
        </w:rPr>
      </w:pPr>
    </w:p>
    <w:p>
      <w:pPr>
        <w:ind w:left="660" w:right="100" w:hanging="328"/>
        <w:spacing w:after="0" w:line="228"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At the European Association for the Study of Diabetes (EASD) 2026 Annual Meeting, AbbVie announced detailed Phase 1 data for ABBV-295, a long-acting amylin analog being developed for the treatment of obesity. Data presented demonstrated an approximately 11- to 12-day half-life and dose-proportional increases in plasma exposure, supporting evaluation of ABBV-295 at dosing intervals beyond weekly administration, including every-other-week and monthly regimens. ABBV-295 also showed meaningful body weight reduction and a favorable tolerability profile at all evaluated dose levels, with topline results announced earlier this year. Findings support advancement of ABBV-295 into Phase 2 development for chronic weight management.</w:t>
      </w:r>
    </w:p>
    <w:p>
      <w:pPr>
        <w:spacing w:after="0" w:line="198" w:lineRule="exact"/>
        <w:rPr>
          <w:rFonts w:ascii="Arial" w:cs="Arial" w:eastAsia="Arial" w:hAnsi="Arial"/>
          <w:sz w:val="20"/>
          <w:szCs w:val="20"/>
          <w:color w:val="auto"/>
        </w:rPr>
      </w:pPr>
    </w:p>
    <w:p>
      <w:pPr>
        <w:ind w:left="660" w:right="40" w:hanging="328"/>
        <w:spacing w:after="0" w:line="236"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AbbVie announced an agreement with Valkai to apply advanced artificial intelligence (AI) across targeted areas of clinical development. The agreement is designed to strengthen integrated AI capabilities across clinical development to help accelerate the pace at which scientific innovation reaches patients.</w:t>
      </w:r>
    </w:p>
    <w:p>
      <w:pPr>
        <w:spacing w:after="0" w:line="199" w:lineRule="exact"/>
        <w:rPr>
          <w:rFonts w:ascii="Arial" w:cs="Arial" w:eastAsia="Arial" w:hAnsi="Arial"/>
          <w:sz w:val="20"/>
          <w:szCs w:val="20"/>
          <w:color w:val="auto"/>
        </w:rPr>
      </w:pPr>
    </w:p>
    <w:p>
      <w:pPr>
        <w:ind w:left="660" w:right="140" w:hanging="328"/>
        <w:spacing w:after="0" w:line="232"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AbbVie and Iambic, a clinical-stage life sciences and technology company developing novel medicines through its AI-driven discovery and development platform, announced a multi-year strategic relationship to accelerate the discovery and development of small molecule therapies in immunology, neuroscience and oncology. The strategic relationship will pursue programs with first-in-class and best-in-class potential, combining Iambic's molecular superintelligence platform with AbbVie's therapeutic area expertise.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926"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Full-Year 2026 Outlook</w:t>
      </w:r>
    </w:p>
    <w:p>
      <w:pPr>
        <w:spacing w:after="0" w:line="231" w:lineRule="exact"/>
        <w:rPr>
          <w:sz w:val="20"/>
          <w:szCs w:val="20"/>
          <w:color w:val="auto"/>
        </w:rPr>
      </w:pPr>
    </w:p>
    <w:p>
      <w:pPr>
        <w:ind w:right="400"/>
        <w:spacing w:after="0" w:line="239" w:lineRule="auto"/>
        <w:rPr>
          <w:sz w:val="20"/>
          <w:szCs w:val="20"/>
          <w:color w:val="auto"/>
        </w:rPr>
      </w:pPr>
      <w:r>
        <w:rPr>
          <w:rFonts w:ascii="Arial" w:cs="Arial" w:eastAsia="Arial" w:hAnsi="Arial"/>
          <w:sz w:val="19"/>
          <w:szCs w:val="19"/>
          <w:color w:val="auto"/>
        </w:rPr>
        <w:t>AbbVie is raising its adjusted diluted EPS guidance for the full year 2026 from $13.76 - $13.96 to $13.95 - $13.99, which includes an unfavorable impact of $0.69 per share related to acquired IPR&amp;D and milestones expense incurred year-to-date</w:t>
      </w:r>
    </w:p>
    <w:p>
      <w:pPr>
        <w:spacing w:after="0" w:line="1" w:lineRule="exact"/>
        <w:rPr>
          <w:sz w:val="20"/>
          <w:szCs w:val="20"/>
          <w:color w:val="auto"/>
        </w:rPr>
      </w:pPr>
    </w:p>
    <w:p>
      <w:pPr>
        <w:ind w:right="160"/>
        <w:spacing w:after="0" w:line="239" w:lineRule="auto"/>
        <w:rPr>
          <w:sz w:val="20"/>
          <w:szCs w:val="20"/>
          <w:color w:val="auto"/>
        </w:rPr>
      </w:pPr>
      <w:r>
        <w:rPr>
          <w:rFonts w:ascii="Arial" w:cs="Arial" w:eastAsia="Arial" w:hAnsi="Arial"/>
          <w:sz w:val="20"/>
          <w:szCs w:val="20"/>
          <w:color w:val="auto"/>
        </w:rPr>
        <w:t>through the third quarter 2026. The company's 2026 adjusted diluted EPS guidance excludes any impact from acquired IPR&amp;D and milestones that may be incurred beyond the third quarter of 2026, as both cannot be reliably forecasted.</w:t>
      </w:r>
    </w:p>
    <w:p>
      <w:pPr>
        <w:spacing w:after="0" w:line="185" w:lineRule="exact"/>
        <w:rPr>
          <w:sz w:val="20"/>
          <w:szCs w:val="20"/>
          <w:color w:val="auto"/>
        </w:rPr>
      </w:pPr>
    </w:p>
    <w:p>
      <w:pPr>
        <w:ind w:right="140"/>
        <w:spacing w:after="0" w:line="243" w:lineRule="auto"/>
        <w:rPr>
          <w:sz w:val="20"/>
          <w:szCs w:val="20"/>
          <w:color w:val="auto"/>
        </w:rPr>
      </w:pPr>
      <w:r>
        <w:rPr>
          <w:rFonts w:ascii="Arial" w:cs="Arial" w:eastAsia="Arial" w:hAnsi="Arial"/>
          <w:sz w:val="19"/>
          <w:szCs w:val="19"/>
          <w:color w:val="auto"/>
        </w:rPr>
        <w:t>AbbVie does not provide a reconciliation of forward-looking non-GAAP financial measures, including adjusted diluted earnings per share to the most directly comparable generally accepted accounting principles in the United States (GAAP) financial measures because AbbVie is unable to predict with reasonable certainty, without unreasonable effort, the amount and timing of</w:t>
      </w:r>
    </w:p>
    <w:p>
      <w:pPr>
        <w:spacing w:after="0" w:line="2" w:lineRule="exact"/>
        <w:rPr>
          <w:sz w:val="20"/>
          <w:szCs w:val="20"/>
          <w:color w:val="auto"/>
        </w:rPr>
      </w:pPr>
    </w:p>
    <w:p>
      <w:pPr>
        <w:ind w:right="620"/>
        <w:spacing w:after="0" w:line="229" w:lineRule="auto"/>
        <w:rPr>
          <w:sz w:val="20"/>
          <w:szCs w:val="20"/>
          <w:color w:val="auto"/>
        </w:rPr>
      </w:pPr>
      <w:r>
        <w:rPr>
          <w:rFonts w:ascii="Arial" w:cs="Arial" w:eastAsia="Arial" w:hAnsi="Arial"/>
          <w:sz w:val="19"/>
          <w:szCs w:val="19"/>
          <w:color w:val="auto"/>
        </w:rPr>
        <w:t>changes in fair value of contingent consideration, intangible asset impairments, acquisition and integration costs, litigation matters, income tax items and other adjustments. These items are uncertain, depend on various factors and could have a</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material impact on AbbVie’s GAAP results for the guidance period.</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Declares Dividend Increase of 5.2 Percent</w:t>
      </w:r>
    </w:p>
    <w:p>
      <w:pPr>
        <w:spacing w:after="0" w:line="218" w:lineRule="exact"/>
        <w:rPr>
          <w:sz w:val="20"/>
          <w:szCs w:val="20"/>
          <w:color w:val="auto"/>
        </w:rPr>
      </w:pPr>
    </w:p>
    <w:p>
      <w:pPr>
        <w:ind w:right="40"/>
        <w:spacing w:after="0" w:line="247" w:lineRule="auto"/>
        <w:rPr>
          <w:sz w:val="20"/>
          <w:szCs w:val="20"/>
          <w:color w:val="auto"/>
        </w:rPr>
      </w:pPr>
      <w:r>
        <w:rPr>
          <w:rFonts w:ascii="Arial" w:cs="Arial" w:eastAsia="Arial" w:hAnsi="Arial"/>
          <w:sz w:val="19"/>
          <w:szCs w:val="19"/>
          <w:color w:val="auto"/>
        </w:rPr>
        <w:t>AbbVie is announcing today that its board of directors declared an increase in the company's quarterly cash dividend from $1.73 per share to $1.82 per share beginning with the dividend payable on February 16, 2027 to shareholders of record as of January</w:t>
      </w:r>
    </w:p>
    <w:p>
      <w:pPr>
        <w:ind w:right="20"/>
        <w:spacing w:after="0" w:line="229" w:lineRule="auto"/>
        <w:rPr>
          <w:sz w:val="20"/>
          <w:szCs w:val="20"/>
          <w:color w:val="auto"/>
        </w:rPr>
      </w:pPr>
      <w:r>
        <w:rPr>
          <w:rFonts w:ascii="Arial" w:cs="Arial" w:eastAsia="Arial" w:hAnsi="Arial"/>
          <w:sz w:val="19"/>
          <w:szCs w:val="19"/>
          <w:color w:val="auto"/>
        </w:rPr>
        <w:t>15, 2027. This reflects an increase of approximately 5.2 percent, continuing AbbVie's strong commitment to returning cash to shareholders through a growing dividend. Since the company's inception in 2013, AbbVie has increased its quarterly dividend by</w:t>
      </w:r>
    </w:p>
    <w:p>
      <w:pPr>
        <w:spacing w:after="0" w:line="2" w:lineRule="exact"/>
        <w:rPr>
          <w:sz w:val="20"/>
          <w:szCs w:val="20"/>
          <w:color w:val="auto"/>
        </w:rPr>
      </w:pPr>
    </w:p>
    <w:p>
      <w:pPr>
        <w:ind w:right="160"/>
        <w:spacing w:after="0" w:line="239" w:lineRule="auto"/>
        <w:rPr>
          <w:sz w:val="20"/>
          <w:szCs w:val="20"/>
          <w:color w:val="auto"/>
        </w:rPr>
      </w:pPr>
      <w:r>
        <w:rPr>
          <w:rFonts w:ascii="Arial" w:cs="Arial" w:eastAsia="Arial" w:hAnsi="Arial"/>
          <w:sz w:val="20"/>
          <w:szCs w:val="20"/>
          <w:color w:val="auto"/>
        </w:rPr>
        <w:t>355 percent. AbbVie is a member of the S&amp;P Dividend Aristocrats Index, which tracks companies that have annually increased their dividend for at least 25 consecutive years.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AbbVie</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AbbVie's mission is to discover and deliver innovative medicines and solutions that solve serious health issues today and</w:t>
      </w:r>
    </w:p>
    <w:p>
      <w:pPr>
        <w:spacing w:after="0" w:line="4" w:lineRule="exact"/>
        <w:rPr>
          <w:sz w:val="20"/>
          <w:szCs w:val="20"/>
          <w:color w:val="auto"/>
        </w:rPr>
      </w:pPr>
    </w:p>
    <w:p>
      <w:pPr>
        <w:ind w:right="420"/>
        <w:spacing w:after="0" w:line="229" w:lineRule="auto"/>
        <w:rPr>
          <w:sz w:val="20"/>
          <w:szCs w:val="20"/>
          <w:color w:val="auto"/>
        </w:rPr>
      </w:pPr>
      <w:r>
        <w:rPr>
          <w:rFonts w:ascii="Arial" w:cs="Arial" w:eastAsia="Arial" w:hAnsi="Arial"/>
          <w:sz w:val="19"/>
          <w:szCs w:val="19"/>
          <w:color w:val="auto"/>
        </w:rPr>
        <w:t>address the medical challenges of tomorrow. We strive to have a remarkable impact on people's lives across several key therapeutic areas including immunology, neuroscience and oncology – and products and services in our Allergan Aesthetics</w:t>
      </w:r>
    </w:p>
    <w:p>
      <w:pPr>
        <w:spacing w:after="0" w:line="2" w:lineRule="exact"/>
        <w:rPr>
          <w:sz w:val="20"/>
          <w:szCs w:val="20"/>
          <w:color w:val="auto"/>
        </w:rPr>
      </w:pPr>
    </w:p>
    <w:p>
      <w:pPr>
        <w:ind w:right="600"/>
        <w:spacing w:after="0" w:line="239" w:lineRule="auto"/>
        <w:rPr>
          <w:sz w:val="20"/>
          <w:szCs w:val="20"/>
          <w:color w:val="auto"/>
        </w:rPr>
      </w:pPr>
      <w:r>
        <w:rPr>
          <w:rFonts w:ascii="Arial" w:cs="Arial" w:eastAsia="Arial" w:hAnsi="Arial"/>
          <w:sz w:val="20"/>
          <w:szCs w:val="20"/>
          <w:color w:val="auto"/>
        </w:rPr>
        <w:t xml:space="preserve">portfolio. For more information about AbbVie, please visit us at </w:t>
      </w:r>
      <w:r>
        <w:rPr>
          <w:rFonts w:ascii="Arial" w:cs="Arial" w:eastAsia="Arial" w:hAnsi="Arial"/>
          <w:sz w:val="20"/>
          <w:szCs w:val="20"/>
          <w:color w:val="0000FF"/>
        </w:rPr>
        <w:t>www.abbvie.com</w:t>
      </w:r>
      <w:r>
        <w:rPr>
          <w:rFonts w:ascii="Arial" w:cs="Arial" w:eastAsia="Arial" w:hAnsi="Arial"/>
          <w:sz w:val="20"/>
          <w:szCs w:val="20"/>
          <w:color w:val="auto"/>
        </w:rPr>
        <w:t xml:space="preserve">. Follow @abbvie on </w:t>
      </w:r>
      <w:r>
        <w:rPr>
          <w:rFonts w:ascii="Arial" w:cs="Arial" w:eastAsia="Arial" w:hAnsi="Arial"/>
          <w:sz w:val="20"/>
          <w:szCs w:val="20"/>
          <w:color w:val="0000FF"/>
        </w:rPr>
        <w:t>LinkedIn, Facebook</w:t>
      </w:r>
      <w:r>
        <w:rPr>
          <w:rFonts w:ascii="Arial" w:cs="Arial" w:eastAsia="Arial" w:hAnsi="Arial"/>
          <w:sz w:val="20"/>
          <w:szCs w:val="20"/>
          <w:color w:val="auto"/>
        </w:rPr>
        <w:t xml:space="preserve">, </w:t>
      </w:r>
      <w:r>
        <w:rPr>
          <w:rFonts w:ascii="Arial" w:cs="Arial" w:eastAsia="Arial" w:hAnsi="Arial"/>
          <w:sz w:val="20"/>
          <w:szCs w:val="20"/>
          <w:color w:val="0000FF"/>
        </w:rPr>
        <w:t>Instagram</w:t>
      </w:r>
      <w:r>
        <w:rPr>
          <w:rFonts w:ascii="Arial" w:cs="Arial" w:eastAsia="Arial" w:hAnsi="Arial"/>
          <w:sz w:val="20"/>
          <w:szCs w:val="20"/>
          <w:color w:val="000000"/>
        </w:rPr>
        <w:t>,</w:t>
      </w:r>
      <w:r>
        <w:rPr>
          <w:rFonts w:ascii="Arial" w:cs="Arial" w:eastAsia="Arial" w:hAnsi="Arial"/>
          <w:sz w:val="20"/>
          <w:szCs w:val="20"/>
          <w:color w:val="0000FF"/>
        </w:rPr>
        <w:t xml:space="preserve"> X </w:t>
      </w:r>
      <w:r>
        <w:rPr>
          <w:rFonts w:ascii="Arial" w:cs="Arial" w:eastAsia="Arial" w:hAnsi="Arial"/>
          <w:sz w:val="20"/>
          <w:szCs w:val="20"/>
          <w:color w:val="000000"/>
        </w:rPr>
        <w:t>and</w:t>
      </w:r>
      <w:r>
        <w:rPr>
          <w:rFonts w:ascii="Arial" w:cs="Arial" w:eastAsia="Arial" w:hAnsi="Arial"/>
          <w:sz w:val="20"/>
          <w:szCs w:val="20"/>
          <w:color w:val="0000FF"/>
        </w:rPr>
        <w:t xml:space="preserve"> YouTube.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04" w:lineRule="exact"/>
        <w:rPr>
          <w:sz w:val="20"/>
          <w:szCs w:val="20"/>
          <w:color w:val="auto"/>
        </w:rPr>
      </w:pPr>
    </w:p>
    <w:p>
      <w:pPr>
        <w:ind w:right="240"/>
        <w:spacing w:after="0" w:line="239" w:lineRule="auto"/>
        <w:rPr>
          <w:sz w:val="20"/>
          <w:szCs w:val="20"/>
          <w:color w:val="auto"/>
        </w:rPr>
      </w:pPr>
      <w:r>
        <w:rPr>
          <w:rFonts w:ascii="Arial" w:cs="Arial" w:eastAsia="Arial" w:hAnsi="Arial"/>
          <w:sz w:val="19"/>
          <w:szCs w:val="19"/>
          <w:color w:val="auto"/>
        </w:rPr>
        <w:t xml:space="preserve">AbbVie will host an investor conference call today at 8:00 a.m. Central Time to discuss our third-quarter performance. The call will be webcast through AbbVie’s Investor Relations website at </w:t>
      </w:r>
      <w:r>
        <w:rPr>
          <w:rFonts w:ascii="Arial" w:cs="Arial" w:eastAsia="Arial" w:hAnsi="Arial"/>
          <w:sz w:val="19"/>
          <w:szCs w:val="19"/>
          <w:u w:val="single" w:color="auto"/>
          <w:color w:val="0000FF"/>
        </w:rPr>
        <w:t>investors.abbvie.com</w:t>
      </w:r>
      <w:r>
        <w:rPr>
          <w:rFonts w:ascii="Arial" w:cs="Arial" w:eastAsia="Arial" w:hAnsi="Arial"/>
          <w:sz w:val="19"/>
          <w:szCs w:val="19"/>
          <w:color w:val="auto"/>
        </w:rPr>
        <w:t>. An archived edition of the call will be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available after 11:00 a.m. Central Time.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Results</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Financial results for 2026 and 2025 are presented on both a reported and a non-GAAP basis. Reported results were prepared in</w:t>
      </w:r>
    </w:p>
    <w:p>
      <w:pPr>
        <w:spacing w:after="0" w:line="16" w:lineRule="exact"/>
        <w:rPr>
          <w:sz w:val="20"/>
          <w:szCs w:val="20"/>
          <w:color w:val="auto"/>
        </w:rPr>
      </w:pPr>
    </w:p>
    <w:p>
      <w:pPr>
        <w:ind w:right="20"/>
        <w:spacing w:after="0" w:line="229" w:lineRule="auto"/>
        <w:rPr>
          <w:sz w:val="20"/>
          <w:szCs w:val="20"/>
          <w:color w:val="auto"/>
        </w:rPr>
      </w:pPr>
      <w:r>
        <w:rPr>
          <w:rFonts w:ascii="Arial" w:cs="Arial" w:eastAsia="Arial" w:hAnsi="Arial"/>
          <w:sz w:val="19"/>
          <w:szCs w:val="19"/>
          <w:color w:val="auto"/>
        </w:rPr>
        <w:t>accordance with GAAP and include all revenue and expenses recognized during the period. Non-GAAP results adjust for certain non-cash items and for factors that are unusual or unpredictable, and exclude those costs, expenses, and other specified items</w:t>
      </w:r>
    </w:p>
    <w:p>
      <w:pPr>
        <w:spacing w:after="0"/>
        <w:rPr>
          <w:sz w:val="20"/>
          <w:szCs w:val="20"/>
          <w:color w:val="auto"/>
        </w:rPr>
      </w:pPr>
      <w:r>
        <w:rPr>
          <w:rFonts w:ascii="Arial" w:cs="Arial" w:eastAsia="Arial" w:hAnsi="Arial"/>
          <w:sz w:val="19"/>
          <w:szCs w:val="19"/>
          <w:color w:val="auto"/>
        </w:rPr>
        <w:t>presented in the reconciliation tables later in this release. AbbVie’s management believes non-GAAP financial measures provide</w:t>
      </w:r>
    </w:p>
    <w:p>
      <w:pPr>
        <w:ind w:right="340"/>
        <w:spacing w:after="0" w:line="229" w:lineRule="auto"/>
        <w:rPr>
          <w:sz w:val="20"/>
          <w:szCs w:val="20"/>
          <w:color w:val="auto"/>
        </w:rPr>
      </w:pPr>
      <w:r>
        <w:rPr>
          <w:rFonts w:ascii="Arial" w:cs="Arial" w:eastAsia="Arial" w:hAnsi="Arial"/>
          <w:sz w:val="19"/>
          <w:szCs w:val="19"/>
          <w:color w:val="auto"/>
        </w:rPr>
        <w:t>useful information to investors regarding AbbVie’s results of operations and assist management, analysts and investors in evaluating the performance of the business. Non-GAAP financial measures should be considered in addition to, and not as a</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substitute for, measures of financial performance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912"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Forward-Looking Statements</w:t>
      </w:r>
    </w:p>
    <w:p>
      <w:pPr>
        <w:spacing w:after="0" w:line="218" w:lineRule="exact"/>
        <w:rPr>
          <w:sz w:val="20"/>
          <w:szCs w:val="20"/>
          <w:color w:val="auto"/>
        </w:rPr>
      </w:pPr>
    </w:p>
    <w:p>
      <w:pPr>
        <w:ind w:right="660"/>
        <w:spacing w:after="0" w:line="247" w:lineRule="auto"/>
        <w:rPr>
          <w:sz w:val="20"/>
          <w:szCs w:val="20"/>
          <w:color w:val="auto"/>
        </w:rPr>
      </w:pPr>
      <w:r>
        <w:rPr>
          <w:rFonts w:ascii="Arial" w:cs="Arial" w:eastAsia="Arial" w:hAnsi="Arial"/>
          <w:sz w:val="19"/>
          <w:szCs w:val="19"/>
          <w:color w:val="auto"/>
        </w:rPr>
        <w:t>Some statements in this news release are, or may be considered, forward-looking statements for purposes of the Private Securities Litigation Reform Act of 1995. The words "believe," "expect," "anticipate," "project," "estimate," "intend," "plan,"</w:t>
      </w:r>
    </w:p>
    <w:p>
      <w:pPr>
        <w:ind w:right="20"/>
        <w:spacing w:after="0" w:line="229" w:lineRule="auto"/>
        <w:rPr>
          <w:sz w:val="20"/>
          <w:szCs w:val="20"/>
          <w:color w:val="auto"/>
        </w:rPr>
      </w:pPr>
      <w:r>
        <w:rPr>
          <w:rFonts w:ascii="Arial" w:cs="Arial" w:eastAsia="Arial" w:hAnsi="Arial"/>
          <w:sz w:val="19"/>
          <w:szCs w:val="19"/>
          <w:color w:val="auto"/>
        </w:rPr>
        <w:t>"target," "may," "could" and "will," and similar expressions and uses of future or conditional verbs, generally identify forward-looking statements. AbbVie cautions that these forward-looking statements are subject to risks and uncertainties that may cause</w:t>
      </w:r>
    </w:p>
    <w:p>
      <w:pPr>
        <w:spacing w:after="0" w:line="2" w:lineRule="exact"/>
        <w:rPr>
          <w:sz w:val="20"/>
          <w:szCs w:val="20"/>
          <w:color w:val="auto"/>
        </w:rPr>
      </w:pPr>
    </w:p>
    <w:p>
      <w:pPr>
        <w:ind w:right="20"/>
        <w:spacing w:after="0" w:line="237" w:lineRule="auto"/>
        <w:rPr>
          <w:sz w:val="20"/>
          <w:szCs w:val="20"/>
          <w:color w:val="auto"/>
        </w:rPr>
      </w:pPr>
      <w:r>
        <w:rPr>
          <w:rFonts w:ascii="Arial" w:cs="Arial" w:eastAsia="Arial" w:hAnsi="Arial"/>
          <w:sz w:val="19"/>
          <w:szCs w:val="19"/>
          <w:color w:val="auto"/>
        </w:rPr>
        <w:t>actual results to differ materially from those expressed or implied in the forward-looking statements. Such risks and uncertainties include, but are not limited to, challenges to intellectual property, competition from other products, difficulties inherent in the</w:t>
      </w:r>
    </w:p>
    <w:p>
      <w:pPr>
        <w:ind w:right="60"/>
        <w:spacing w:after="0" w:line="229" w:lineRule="auto"/>
        <w:rPr>
          <w:sz w:val="20"/>
          <w:szCs w:val="20"/>
          <w:color w:val="auto"/>
        </w:rPr>
      </w:pPr>
      <w:r>
        <w:rPr>
          <w:rFonts w:ascii="Arial" w:cs="Arial" w:eastAsia="Arial" w:hAnsi="Arial"/>
          <w:sz w:val="19"/>
          <w:szCs w:val="19"/>
          <w:color w:val="auto"/>
        </w:rPr>
        <w:t>research and development process, adverse litigation or government action, changes to laws and regulations applicable to our industry, drug pricing reform and government pricing programs, risks related to the use of artificial intelligence or other emerging</w:t>
      </w:r>
    </w:p>
    <w:p>
      <w:pPr>
        <w:spacing w:after="0" w:line="227" w:lineRule="auto"/>
        <w:rPr>
          <w:sz w:val="20"/>
          <w:szCs w:val="20"/>
          <w:color w:val="auto"/>
        </w:rPr>
      </w:pPr>
      <w:r>
        <w:rPr>
          <w:rFonts w:ascii="Arial" w:cs="Arial" w:eastAsia="Arial" w:hAnsi="Arial"/>
          <w:sz w:val="20"/>
          <w:szCs w:val="20"/>
          <w:color w:val="auto"/>
        </w:rPr>
        <w:t>technologies, and the impact of global macroeconomic factors, such as economic downturns or uncertainty, international</w:t>
      </w:r>
    </w:p>
    <w:p>
      <w:pPr>
        <w:ind w:right="20"/>
        <w:spacing w:after="0" w:line="229" w:lineRule="auto"/>
        <w:rPr>
          <w:sz w:val="20"/>
          <w:szCs w:val="20"/>
          <w:color w:val="auto"/>
        </w:rPr>
      </w:pPr>
      <w:r>
        <w:rPr>
          <w:rFonts w:ascii="Arial" w:cs="Arial" w:eastAsia="Arial" w:hAnsi="Arial"/>
          <w:sz w:val="19"/>
          <w:szCs w:val="19"/>
          <w:color w:val="auto"/>
        </w:rPr>
        <w:t>conflict, trade disputes, tariffs and changes in U.S. and international trade policies, and other uncertainties and risks associated with global business operations. Investors are cautioned not to place undue reliance on these forward-looking statements, which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speak only as of the date made.</w:t>
      </w:r>
    </w:p>
    <w:p>
      <w:pPr>
        <w:spacing w:after="0" w:line="211" w:lineRule="exact"/>
        <w:rPr>
          <w:sz w:val="20"/>
          <w:szCs w:val="20"/>
          <w:color w:val="auto"/>
        </w:rPr>
      </w:pPr>
    </w:p>
    <w:p>
      <w:pPr>
        <w:ind w:right="100"/>
        <w:spacing w:after="0" w:line="239" w:lineRule="auto"/>
        <w:rPr>
          <w:sz w:val="20"/>
          <w:szCs w:val="20"/>
          <w:color w:val="auto"/>
        </w:rPr>
      </w:pPr>
      <w:r>
        <w:rPr>
          <w:rFonts w:ascii="Arial" w:cs="Arial" w:eastAsia="Arial" w:hAnsi="Arial"/>
          <w:sz w:val="19"/>
          <w:szCs w:val="19"/>
          <w:color w:val="auto"/>
        </w:rPr>
        <w:t>Additional information about the economic, competitive, governmental, technological and other factors that may affect AbbVie's operations is set forth in Item 1A, "Risk Factors," of AbbVie's most recently filed Annual Report on Form 10-K, as updated by its</w:t>
      </w:r>
    </w:p>
    <w:p>
      <w:pPr>
        <w:spacing w:after="0" w:line="226" w:lineRule="auto"/>
        <w:rPr>
          <w:sz w:val="20"/>
          <w:szCs w:val="20"/>
          <w:color w:val="auto"/>
        </w:rPr>
      </w:pPr>
      <w:r>
        <w:rPr>
          <w:rFonts w:ascii="Arial" w:cs="Arial" w:eastAsia="Arial" w:hAnsi="Arial"/>
          <w:sz w:val="20"/>
          <w:szCs w:val="20"/>
          <w:color w:val="auto"/>
        </w:rPr>
        <w:t>Quarterly Reports on Form 10-Q, Current Reports on Form 8-K and in other documents AbbVie subsequently files with the</w:t>
      </w:r>
    </w:p>
    <w:p>
      <w:pPr>
        <w:spacing w:after="0" w:line="1" w:lineRule="exact"/>
        <w:rPr>
          <w:sz w:val="20"/>
          <w:szCs w:val="20"/>
          <w:color w:val="auto"/>
        </w:rPr>
      </w:pPr>
    </w:p>
    <w:p>
      <w:pPr>
        <w:ind w:right="340"/>
        <w:spacing w:after="0" w:line="229" w:lineRule="auto"/>
        <w:rPr>
          <w:sz w:val="20"/>
          <w:szCs w:val="20"/>
          <w:color w:val="auto"/>
        </w:rPr>
      </w:pPr>
      <w:r>
        <w:rPr>
          <w:rFonts w:ascii="Arial" w:cs="Arial" w:eastAsia="Arial" w:hAnsi="Arial"/>
          <w:sz w:val="19"/>
          <w:szCs w:val="19"/>
          <w:color w:val="auto"/>
        </w:rPr>
        <w:t>Securities and Exchange Commission that update, supplement or supersede such information. AbbVie undertakes no obligation, and specifically declines, to release publicly any revisions to forward-looking statements as a result of subsequent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events or developments, except as required by law.</w:t>
      </w:r>
    </w:p>
    <w:p>
      <w:pPr>
        <w:spacing w:after="0" w:line="200" w:lineRule="exact"/>
        <w:rPr>
          <w:sz w:val="20"/>
          <w:szCs w:val="20"/>
          <w:color w:val="auto"/>
        </w:rPr>
      </w:pP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2760" w:type="dxa"/>
            <w:vAlign w:val="bottom"/>
          </w:tcPr>
          <w:p>
            <w:pPr>
              <w:spacing w:after="0"/>
              <w:rPr>
                <w:sz w:val="20"/>
                <w:szCs w:val="20"/>
                <w:color w:val="auto"/>
              </w:rPr>
            </w:pPr>
            <w:r>
              <w:rPr>
                <w:rFonts w:ascii="Arial" w:cs="Arial" w:eastAsia="Arial" w:hAnsi="Arial"/>
                <w:sz w:val="20"/>
                <w:szCs w:val="20"/>
                <w:b w:val="1"/>
                <w:bCs w:val="1"/>
                <w:color w:val="auto"/>
              </w:rPr>
              <w:t>Media:</w:t>
            </w:r>
          </w:p>
        </w:tc>
        <w:tc>
          <w:tcPr>
            <w:tcW w:w="2760" w:type="dxa"/>
            <w:vAlign w:val="bottom"/>
            <w:gridSpan w:val="2"/>
          </w:tcPr>
          <w:p>
            <w:pPr>
              <w:ind w:left="1400"/>
              <w:spacing w:after="0"/>
              <w:rPr>
                <w:sz w:val="20"/>
                <w:szCs w:val="20"/>
                <w:color w:val="auto"/>
              </w:rPr>
            </w:pPr>
            <w:r>
              <w:rPr>
                <w:rFonts w:ascii="Arial" w:cs="Arial" w:eastAsia="Arial" w:hAnsi="Arial"/>
                <w:sz w:val="20"/>
                <w:szCs w:val="20"/>
                <w:b w:val="1"/>
                <w:bCs w:val="1"/>
                <w:color w:val="auto"/>
              </w:rPr>
              <w:t>Investors:</w:t>
            </w:r>
          </w:p>
        </w:tc>
      </w:tr>
      <w:tr>
        <w:trPr>
          <w:trHeight w:val="257"/>
        </w:trPr>
        <w:tc>
          <w:tcPr>
            <w:tcW w:w="2760" w:type="dxa"/>
            <w:vAlign w:val="bottom"/>
          </w:tcPr>
          <w:p>
            <w:pPr>
              <w:spacing w:after="0"/>
              <w:rPr>
                <w:sz w:val="20"/>
                <w:szCs w:val="20"/>
                <w:color w:val="auto"/>
              </w:rPr>
            </w:pPr>
            <w:r>
              <w:rPr>
                <w:rFonts w:ascii="Arial" w:cs="Arial" w:eastAsia="Arial" w:hAnsi="Arial"/>
                <w:sz w:val="20"/>
                <w:szCs w:val="20"/>
                <w:color w:val="auto"/>
              </w:rPr>
              <w:t>Cat Langel</w:t>
            </w:r>
          </w:p>
        </w:tc>
        <w:tc>
          <w:tcPr>
            <w:tcW w:w="2760" w:type="dxa"/>
            <w:vAlign w:val="bottom"/>
            <w:gridSpan w:val="2"/>
          </w:tcPr>
          <w:p>
            <w:pPr>
              <w:ind w:left="1400"/>
              <w:spacing w:after="0"/>
              <w:rPr>
                <w:sz w:val="20"/>
                <w:szCs w:val="20"/>
                <w:color w:val="auto"/>
              </w:rPr>
            </w:pPr>
            <w:r>
              <w:rPr>
                <w:rFonts w:ascii="Arial" w:cs="Arial" w:eastAsia="Arial" w:hAnsi="Arial"/>
                <w:sz w:val="20"/>
                <w:szCs w:val="20"/>
                <w:color w:val="auto"/>
              </w:rPr>
              <w:t>Liz Shea</w:t>
            </w:r>
          </w:p>
        </w:tc>
      </w:tr>
      <w:tr>
        <w:trPr>
          <w:trHeight w:val="261"/>
        </w:trPr>
        <w:tc>
          <w:tcPr>
            <w:tcW w:w="2760" w:type="dxa"/>
            <w:vAlign w:val="bottom"/>
          </w:tcPr>
          <w:p>
            <w:pPr>
              <w:spacing w:after="0"/>
              <w:rPr>
                <w:sz w:val="20"/>
                <w:szCs w:val="20"/>
                <w:color w:val="auto"/>
              </w:rPr>
            </w:pPr>
            <w:r>
              <w:rPr>
                <w:rFonts w:ascii="Arial" w:cs="Arial" w:eastAsia="Arial" w:hAnsi="Arial"/>
                <w:sz w:val="20"/>
                <w:szCs w:val="20"/>
                <w:color w:val="auto"/>
              </w:rPr>
              <w:t>(708) 508-3524</w:t>
            </w:r>
          </w:p>
        </w:tc>
        <w:tc>
          <w:tcPr>
            <w:tcW w:w="1900" w:type="dxa"/>
            <w:vAlign w:val="bottom"/>
          </w:tcPr>
          <w:p>
            <w:pPr>
              <w:ind w:left="1400"/>
              <w:spacing w:after="0"/>
              <w:rPr>
                <w:sz w:val="20"/>
                <w:szCs w:val="20"/>
                <w:color w:val="auto"/>
              </w:rPr>
            </w:pPr>
            <w:r>
              <w:rPr>
                <w:rFonts w:ascii="Arial" w:cs="Arial" w:eastAsia="Arial" w:hAnsi="Arial"/>
                <w:sz w:val="20"/>
                <w:szCs w:val="20"/>
                <w:color w:val="auto"/>
              </w:rPr>
              <w:t>(847)</w:t>
            </w:r>
          </w:p>
        </w:tc>
        <w:tc>
          <w:tcPr>
            <w:tcW w:w="860" w:type="dxa"/>
            <w:vAlign w:val="bottom"/>
          </w:tcPr>
          <w:p>
            <w:pPr>
              <w:ind w:left="20"/>
              <w:spacing w:after="0"/>
              <w:rPr>
                <w:sz w:val="20"/>
                <w:szCs w:val="20"/>
                <w:color w:val="auto"/>
              </w:rPr>
            </w:pPr>
            <w:r>
              <w:rPr>
                <w:rFonts w:ascii="Arial" w:cs="Arial" w:eastAsia="Arial" w:hAnsi="Arial"/>
                <w:sz w:val="20"/>
                <w:szCs w:val="20"/>
                <w:color w:val="auto"/>
                <w:w w:val="96"/>
              </w:rPr>
              <w:t>935-2211</w:t>
            </w:r>
          </w:p>
        </w:tc>
      </w:tr>
      <w:tr>
        <w:trPr>
          <w:trHeight w:val="306"/>
        </w:trPr>
        <w:tc>
          <w:tcPr>
            <w:tcW w:w="2760" w:type="dxa"/>
            <w:vAlign w:val="bottom"/>
          </w:tcPr>
          <w:p>
            <w:pPr>
              <w:spacing w:after="0"/>
              <w:rPr>
                <w:sz w:val="24"/>
                <w:szCs w:val="24"/>
                <w:color w:val="auto"/>
              </w:rPr>
            </w:pPr>
          </w:p>
        </w:tc>
        <w:tc>
          <w:tcPr>
            <w:tcW w:w="2760" w:type="dxa"/>
            <w:vAlign w:val="bottom"/>
            <w:gridSpan w:val="2"/>
          </w:tcPr>
          <w:p>
            <w:pPr>
              <w:ind w:left="1400"/>
              <w:spacing w:after="0"/>
              <w:rPr>
                <w:sz w:val="20"/>
                <w:szCs w:val="20"/>
                <w:color w:val="auto"/>
              </w:rPr>
            </w:pPr>
            <w:r>
              <w:rPr>
                <w:rFonts w:ascii="Arial" w:cs="Arial" w:eastAsia="Arial" w:hAnsi="Arial"/>
                <w:sz w:val="20"/>
                <w:szCs w:val="20"/>
                <w:color w:val="auto"/>
              </w:rPr>
              <w:t>Todd Bosse</w:t>
            </w:r>
          </w:p>
        </w:tc>
      </w:tr>
      <w:tr>
        <w:trPr>
          <w:trHeight w:val="261"/>
        </w:trPr>
        <w:tc>
          <w:tcPr>
            <w:tcW w:w="2760" w:type="dxa"/>
            <w:vAlign w:val="bottom"/>
          </w:tcPr>
          <w:p>
            <w:pPr>
              <w:spacing w:after="0"/>
              <w:rPr>
                <w:sz w:val="22"/>
                <w:szCs w:val="22"/>
                <w:color w:val="auto"/>
              </w:rPr>
            </w:pPr>
          </w:p>
        </w:tc>
        <w:tc>
          <w:tcPr>
            <w:tcW w:w="1900" w:type="dxa"/>
            <w:vAlign w:val="bottom"/>
          </w:tcPr>
          <w:p>
            <w:pPr>
              <w:ind w:left="1400"/>
              <w:spacing w:after="0"/>
              <w:rPr>
                <w:sz w:val="20"/>
                <w:szCs w:val="20"/>
                <w:color w:val="auto"/>
              </w:rPr>
            </w:pPr>
            <w:r>
              <w:rPr>
                <w:rFonts w:ascii="Arial" w:cs="Arial" w:eastAsia="Arial" w:hAnsi="Arial"/>
                <w:sz w:val="20"/>
                <w:szCs w:val="20"/>
                <w:color w:val="auto"/>
              </w:rPr>
              <w:t>(847)</w:t>
            </w:r>
          </w:p>
        </w:tc>
        <w:tc>
          <w:tcPr>
            <w:tcW w:w="860" w:type="dxa"/>
            <w:vAlign w:val="bottom"/>
          </w:tcPr>
          <w:p>
            <w:pPr>
              <w:ind w:left="20"/>
              <w:spacing w:after="0"/>
              <w:rPr>
                <w:sz w:val="20"/>
                <w:szCs w:val="20"/>
                <w:color w:val="auto"/>
              </w:rPr>
            </w:pPr>
            <w:r>
              <w:rPr>
                <w:rFonts w:ascii="Arial" w:cs="Arial" w:eastAsia="Arial" w:hAnsi="Arial"/>
                <w:sz w:val="20"/>
                <w:szCs w:val="20"/>
                <w:color w:val="auto"/>
                <w:w w:val="96"/>
              </w:rPr>
              <w:t>936-1182</w:t>
            </w:r>
          </w:p>
        </w:tc>
      </w:tr>
      <w:tr>
        <w:trPr>
          <w:trHeight w:val="306"/>
        </w:trPr>
        <w:tc>
          <w:tcPr>
            <w:tcW w:w="2760" w:type="dxa"/>
            <w:vAlign w:val="bottom"/>
          </w:tcPr>
          <w:p>
            <w:pPr>
              <w:spacing w:after="0"/>
              <w:rPr>
                <w:sz w:val="24"/>
                <w:szCs w:val="24"/>
                <w:color w:val="auto"/>
              </w:rPr>
            </w:pPr>
          </w:p>
        </w:tc>
        <w:tc>
          <w:tcPr>
            <w:tcW w:w="2760" w:type="dxa"/>
            <w:vAlign w:val="bottom"/>
            <w:gridSpan w:val="2"/>
          </w:tcPr>
          <w:p>
            <w:pPr>
              <w:ind w:left="1400"/>
              <w:spacing w:after="0"/>
              <w:rPr>
                <w:sz w:val="20"/>
                <w:szCs w:val="20"/>
                <w:color w:val="auto"/>
              </w:rPr>
            </w:pPr>
            <w:r>
              <w:rPr>
                <w:rFonts w:ascii="Arial" w:cs="Arial" w:eastAsia="Arial" w:hAnsi="Arial"/>
                <w:sz w:val="20"/>
                <w:szCs w:val="20"/>
                <w:color w:val="auto"/>
              </w:rPr>
              <w:t>Jeffrey Byrne</w:t>
            </w:r>
          </w:p>
        </w:tc>
      </w:tr>
      <w:tr>
        <w:trPr>
          <w:trHeight w:val="261"/>
        </w:trPr>
        <w:tc>
          <w:tcPr>
            <w:tcW w:w="2760" w:type="dxa"/>
            <w:vAlign w:val="bottom"/>
          </w:tcPr>
          <w:p>
            <w:pPr>
              <w:spacing w:after="0"/>
              <w:rPr>
                <w:sz w:val="22"/>
                <w:szCs w:val="22"/>
                <w:color w:val="auto"/>
              </w:rPr>
            </w:pPr>
          </w:p>
        </w:tc>
        <w:tc>
          <w:tcPr>
            <w:tcW w:w="1900" w:type="dxa"/>
            <w:vAlign w:val="bottom"/>
          </w:tcPr>
          <w:p>
            <w:pPr>
              <w:ind w:left="1400"/>
              <w:spacing w:after="0"/>
              <w:rPr>
                <w:sz w:val="20"/>
                <w:szCs w:val="20"/>
                <w:color w:val="auto"/>
              </w:rPr>
            </w:pPr>
            <w:r>
              <w:rPr>
                <w:rFonts w:ascii="Arial" w:cs="Arial" w:eastAsia="Arial" w:hAnsi="Arial"/>
                <w:sz w:val="20"/>
                <w:szCs w:val="20"/>
                <w:color w:val="auto"/>
              </w:rPr>
              <w:t>(847)</w:t>
            </w:r>
          </w:p>
        </w:tc>
        <w:tc>
          <w:tcPr>
            <w:tcW w:w="860" w:type="dxa"/>
            <w:vAlign w:val="bottom"/>
          </w:tcPr>
          <w:p>
            <w:pPr>
              <w:ind w:left="20"/>
              <w:spacing w:after="0"/>
              <w:rPr>
                <w:sz w:val="20"/>
                <w:szCs w:val="20"/>
                <w:color w:val="auto"/>
              </w:rPr>
            </w:pPr>
            <w:r>
              <w:rPr>
                <w:rFonts w:ascii="Arial" w:cs="Arial" w:eastAsia="Arial" w:hAnsi="Arial"/>
                <w:sz w:val="20"/>
                <w:szCs w:val="20"/>
                <w:color w:val="auto"/>
                <w:w w:val="96"/>
              </w:rPr>
              <w:t>938-2923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926"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2"/>
          <w:szCs w:val="22"/>
          <w:b w:val="1"/>
          <w:bCs w:val="1"/>
          <w:color w:val="auto"/>
        </w:rPr>
        <w:t>AbbVie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Key Product Revenues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Quarter Ended September 30, 2026</w:t>
      </w:r>
    </w:p>
    <w:p>
      <w:pPr>
        <w:spacing w:after="0" w:line="1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(Unaudited)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8"/>
            <w:vMerge w:val="restart"/>
          </w:tcPr>
          <w:p>
            <w:pPr>
              <w:ind w:left="20"/>
              <w:spacing w:after="0"/>
              <w:rPr>
                <w:sz w:val="20"/>
                <w:szCs w:val="20"/>
                <w:color w:val="auto"/>
              </w:rPr>
            </w:pPr>
            <w:r>
              <w:rPr>
                <w:rFonts w:ascii="Arial" w:cs="Arial" w:eastAsia="Arial" w:hAnsi="Arial"/>
                <w:sz w:val="18"/>
                <w:szCs w:val="18"/>
                <w:b w:val="1"/>
                <w:bCs w:val="1"/>
                <w:color w:val="auto"/>
              </w:rPr>
              <w:t>Net Revenues (in millions)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10"/>
          </w:tcPr>
          <w:p>
            <w:pPr>
              <w:jc w:val="center"/>
              <w:ind w:right="280"/>
              <w:spacing w:after="0"/>
              <w:rPr>
                <w:sz w:val="20"/>
                <w:szCs w:val="20"/>
                <w:color w:val="auto"/>
              </w:rPr>
            </w:pPr>
            <w:r>
              <w:rPr>
                <w:rFonts w:ascii="Arial" w:cs="Arial" w:eastAsia="Arial" w:hAnsi="Arial"/>
                <w:sz w:val="18"/>
                <w:szCs w:val="18"/>
                <w:b w:val="1"/>
                <w:bCs w:val="1"/>
                <w:color w:val="auto"/>
                <w:w w:val="99"/>
              </w:rPr>
              <w:t>% Change vs. 3Q25</w:t>
            </w:r>
          </w:p>
        </w:tc>
        <w:tc>
          <w:tcPr>
            <w:tcW w:w="2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8"/>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Reported</w:t>
            </w: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5"/>
          </w:tcPr>
          <w:p>
            <w:pPr>
              <w:ind w:left="140"/>
              <w:spacing w:after="0" w:line="223" w:lineRule="exact"/>
              <w:rPr>
                <w:sz w:val="20"/>
                <w:szCs w:val="20"/>
                <w:color w:val="auto"/>
              </w:rPr>
            </w:pPr>
            <w:r>
              <w:rPr>
                <w:rFonts w:ascii="Arial" w:cs="Arial" w:eastAsia="Arial" w:hAnsi="Arial"/>
                <w:sz w:val="18"/>
                <w:szCs w:val="18"/>
                <w:b w:val="1"/>
                <w:bCs w:val="1"/>
                <w:color w:val="auto"/>
              </w:rPr>
              <w:t>Operational</w:t>
            </w:r>
            <w:r>
              <w:rPr>
                <w:rFonts w:ascii="Arial" w:cs="Arial" w:eastAsia="Arial" w:hAnsi="Arial"/>
                <w:sz w:val="23"/>
                <w:szCs w:val="23"/>
                <w:b w:val="1"/>
                <w:bCs w:val="1"/>
                <w:color w:val="auto"/>
                <w:vertAlign w:val="superscript"/>
              </w:rPr>
              <w: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U.S.</w:t>
            </w:r>
          </w:p>
        </w:tc>
        <w:tc>
          <w:tcPr>
            <w:tcW w:w="280" w:type="dxa"/>
            <w:vAlign w:val="bottom"/>
          </w:tcPr>
          <w:p>
            <w:pPr>
              <w:spacing w:after="0"/>
              <w:rPr>
                <w:sz w:val="15"/>
                <w:szCs w:val="15"/>
                <w:color w:val="auto"/>
              </w:rPr>
            </w:pPr>
          </w:p>
        </w:tc>
        <w:tc>
          <w:tcPr>
            <w:tcW w:w="6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Int’l.</w:t>
            </w:r>
          </w:p>
        </w:tc>
        <w:tc>
          <w:tcPr>
            <w:tcW w:w="940" w:type="dxa"/>
            <w:vAlign w:val="bottom"/>
            <w:gridSpan w:val="3"/>
          </w:tcPr>
          <w:p>
            <w:pPr>
              <w:ind w:left="300"/>
              <w:spacing w:after="0" w:line="182"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U.S.</w:t>
            </w:r>
          </w:p>
        </w:tc>
        <w:tc>
          <w:tcPr>
            <w:tcW w:w="360" w:type="dxa"/>
            <w:vAlign w:val="bottom"/>
          </w:tcPr>
          <w:p>
            <w:pPr>
              <w:spacing w:after="0"/>
              <w:rPr>
                <w:sz w:val="15"/>
                <w:szCs w:val="15"/>
                <w:color w:val="auto"/>
              </w:rPr>
            </w:pPr>
          </w:p>
        </w:tc>
        <w:tc>
          <w:tcPr>
            <w:tcW w:w="720" w:type="dxa"/>
            <w:vAlign w:val="bottom"/>
            <w:gridSpan w:val="2"/>
          </w:tcPr>
          <w:p>
            <w:pPr>
              <w:jc w:val="center"/>
              <w:ind w:right="360"/>
              <w:spacing w:after="0" w:line="182" w:lineRule="exact"/>
              <w:rPr>
                <w:sz w:val="20"/>
                <w:szCs w:val="20"/>
                <w:color w:val="auto"/>
              </w:rPr>
            </w:pPr>
            <w:r>
              <w:rPr>
                <w:rFonts w:ascii="Arial" w:cs="Arial" w:eastAsia="Arial" w:hAnsi="Arial"/>
                <w:sz w:val="18"/>
                <w:szCs w:val="18"/>
                <w:b w:val="1"/>
                <w:bCs w:val="1"/>
                <w:color w:val="auto"/>
                <w:w w:val="99"/>
              </w:rPr>
              <w:t>Int'l.</w:t>
            </w:r>
          </w:p>
        </w:tc>
        <w:tc>
          <w:tcPr>
            <w:tcW w:w="840" w:type="dxa"/>
            <w:vAlign w:val="bottom"/>
            <w:gridSpan w:val="3"/>
          </w:tcPr>
          <w:p>
            <w:pPr>
              <w:jc w:val="center"/>
              <w:spacing w:after="0" w:line="182" w:lineRule="exact"/>
              <w:rPr>
                <w:sz w:val="20"/>
                <w:szCs w:val="20"/>
                <w:color w:val="auto"/>
              </w:rPr>
            </w:pPr>
            <w:r>
              <w:rPr>
                <w:rFonts w:ascii="Arial" w:cs="Arial" w:eastAsia="Arial" w:hAnsi="Arial"/>
                <w:sz w:val="18"/>
                <w:szCs w:val="18"/>
                <w:b w:val="1"/>
                <w:bCs w:val="1"/>
                <w:color w:val="auto"/>
                <w:w w:val="97"/>
              </w:rPr>
              <w:t>Total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gridSpan w:val="2"/>
          </w:tcPr>
          <w:p>
            <w:pPr>
              <w:jc w:val="center"/>
              <w:ind w:right="300"/>
              <w:spacing w:after="0" w:line="182" w:lineRule="exact"/>
              <w:rPr>
                <w:sz w:val="20"/>
                <w:szCs w:val="20"/>
                <w:color w:val="auto"/>
              </w:rPr>
            </w:pPr>
            <w:r>
              <w:rPr>
                <w:rFonts w:ascii="Arial" w:cs="Arial" w:eastAsia="Arial" w:hAnsi="Arial"/>
                <w:sz w:val="18"/>
                <w:szCs w:val="18"/>
                <w:b w:val="1"/>
                <w:bCs w:val="1"/>
                <w:color w:val="auto"/>
                <w:w w:val="99"/>
              </w:rPr>
              <w:t>Int'l.</w:t>
            </w:r>
          </w:p>
        </w:tc>
        <w:tc>
          <w:tcPr>
            <w:tcW w:w="920" w:type="dxa"/>
            <w:vAlign w:val="bottom"/>
            <w:gridSpan w:val="3"/>
          </w:tcPr>
          <w:p>
            <w:pPr>
              <w:ind w:left="280"/>
              <w:spacing w:after="0" w:line="182"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rPr>
              <w:t>NET REVENUES</w:t>
            </w:r>
          </w:p>
        </w:tc>
        <w:tc>
          <w:tcPr>
            <w:tcW w:w="94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rPr>
              <w:t>$13,333</w:t>
            </w:r>
          </w:p>
        </w:tc>
        <w:tc>
          <w:tcPr>
            <w:tcW w:w="9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rPr>
              <w:t>$4,071</w:t>
            </w:r>
          </w:p>
        </w:tc>
        <w:tc>
          <w:tcPr>
            <w:tcW w:w="9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8"/>
              </w:rPr>
              <w:t>$17,404</w:t>
            </w:r>
          </w:p>
        </w:tc>
        <w:tc>
          <w:tcPr>
            <w:tcW w:w="20" w:type="dxa"/>
            <w:vAlign w:val="bottom"/>
          </w:tcPr>
          <w:p>
            <w:pPr>
              <w:spacing w:after="0" w:line="20" w:lineRule="exact"/>
              <w:rPr>
                <w:sz w:val="1"/>
                <w:szCs w:val="1"/>
                <w:color w:val="auto"/>
              </w:rPr>
            </w:pPr>
          </w:p>
        </w:tc>
        <w:tc>
          <w:tcPr>
            <w:tcW w:w="920" w:type="dxa"/>
            <w:vAlign w:val="bottom"/>
            <w:gridSpan w:val="4"/>
            <w:vMerge w:val="restart"/>
          </w:tcPr>
          <w:p>
            <w:pPr>
              <w:jc w:val="center"/>
              <w:ind w:left="10"/>
              <w:spacing w:after="0"/>
              <w:rPr>
                <w:sz w:val="20"/>
                <w:szCs w:val="20"/>
                <w:color w:val="auto"/>
              </w:rPr>
            </w:pPr>
            <w:r>
              <w:rPr>
                <w:rFonts w:ascii="Arial" w:cs="Arial" w:eastAsia="Arial" w:hAnsi="Arial"/>
                <w:sz w:val="18"/>
                <w:szCs w:val="18"/>
                <w:b w:val="1"/>
                <w:bCs w:val="1"/>
                <w:color w:val="auto"/>
                <w:w w:val="97"/>
              </w:rPr>
              <w:t>10.5%</w:t>
            </w:r>
          </w:p>
        </w:tc>
        <w:tc>
          <w:tcPr>
            <w:tcW w:w="108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rPr>
              <w:t>9.8%</w:t>
            </w:r>
          </w:p>
        </w:tc>
        <w:tc>
          <w:tcPr>
            <w:tcW w:w="8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rPr>
              <w:t>10.3%</w:t>
            </w:r>
          </w:p>
        </w:tc>
        <w:tc>
          <w:tcPr>
            <w:tcW w:w="20" w:type="dxa"/>
            <w:vAlign w:val="bottom"/>
          </w:tcPr>
          <w:p>
            <w:pPr>
              <w:spacing w:after="0" w:line="20" w:lineRule="exact"/>
              <w:rPr>
                <w:sz w:val="1"/>
                <w:szCs w:val="1"/>
                <w:color w:val="auto"/>
              </w:rPr>
            </w:pPr>
          </w:p>
        </w:tc>
        <w:tc>
          <w:tcPr>
            <w:tcW w:w="100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rPr>
              <w:t>10.6%</w:t>
            </w:r>
          </w:p>
        </w:tc>
        <w:tc>
          <w:tcPr>
            <w:tcW w:w="9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7"/>
              </w:rPr>
              <w:t>10.5%</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620" w:type="dxa"/>
            <w:vAlign w:val="bottom"/>
            <w:vMerge w:val="continue"/>
          </w:tcPr>
          <w:p>
            <w:pPr>
              <w:spacing w:after="0"/>
              <w:rPr>
                <w:sz w:val="21"/>
                <w:szCs w:val="21"/>
                <w:color w:val="auto"/>
              </w:rPr>
            </w:pPr>
          </w:p>
        </w:tc>
        <w:tc>
          <w:tcPr>
            <w:tcW w:w="940" w:type="dxa"/>
            <w:vAlign w:val="bottom"/>
            <w:gridSpan w:val="3"/>
            <w:vMerge w:val="continue"/>
          </w:tcPr>
          <w:p>
            <w:pPr>
              <w:spacing w:after="0"/>
              <w:rPr>
                <w:sz w:val="21"/>
                <w:szCs w:val="21"/>
                <w:color w:val="auto"/>
              </w:rPr>
            </w:pPr>
          </w:p>
        </w:tc>
        <w:tc>
          <w:tcPr>
            <w:tcW w:w="920" w:type="dxa"/>
            <w:vAlign w:val="bottom"/>
            <w:gridSpan w:val="3"/>
            <w:vMerge w:val="continue"/>
          </w:tcPr>
          <w:p>
            <w:pPr>
              <w:spacing w:after="0"/>
              <w:rPr>
                <w:sz w:val="21"/>
                <w:szCs w:val="21"/>
                <w:color w:val="auto"/>
              </w:rPr>
            </w:pPr>
          </w:p>
        </w:tc>
        <w:tc>
          <w:tcPr>
            <w:tcW w:w="940" w:type="dxa"/>
            <w:vAlign w:val="bottom"/>
            <w:gridSpan w:val="3"/>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920" w:type="dxa"/>
            <w:vAlign w:val="bottom"/>
            <w:gridSpan w:val="4"/>
            <w:vMerge w:val="continue"/>
          </w:tcPr>
          <w:p>
            <w:pPr>
              <w:spacing w:after="0"/>
              <w:rPr>
                <w:sz w:val="21"/>
                <w:szCs w:val="21"/>
                <w:color w:val="auto"/>
              </w:rPr>
            </w:pPr>
          </w:p>
        </w:tc>
        <w:tc>
          <w:tcPr>
            <w:tcW w:w="1080" w:type="dxa"/>
            <w:vAlign w:val="bottom"/>
            <w:gridSpan w:val="3"/>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000" w:type="dxa"/>
            <w:vAlign w:val="bottom"/>
            <w:gridSpan w:val="4"/>
            <w:vMerge w:val="continue"/>
          </w:tcPr>
          <w:p>
            <w:pPr>
              <w:spacing w:after="0"/>
              <w:rPr>
                <w:sz w:val="21"/>
                <w:szCs w:val="21"/>
                <w:color w:val="auto"/>
              </w:rPr>
            </w:pPr>
          </w:p>
        </w:tc>
        <w:tc>
          <w:tcPr>
            <w:tcW w:w="920" w:type="dxa"/>
            <w:vAlign w:val="bottom"/>
            <w:gridSpan w:val="3"/>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3620" w:type="dxa"/>
            <w:vAlign w:val="bottom"/>
          </w:tcPr>
          <w:p>
            <w:pPr>
              <w:spacing w:after="0"/>
              <w:rPr>
                <w:sz w:val="20"/>
                <w:szCs w:val="20"/>
                <w:color w:val="auto"/>
              </w:rPr>
            </w:pPr>
            <w:r>
              <w:rPr>
                <w:rFonts w:ascii="Arial" w:cs="Arial" w:eastAsia="Arial" w:hAnsi="Arial"/>
                <w:sz w:val="18"/>
                <w:szCs w:val="18"/>
                <w:b w:val="1"/>
                <w:bCs w:val="1"/>
                <w:color w:val="auto"/>
              </w:rPr>
              <w:t>Immunology</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7,315</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1,850</w:t>
            </w:r>
          </w:p>
        </w:tc>
        <w:tc>
          <w:tcPr>
            <w:tcW w:w="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9,165</w:t>
            </w: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6"/>
              </w:rPr>
              <w:t>16.8</w:t>
            </w:r>
          </w:p>
        </w:tc>
        <w:tc>
          <w:tcPr>
            <w:tcW w:w="72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6"/>
              </w:rPr>
              <w:t>14.1</w:t>
            </w:r>
          </w:p>
        </w:tc>
        <w:tc>
          <w:tcPr>
            <w:tcW w:w="360" w:type="dxa"/>
            <w:vAlign w:val="bottom"/>
          </w:tcPr>
          <w:p>
            <w:pPr>
              <w:spacing w:after="0"/>
              <w:rPr>
                <w:sz w:val="23"/>
                <w:szCs w:val="23"/>
                <w:color w:val="auto"/>
              </w:rPr>
            </w:pPr>
          </w:p>
        </w:tc>
        <w:tc>
          <w:tcPr>
            <w:tcW w:w="6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rPr>
              <w:t>16.3</w:t>
            </w:r>
          </w:p>
        </w:tc>
        <w:tc>
          <w:tcPr>
            <w:tcW w:w="2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rPr>
              <w:t>15.6</w:t>
            </w:r>
          </w:p>
        </w:tc>
        <w:tc>
          <w:tcPr>
            <w:tcW w:w="300" w:type="dxa"/>
            <w:vAlign w:val="bottom"/>
          </w:tcPr>
          <w:p>
            <w:pPr>
              <w:spacing w:after="0"/>
              <w:rPr>
                <w:sz w:val="23"/>
                <w:szCs w:val="23"/>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6"/>
              </w:rPr>
              <w:t>16.6</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0"/>
              <w:spacing w:after="0"/>
              <w:rPr>
                <w:sz w:val="20"/>
                <w:szCs w:val="20"/>
                <w:color w:val="auto"/>
              </w:rPr>
            </w:pPr>
            <w:r>
              <w:rPr>
                <w:rFonts w:ascii="Arial" w:cs="Arial" w:eastAsia="Arial" w:hAnsi="Arial"/>
                <w:sz w:val="18"/>
                <w:szCs w:val="18"/>
                <w:color w:val="auto"/>
              </w:rPr>
              <w:t>Skyrizi</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rPr>
              <w:t>5,019</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757</w:t>
            </w:r>
          </w:p>
        </w:tc>
        <w:tc>
          <w:tcPr>
            <w:tcW w:w="280" w:type="dxa"/>
            <w:vAlign w:val="bottom"/>
          </w:tcPr>
          <w:p>
            <w:pPr>
              <w:spacing w:after="0"/>
              <w:rPr>
                <w:sz w:val="19"/>
                <w:szCs w:val="19"/>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7"/>
              </w:rPr>
              <w:t>5,776</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6"/>
              </w:rPr>
              <w:t>22.9</w:t>
            </w:r>
          </w:p>
        </w:tc>
        <w:tc>
          <w:tcPr>
            <w:tcW w:w="720" w:type="dxa"/>
            <w:vAlign w:val="bottom"/>
            <w:gridSpan w:val="2"/>
          </w:tcPr>
          <w:p>
            <w:pPr>
              <w:jc w:val="center"/>
              <w:ind w:left="290"/>
              <w:spacing w:after="0"/>
              <w:rPr>
                <w:sz w:val="20"/>
                <w:szCs w:val="20"/>
                <w:color w:val="auto"/>
              </w:rPr>
            </w:pPr>
            <w:r>
              <w:rPr>
                <w:rFonts w:ascii="Arial" w:cs="Arial" w:eastAsia="Arial" w:hAnsi="Arial"/>
                <w:sz w:val="18"/>
                <w:szCs w:val="18"/>
                <w:color w:val="auto"/>
                <w:w w:val="96"/>
              </w:rPr>
              <w:t>21.6</w:t>
            </w:r>
          </w:p>
        </w:tc>
        <w:tc>
          <w:tcPr>
            <w:tcW w:w="360" w:type="dxa"/>
            <w:vAlign w:val="bottom"/>
          </w:tcPr>
          <w:p>
            <w:pPr>
              <w:spacing w:after="0"/>
              <w:rPr>
                <w:sz w:val="19"/>
                <w:szCs w:val="19"/>
                <w:color w:val="auto"/>
              </w:rPr>
            </w:pPr>
          </w:p>
        </w:tc>
        <w:tc>
          <w:tcPr>
            <w:tcW w:w="640" w:type="dxa"/>
            <w:vAlign w:val="bottom"/>
            <w:gridSpan w:val="2"/>
          </w:tcPr>
          <w:p>
            <w:pPr>
              <w:jc w:val="center"/>
              <w:ind w:left="110"/>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6"/>
              </w:rPr>
              <w:t>22.9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0"/>
              <w:spacing w:after="0"/>
              <w:rPr>
                <w:sz w:val="20"/>
                <w:szCs w:val="20"/>
                <w:color w:val="auto"/>
              </w:rPr>
            </w:pPr>
            <w:r>
              <w:rPr>
                <w:rFonts w:ascii="Arial" w:cs="Arial" w:eastAsia="Arial" w:hAnsi="Arial"/>
                <w:sz w:val="18"/>
                <w:szCs w:val="18"/>
                <w:color w:val="auto"/>
              </w:rPr>
              <w:t>Rinvoq</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rPr>
              <w:t>1,924</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782</w:t>
            </w:r>
          </w:p>
        </w:tc>
        <w:tc>
          <w:tcPr>
            <w:tcW w:w="280" w:type="dxa"/>
            <w:vAlign w:val="bottom"/>
          </w:tcPr>
          <w:p>
            <w:pPr>
              <w:spacing w:after="0"/>
              <w:rPr>
                <w:sz w:val="19"/>
                <w:szCs w:val="19"/>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7"/>
              </w:rPr>
              <w:t>2,706</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6"/>
              </w:rPr>
              <w:t>23.4</w:t>
            </w:r>
          </w:p>
        </w:tc>
        <w:tc>
          <w:tcPr>
            <w:tcW w:w="720" w:type="dxa"/>
            <w:vAlign w:val="bottom"/>
            <w:gridSpan w:val="2"/>
          </w:tcPr>
          <w:p>
            <w:pPr>
              <w:jc w:val="center"/>
              <w:ind w:left="290"/>
              <w:spacing w:after="0"/>
              <w:rPr>
                <w:sz w:val="20"/>
                <w:szCs w:val="20"/>
                <w:color w:val="auto"/>
              </w:rPr>
            </w:pPr>
            <w:r>
              <w:rPr>
                <w:rFonts w:ascii="Arial" w:cs="Arial" w:eastAsia="Arial" w:hAnsi="Arial"/>
                <w:sz w:val="18"/>
                <w:szCs w:val="18"/>
                <w:color w:val="auto"/>
                <w:w w:val="96"/>
              </w:rPr>
              <w:t>25.1</w:t>
            </w:r>
          </w:p>
        </w:tc>
        <w:tc>
          <w:tcPr>
            <w:tcW w:w="360" w:type="dxa"/>
            <w:vAlign w:val="bottom"/>
          </w:tcPr>
          <w:p>
            <w:pPr>
              <w:spacing w:after="0"/>
              <w:rPr>
                <w:sz w:val="19"/>
                <w:szCs w:val="19"/>
                <w:color w:val="auto"/>
              </w:rPr>
            </w:pPr>
          </w:p>
        </w:tc>
        <w:tc>
          <w:tcPr>
            <w:tcW w:w="640" w:type="dxa"/>
            <w:vAlign w:val="bottom"/>
            <w:gridSpan w:val="2"/>
          </w:tcPr>
          <w:p>
            <w:pPr>
              <w:jc w:val="center"/>
              <w:ind w:left="110"/>
              <w:spacing w:after="0"/>
              <w:rPr>
                <w:sz w:val="20"/>
                <w:szCs w:val="20"/>
                <w:color w:val="auto"/>
              </w:rPr>
            </w:pPr>
            <w:r>
              <w:rPr>
                <w:rFonts w:ascii="Arial" w:cs="Arial" w:eastAsia="Arial" w:hAnsi="Arial"/>
                <w:sz w:val="18"/>
                <w:szCs w:val="18"/>
                <w:color w:val="auto"/>
              </w:rPr>
              <w:t>23.9</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26.4</w:t>
            </w:r>
          </w:p>
        </w:tc>
        <w:tc>
          <w:tcPr>
            <w:tcW w:w="30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6"/>
              </w:rPr>
              <w:t>24.3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20" w:type="dxa"/>
            <w:vAlign w:val="bottom"/>
          </w:tcPr>
          <w:p>
            <w:pPr>
              <w:ind w:left="200"/>
              <w:spacing w:after="0"/>
              <w:rPr>
                <w:sz w:val="20"/>
                <w:szCs w:val="20"/>
                <w:color w:val="auto"/>
              </w:rPr>
            </w:pPr>
            <w:r>
              <w:rPr>
                <w:rFonts w:ascii="Arial" w:cs="Arial" w:eastAsia="Arial" w:hAnsi="Arial"/>
                <w:sz w:val="18"/>
                <w:szCs w:val="18"/>
                <w:color w:val="auto"/>
              </w:rPr>
              <w:t>Humira</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372</w:t>
            </w:r>
          </w:p>
        </w:tc>
        <w:tc>
          <w:tcPr>
            <w:tcW w:w="340" w:type="dxa"/>
            <w:vAlign w:val="bottom"/>
          </w:tcPr>
          <w:p>
            <w:pPr>
              <w:spacing w:after="0"/>
              <w:rPr>
                <w:sz w:val="20"/>
                <w:szCs w:val="20"/>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311</w:t>
            </w:r>
          </w:p>
        </w:tc>
        <w:tc>
          <w:tcPr>
            <w:tcW w:w="280" w:type="dxa"/>
            <w:vAlign w:val="bottom"/>
          </w:tcPr>
          <w:p>
            <w:pPr>
              <w:spacing w:after="0"/>
              <w:rPr>
                <w:sz w:val="20"/>
                <w:szCs w:val="20"/>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683</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(39.9)</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97"/>
              </w:rPr>
              <w:t>(16.8)</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(31.2)</w:t>
            </w:r>
          </w:p>
        </w:tc>
        <w:tc>
          <w:tcPr>
            <w:tcW w:w="20" w:type="dxa"/>
            <w:vAlign w:val="bottom"/>
            <w:shd w:val="clear" w:color="auto" w:fill="000000"/>
          </w:tcPr>
          <w:p>
            <w:pPr>
              <w:spacing w:after="0"/>
              <w:rPr>
                <w:sz w:val="20"/>
                <w:szCs w:val="20"/>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rPr>
              <w:t>(15.2)</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(30.6)</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620" w:type="dxa"/>
            <w:vAlign w:val="bottom"/>
          </w:tcPr>
          <w:p>
            <w:pPr>
              <w:spacing w:after="0"/>
              <w:rPr>
                <w:sz w:val="20"/>
                <w:szCs w:val="20"/>
                <w:color w:val="auto"/>
              </w:rPr>
            </w:pPr>
            <w:r>
              <w:rPr>
                <w:rFonts w:ascii="Arial" w:cs="Arial" w:eastAsia="Arial" w:hAnsi="Arial"/>
                <w:sz w:val="18"/>
                <w:szCs w:val="18"/>
                <w:b w:val="1"/>
                <w:bCs w:val="1"/>
                <w:color w:val="auto"/>
              </w:rPr>
              <w:t>Neuroscience</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2,939</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450</w:t>
            </w:r>
          </w:p>
        </w:tc>
        <w:tc>
          <w:tcPr>
            <w:tcW w:w="280" w:type="dxa"/>
            <w:vAlign w:val="bottom"/>
          </w:tcPr>
          <w:p>
            <w:pPr>
              <w:spacing w:after="0"/>
              <w:rPr>
                <w:sz w:val="23"/>
                <w:szCs w:val="23"/>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3,389</w:t>
            </w: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6"/>
              </w:rPr>
              <w:t>19.3</w:t>
            </w:r>
          </w:p>
        </w:tc>
        <w:tc>
          <w:tcPr>
            <w:tcW w:w="72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6"/>
              </w:rPr>
              <w:t>20.0</w:t>
            </w:r>
          </w:p>
        </w:tc>
        <w:tc>
          <w:tcPr>
            <w:tcW w:w="360" w:type="dxa"/>
            <w:vAlign w:val="bottom"/>
          </w:tcPr>
          <w:p>
            <w:pPr>
              <w:spacing w:after="0"/>
              <w:rPr>
                <w:sz w:val="23"/>
                <w:szCs w:val="23"/>
                <w:color w:val="auto"/>
              </w:rPr>
            </w:pPr>
          </w:p>
        </w:tc>
        <w:tc>
          <w:tcPr>
            <w:tcW w:w="6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rPr>
              <w:t>19.4</w:t>
            </w:r>
          </w:p>
        </w:tc>
        <w:tc>
          <w:tcPr>
            <w:tcW w:w="2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rPr>
              <w:t>20.7</w:t>
            </w:r>
          </w:p>
        </w:tc>
        <w:tc>
          <w:tcPr>
            <w:tcW w:w="300" w:type="dxa"/>
            <w:vAlign w:val="bottom"/>
          </w:tcPr>
          <w:p>
            <w:pPr>
              <w:spacing w:after="0"/>
              <w:rPr>
                <w:sz w:val="23"/>
                <w:szCs w:val="23"/>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6"/>
              </w:rPr>
              <w:t>19.5</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0"/>
              <w:spacing w:after="0"/>
              <w:rPr>
                <w:sz w:val="20"/>
                <w:szCs w:val="20"/>
                <w:color w:val="auto"/>
              </w:rPr>
            </w:pPr>
            <w:r>
              <w:rPr>
                <w:rFonts w:ascii="Arial" w:cs="Arial" w:eastAsia="Arial" w:hAnsi="Arial"/>
                <w:sz w:val="18"/>
                <w:szCs w:val="18"/>
                <w:color w:val="auto"/>
              </w:rPr>
              <w:t>Vraylar</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rPr>
              <w:t>1,064</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4</w:t>
            </w:r>
          </w:p>
        </w:tc>
        <w:tc>
          <w:tcPr>
            <w:tcW w:w="280" w:type="dxa"/>
            <w:vAlign w:val="bottom"/>
          </w:tcPr>
          <w:p>
            <w:pPr>
              <w:spacing w:after="0"/>
              <w:rPr>
                <w:sz w:val="19"/>
                <w:szCs w:val="19"/>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7"/>
              </w:rPr>
              <w:t>1,068</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6"/>
              </w:rPr>
              <w:t>14.3</w:t>
            </w:r>
          </w:p>
        </w:tc>
        <w:tc>
          <w:tcPr>
            <w:tcW w:w="720" w:type="dxa"/>
            <w:vAlign w:val="bottom"/>
            <w:gridSpan w:val="2"/>
          </w:tcPr>
          <w:p>
            <w:pPr>
              <w:jc w:val="center"/>
              <w:ind w:left="290"/>
              <w:spacing w:after="0"/>
              <w:rPr>
                <w:sz w:val="20"/>
                <w:szCs w:val="20"/>
                <w:color w:val="auto"/>
              </w:rPr>
            </w:pPr>
            <w:r>
              <w:rPr>
                <w:rFonts w:ascii="Arial" w:cs="Arial" w:eastAsia="Arial" w:hAnsi="Arial"/>
                <w:sz w:val="18"/>
                <w:szCs w:val="18"/>
                <w:color w:val="auto"/>
                <w:w w:val="96"/>
              </w:rPr>
              <w:t>43.5</w:t>
            </w:r>
          </w:p>
        </w:tc>
        <w:tc>
          <w:tcPr>
            <w:tcW w:w="360" w:type="dxa"/>
            <w:vAlign w:val="bottom"/>
          </w:tcPr>
          <w:p>
            <w:pPr>
              <w:spacing w:after="0"/>
              <w:rPr>
                <w:sz w:val="19"/>
                <w:szCs w:val="19"/>
                <w:color w:val="auto"/>
              </w:rPr>
            </w:pPr>
          </w:p>
        </w:tc>
        <w:tc>
          <w:tcPr>
            <w:tcW w:w="640" w:type="dxa"/>
            <w:vAlign w:val="bottom"/>
            <w:gridSpan w:val="2"/>
          </w:tcPr>
          <w:p>
            <w:pPr>
              <w:jc w:val="center"/>
              <w:ind w:left="110"/>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46.0</w:t>
            </w:r>
          </w:p>
        </w:tc>
        <w:tc>
          <w:tcPr>
            <w:tcW w:w="30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6"/>
              </w:rPr>
              <w:t>14.3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0"/>
              <w:spacing w:after="0"/>
              <w:rPr>
                <w:sz w:val="20"/>
                <w:szCs w:val="20"/>
                <w:color w:val="auto"/>
              </w:rPr>
            </w:pPr>
            <w:r>
              <w:rPr>
                <w:rFonts w:ascii="Arial" w:cs="Arial" w:eastAsia="Arial" w:hAnsi="Arial"/>
                <w:sz w:val="18"/>
                <w:szCs w:val="18"/>
                <w:color w:val="auto"/>
              </w:rPr>
              <w:t>Botox Therapeutic</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912</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168</w:t>
            </w:r>
          </w:p>
        </w:tc>
        <w:tc>
          <w:tcPr>
            <w:tcW w:w="280" w:type="dxa"/>
            <w:vAlign w:val="bottom"/>
          </w:tcPr>
          <w:p>
            <w:pPr>
              <w:spacing w:after="0"/>
              <w:rPr>
                <w:sz w:val="19"/>
                <w:szCs w:val="19"/>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7"/>
              </w:rPr>
              <w:t>1,080</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6"/>
              </w:rPr>
              <w:t>10.5</w:t>
            </w:r>
          </w:p>
        </w:tc>
        <w:tc>
          <w:tcPr>
            <w:tcW w:w="720" w:type="dxa"/>
            <w:vAlign w:val="bottom"/>
            <w:gridSpan w:val="2"/>
          </w:tcPr>
          <w:p>
            <w:pPr>
              <w:jc w:val="center"/>
              <w:ind w:left="290"/>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19"/>
                <w:szCs w:val="19"/>
                <w:color w:val="auto"/>
              </w:rPr>
            </w:pPr>
          </w:p>
        </w:tc>
        <w:tc>
          <w:tcPr>
            <w:tcW w:w="640" w:type="dxa"/>
            <w:vAlign w:val="bottom"/>
            <w:gridSpan w:val="2"/>
          </w:tcPr>
          <w:p>
            <w:pPr>
              <w:jc w:val="center"/>
              <w:ind w:left="110"/>
              <w:spacing w:after="0"/>
              <w:rPr>
                <w:sz w:val="20"/>
                <w:szCs w:val="20"/>
                <w:color w:val="auto"/>
              </w:rPr>
            </w:pPr>
            <w:r>
              <w:rPr>
                <w:rFonts w:ascii="Arial" w:cs="Arial" w:eastAsia="Arial" w:hAnsi="Arial"/>
                <w:sz w:val="18"/>
                <w:szCs w:val="18"/>
                <w:color w:val="auto"/>
                <w:w w:val="95"/>
              </w:rPr>
              <w:t>9.8</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5.6</w:t>
            </w:r>
          </w:p>
        </w:tc>
        <w:tc>
          <w:tcPr>
            <w:tcW w:w="30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0"/>
              <w:spacing w:after="0"/>
              <w:rPr>
                <w:sz w:val="20"/>
                <w:szCs w:val="20"/>
                <w:color w:val="auto"/>
              </w:rPr>
            </w:pPr>
            <w:r>
              <w:rPr>
                <w:rFonts w:ascii="Arial" w:cs="Arial" w:eastAsia="Arial" w:hAnsi="Arial"/>
                <w:sz w:val="18"/>
                <w:szCs w:val="18"/>
                <w:color w:val="auto"/>
              </w:rPr>
              <w:t>Ubrelvy</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438</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11</w:t>
            </w:r>
          </w:p>
        </w:tc>
        <w:tc>
          <w:tcPr>
            <w:tcW w:w="28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449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6"/>
              </w:rPr>
              <w:t>27.3</w:t>
            </w:r>
          </w:p>
        </w:tc>
        <w:tc>
          <w:tcPr>
            <w:tcW w:w="720" w:type="dxa"/>
            <w:vAlign w:val="bottom"/>
            <w:gridSpan w:val="2"/>
          </w:tcPr>
          <w:p>
            <w:pPr>
              <w:jc w:val="center"/>
              <w:ind w:left="290"/>
              <w:spacing w:after="0"/>
              <w:rPr>
                <w:sz w:val="20"/>
                <w:szCs w:val="20"/>
                <w:color w:val="auto"/>
              </w:rPr>
            </w:pPr>
            <w:r>
              <w:rPr>
                <w:rFonts w:ascii="Arial" w:cs="Arial" w:eastAsia="Arial" w:hAnsi="Arial"/>
                <w:sz w:val="18"/>
                <w:szCs w:val="18"/>
                <w:color w:val="auto"/>
                <w:w w:val="96"/>
              </w:rPr>
              <w:t>13.9</w:t>
            </w:r>
          </w:p>
        </w:tc>
        <w:tc>
          <w:tcPr>
            <w:tcW w:w="360" w:type="dxa"/>
            <w:vAlign w:val="bottom"/>
          </w:tcPr>
          <w:p>
            <w:pPr>
              <w:spacing w:after="0"/>
              <w:rPr>
                <w:sz w:val="19"/>
                <w:szCs w:val="19"/>
                <w:color w:val="auto"/>
              </w:rPr>
            </w:pPr>
          </w:p>
        </w:tc>
        <w:tc>
          <w:tcPr>
            <w:tcW w:w="640" w:type="dxa"/>
            <w:vAlign w:val="bottom"/>
            <w:gridSpan w:val="2"/>
          </w:tcPr>
          <w:p>
            <w:pPr>
              <w:jc w:val="center"/>
              <w:ind w:left="110"/>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6"/>
              </w:rPr>
              <w:t>26.9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0"/>
              <w:spacing w:after="0"/>
              <w:rPr>
                <w:sz w:val="20"/>
                <w:szCs w:val="20"/>
                <w:color w:val="auto"/>
              </w:rPr>
            </w:pPr>
            <w:r>
              <w:rPr>
                <w:rFonts w:ascii="Arial" w:cs="Arial" w:eastAsia="Arial" w:hAnsi="Arial"/>
                <w:sz w:val="18"/>
                <w:szCs w:val="18"/>
                <w:color w:val="auto"/>
              </w:rPr>
              <w:t>Qulipta</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333</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65</w:t>
            </w:r>
          </w:p>
        </w:tc>
        <w:tc>
          <w:tcPr>
            <w:tcW w:w="28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398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6"/>
              </w:rPr>
              <w:t>32.1</w:t>
            </w:r>
          </w:p>
        </w:tc>
        <w:tc>
          <w:tcPr>
            <w:tcW w:w="720" w:type="dxa"/>
            <w:vAlign w:val="bottom"/>
            <w:gridSpan w:val="2"/>
          </w:tcPr>
          <w:p>
            <w:pPr>
              <w:jc w:val="center"/>
              <w:ind w:left="290"/>
              <w:spacing w:after="0"/>
              <w:rPr>
                <w:sz w:val="20"/>
                <w:szCs w:val="20"/>
                <w:color w:val="auto"/>
              </w:rPr>
            </w:pPr>
            <w:r>
              <w:rPr>
                <w:rFonts w:ascii="Arial" w:cs="Arial" w:eastAsia="Arial" w:hAnsi="Arial"/>
                <w:sz w:val="18"/>
                <w:szCs w:val="18"/>
                <w:color w:val="auto"/>
                <w:w w:val="96"/>
              </w:rPr>
              <w:t>80.2</w:t>
            </w:r>
          </w:p>
        </w:tc>
        <w:tc>
          <w:tcPr>
            <w:tcW w:w="360" w:type="dxa"/>
            <w:vAlign w:val="bottom"/>
          </w:tcPr>
          <w:p>
            <w:pPr>
              <w:spacing w:after="0"/>
              <w:rPr>
                <w:sz w:val="19"/>
                <w:szCs w:val="19"/>
                <w:color w:val="auto"/>
              </w:rPr>
            </w:pPr>
          </w:p>
        </w:tc>
        <w:tc>
          <w:tcPr>
            <w:tcW w:w="640" w:type="dxa"/>
            <w:vAlign w:val="bottom"/>
            <w:gridSpan w:val="2"/>
          </w:tcPr>
          <w:p>
            <w:pPr>
              <w:jc w:val="center"/>
              <w:ind w:left="110"/>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82.3</w:t>
            </w:r>
          </w:p>
        </w:tc>
        <w:tc>
          <w:tcPr>
            <w:tcW w:w="30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6"/>
              </w:rPr>
              <w:t>38.5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0"/>
              <w:spacing w:after="0"/>
              <w:rPr>
                <w:sz w:val="20"/>
                <w:szCs w:val="20"/>
                <w:color w:val="auto"/>
              </w:rPr>
            </w:pPr>
            <w:r>
              <w:rPr>
                <w:rFonts w:ascii="Arial" w:cs="Arial" w:eastAsia="Arial" w:hAnsi="Arial"/>
                <w:sz w:val="18"/>
                <w:szCs w:val="18"/>
                <w:color w:val="auto"/>
              </w:rPr>
              <w:t>Vyalev</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154</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132</w:t>
            </w:r>
          </w:p>
        </w:tc>
        <w:tc>
          <w:tcPr>
            <w:tcW w:w="28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286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rPr>
              <w:t>&gt;100.0</w:t>
            </w:r>
          </w:p>
        </w:tc>
        <w:tc>
          <w:tcPr>
            <w:tcW w:w="720" w:type="dxa"/>
            <w:vAlign w:val="bottom"/>
            <w:gridSpan w:val="2"/>
          </w:tcPr>
          <w:p>
            <w:pPr>
              <w:jc w:val="center"/>
              <w:ind w:left="290"/>
              <w:spacing w:after="0"/>
              <w:rPr>
                <w:sz w:val="20"/>
                <w:szCs w:val="20"/>
                <w:color w:val="auto"/>
              </w:rPr>
            </w:pPr>
            <w:r>
              <w:rPr>
                <w:rFonts w:ascii="Arial" w:cs="Arial" w:eastAsia="Arial" w:hAnsi="Arial"/>
                <w:sz w:val="18"/>
                <w:szCs w:val="18"/>
                <w:color w:val="auto"/>
                <w:w w:val="96"/>
              </w:rPr>
              <w:t>55.6</w:t>
            </w:r>
          </w:p>
        </w:tc>
        <w:tc>
          <w:tcPr>
            <w:tcW w:w="360" w:type="dxa"/>
            <w:vAlign w:val="bottom"/>
          </w:tcPr>
          <w:p>
            <w:pPr>
              <w:spacing w:after="0"/>
              <w:rPr>
                <w:sz w:val="19"/>
                <w:szCs w:val="19"/>
                <w:color w:val="auto"/>
              </w:rPr>
            </w:pP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57.2</w:t>
            </w:r>
          </w:p>
        </w:tc>
        <w:tc>
          <w:tcPr>
            <w:tcW w:w="30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&gt;100.0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20" w:type="dxa"/>
            <w:vAlign w:val="bottom"/>
          </w:tcPr>
          <w:p>
            <w:pPr>
              <w:ind w:left="200"/>
              <w:spacing w:after="0"/>
              <w:rPr>
                <w:sz w:val="20"/>
                <w:szCs w:val="20"/>
                <w:color w:val="auto"/>
              </w:rPr>
            </w:pPr>
            <w:r>
              <w:rPr>
                <w:rFonts w:ascii="Arial" w:cs="Arial" w:eastAsia="Arial" w:hAnsi="Arial"/>
                <w:sz w:val="18"/>
                <w:szCs w:val="18"/>
                <w:color w:val="auto"/>
              </w:rPr>
              <w:t>Other Neuroscience</w:t>
            </w:r>
          </w:p>
        </w:tc>
        <w:tc>
          <w:tcPr>
            <w:tcW w:w="6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38</w:t>
            </w:r>
          </w:p>
        </w:tc>
        <w:tc>
          <w:tcPr>
            <w:tcW w:w="340" w:type="dxa"/>
            <w:vAlign w:val="bottom"/>
          </w:tcPr>
          <w:p>
            <w:pPr>
              <w:spacing w:after="0"/>
              <w:rPr>
                <w:sz w:val="20"/>
                <w:szCs w:val="20"/>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70</w:t>
            </w:r>
          </w:p>
        </w:tc>
        <w:tc>
          <w:tcPr>
            <w:tcW w:w="280" w:type="dxa"/>
            <w:vAlign w:val="bottom"/>
          </w:tcPr>
          <w:p>
            <w:pPr>
              <w:spacing w:after="0"/>
              <w:rPr>
                <w:sz w:val="20"/>
                <w:szCs w:val="20"/>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108</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(36.0)</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97"/>
              </w:rPr>
              <w:t>(15.3)</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(23.9)</w:t>
            </w:r>
          </w:p>
        </w:tc>
        <w:tc>
          <w:tcPr>
            <w:tcW w:w="20" w:type="dxa"/>
            <w:vAlign w:val="bottom"/>
            <w:shd w:val="clear" w:color="auto" w:fill="000000"/>
          </w:tcPr>
          <w:p>
            <w:pPr>
              <w:spacing w:after="0"/>
              <w:rPr>
                <w:sz w:val="20"/>
                <w:szCs w:val="20"/>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rPr>
              <w:t>(14.6)</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(23.5)</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620" w:type="dxa"/>
            <w:vAlign w:val="bottom"/>
          </w:tcPr>
          <w:p>
            <w:pPr>
              <w:spacing w:after="0"/>
              <w:rPr>
                <w:sz w:val="20"/>
                <w:szCs w:val="20"/>
                <w:color w:val="auto"/>
              </w:rPr>
            </w:pPr>
            <w:r>
              <w:rPr>
                <w:rFonts w:ascii="Arial" w:cs="Arial" w:eastAsia="Arial" w:hAnsi="Arial"/>
                <w:sz w:val="18"/>
                <w:szCs w:val="18"/>
                <w:b w:val="1"/>
                <w:bCs w:val="1"/>
                <w:color w:val="auto"/>
              </w:rPr>
              <w:t>Oncology</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973</w:t>
            </w:r>
          </w:p>
        </w:tc>
        <w:tc>
          <w:tcPr>
            <w:tcW w:w="340" w:type="dxa"/>
            <w:vAlign w:val="bottom"/>
          </w:tcPr>
          <w:p>
            <w:pPr>
              <w:spacing w:after="0"/>
              <w:rPr>
                <w:sz w:val="23"/>
                <w:szCs w:val="23"/>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723</w:t>
            </w:r>
          </w:p>
        </w:tc>
        <w:tc>
          <w:tcPr>
            <w:tcW w:w="280" w:type="dxa"/>
            <w:vAlign w:val="bottom"/>
          </w:tcPr>
          <w:p>
            <w:pPr>
              <w:spacing w:after="0"/>
              <w:rPr>
                <w:sz w:val="23"/>
                <w:szCs w:val="23"/>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1,696</w:t>
            </w: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rPr>
              <w:t>(5.7)</w:t>
            </w:r>
          </w:p>
        </w:tc>
        <w:tc>
          <w:tcPr>
            <w:tcW w:w="72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6"/>
              </w:rPr>
              <w:t>11.1</w:t>
            </w:r>
          </w:p>
        </w:tc>
        <w:tc>
          <w:tcPr>
            <w:tcW w:w="360" w:type="dxa"/>
            <w:vAlign w:val="bottom"/>
          </w:tcPr>
          <w:p>
            <w:pPr>
              <w:spacing w:after="0"/>
              <w:rPr>
                <w:sz w:val="23"/>
                <w:szCs w:val="23"/>
                <w:color w:val="auto"/>
              </w:rPr>
            </w:pPr>
          </w:p>
        </w:tc>
        <w:tc>
          <w:tcPr>
            <w:tcW w:w="6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5"/>
              </w:rPr>
              <w:t>0.8</w:t>
            </w:r>
          </w:p>
        </w:tc>
        <w:tc>
          <w:tcPr>
            <w:tcW w:w="2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70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6"/>
              </w:rPr>
              <w:t>11.4</w:t>
            </w:r>
          </w:p>
        </w:tc>
        <w:tc>
          <w:tcPr>
            <w:tcW w:w="300" w:type="dxa"/>
            <w:vAlign w:val="bottom"/>
          </w:tcPr>
          <w:p>
            <w:pPr>
              <w:spacing w:after="0"/>
              <w:rPr>
                <w:sz w:val="23"/>
                <w:szCs w:val="23"/>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rPr>
              <w:t>0.9</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0"/>
              <w:spacing w:after="0"/>
              <w:rPr>
                <w:sz w:val="20"/>
                <w:szCs w:val="20"/>
                <w:color w:val="auto"/>
              </w:rPr>
            </w:pPr>
            <w:r>
              <w:rPr>
                <w:rFonts w:ascii="Arial" w:cs="Arial" w:eastAsia="Arial" w:hAnsi="Arial"/>
                <w:sz w:val="18"/>
                <w:szCs w:val="18"/>
                <w:color w:val="auto"/>
              </w:rPr>
              <w:t>Venclexta</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385</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418</w:t>
            </w:r>
          </w:p>
        </w:tc>
        <w:tc>
          <w:tcPr>
            <w:tcW w:w="28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803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6"/>
              </w:rPr>
              <w:t>13.0</w:t>
            </w:r>
          </w:p>
        </w:tc>
        <w:tc>
          <w:tcPr>
            <w:tcW w:w="720" w:type="dxa"/>
            <w:vAlign w:val="bottom"/>
            <w:gridSpan w:val="2"/>
          </w:tcPr>
          <w:p>
            <w:pPr>
              <w:jc w:val="center"/>
              <w:ind w:left="290"/>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19"/>
                <w:szCs w:val="19"/>
                <w:color w:val="auto"/>
              </w:rPr>
            </w:pPr>
          </w:p>
        </w:tc>
        <w:tc>
          <w:tcPr>
            <w:tcW w:w="640" w:type="dxa"/>
            <w:vAlign w:val="bottom"/>
            <w:gridSpan w:val="2"/>
          </w:tcPr>
          <w:p>
            <w:pPr>
              <w:jc w:val="center"/>
              <w:ind w:left="110"/>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8.6</w:t>
            </w:r>
          </w:p>
        </w:tc>
        <w:tc>
          <w:tcPr>
            <w:tcW w:w="30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6"/>
              </w:rPr>
              <w:t>10.7</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0"/>
              <w:spacing w:after="0" w:line="230" w:lineRule="exact"/>
              <w:rPr>
                <w:sz w:val="20"/>
                <w:szCs w:val="20"/>
                <w:color w:val="auto"/>
              </w:rPr>
            </w:pPr>
            <w:r>
              <w:rPr>
                <w:rFonts w:ascii="Arial" w:cs="Arial" w:eastAsia="Arial" w:hAnsi="Arial"/>
                <w:sz w:val="18"/>
                <w:szCs w:val="18"/>
                <w:color w:val="auto"/>
              </w:rPr>
              <w:t>Imbruvica</w:t>
            </w:r>
            <w:r>
              <w:rPr>
                <w:rFonts w:ascii="Arial" w:cs="Arial" w:eastAsia="Arial" w:hAnsi="Arial"/>
                <w:sz w:val="23"/>
                <w:szCs w:val="23"/>
                <w:color w:val="auto"/>
                <w:vertAlign w:val="superscript"/>
              </w:rPr>
              <w:t>b</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340</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182</w:t>
            </w:r>
          </w:p>
        </w:tc>
        <w:tc>
          <w:tcPr>
            <w:tcW w:w="28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522</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(33.0)</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rPr>
              <w:t>(8.3)</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(26.1)</w:t>
            </w: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7"/>
              </w:rPr>
              <w:t>(8.3)</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(26.1)</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0"/>
              <w:spacing w:after="0"/>
              <w:rPr>
                <w:sz w:val="20"/>
                <w:szCs w:val="20"/>
                <w:color w:val="auto"/>
              </w:rPr>
            </w:pPr>
            <w:r>
              <w:rPr>
                <w:rFonts w:ascii="Arial" w:cs="Arial" w:eastAsia="Arial" w:hAnsi="Arial"/>
                <w:sz w:val="18"/>
                <w:szCs w:val="18"/>
                <w:color w:val="auto"/>
              </w:rPr>
              <w:t>Elahere</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166</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58</w:t>
            </w:r>
          </w:p>
        </w:tc>
        <w:tc>
          <w:tcPr>
            <w:tcW w:w="28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224</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80" w:type="dxa"/>
            <w:vAlign w:val="bottom"/>
            <w:gridSpan w:val="3"/>
          </w:tcPr>
          <w:p>
            <w:pPr>
              <w:jc w:val="center"/>
              <w:ind w:left="250"/>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640" w:type="dxa"/>
            <w:vAlign w:val="bottom"/>
            <w:gridSpan w:val="2"/>
          </w:tcPr>
          <w:p>
            <w:pPr>
              <w:jc w:val="center"/>
              <w:ind w:left="110"/>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rPr>
              <w:t>&gt;100.0</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6"/>
              </w:rPr>
              <w:t>31.2</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0"/>
              <w:spacing w:after="0" w:line="230" w:lineRule="exact"/>
              <w:rPr>
                <w:sz w:val="20"/>
                <w:szCs w:val="20"/>
                <w:color w:val="auto"/>
              </w:rPr>
            </w:pPr>
            <w:r>
              <w:rPr>
                <w:rFonts w:ascii="Arial" w:cs="Arial" w:eastAsia="Arial" w:hAnsi="Arial"/>
                <w:sz w:val="18"/>
                <w:szCs w:val="18"/>
                <w:color w:val="auto"/>
              </w:rPr>
              <w:t>Epkinly</w:t>
            </w:r>
            <w:r>
              <w:rPr>
                <w:rFonts w:ascii="Arial" w:cs="Arial" w:eastAsia="Arial" w:hAnsi="Arial"/>
                <w:sz w:val="23"/>
                <w:szCs w:val="23"/>
                <w:color w:val="auto"/>
                <w:vertAlign w:val="superscript"/>
              </w:rPr>
              <w:t>c</w:t>
            </w:r>
          </w:p>
        </w:tc>
        <w:tc>
          <w:tcPr>
            <w:tcW w:w="6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43</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65</w:t>
            </w:r>
          </w:p>
        </w:tc>
        <w:tc>
          <w:tcPr>
            <w:tcW w:w="28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108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rPr>
              <w:t>&gt;100.0</w:t>
            </w:r>
          </w:p>
        </w:tc>
        <w:tc>
          <w:tcPr>
            <w:tcW w:w="720" w:type="dxa"/>
            <w:vAlign w:val="bottom"/>
            <w:gridSpan w:val="2"/>
          </w:tcPr>
          <w:p>
            <w:pPr>
              <w:jc w:val="center"/>
              <w:ind w:left="290"/>
              <w:spacing w:after="0"/>
              <w:rPr>
                <w:sz w:val="20"/>
                <w:szCs w:val="20"/>
                <w:color w:val="auto"/>
              </w:rPr>
            </w:pPr>
            <w:r>
              <w:rPr>
                <w:rFonts w:ascii="Arial" w:cs="Arial" w:eastAsia="Arial" w:hAnsi="Arial"/>
                <w:sz w:val="18"/>
                <w:szCs w:val="18"/>
                <w:color w:val="auto"/>
                <w:w w:val="96"/>
              </w:rPr>
              <w:t>35.1</w:t>
            </w:r>
          </w:p>
        </w:tc>
        <w:tc>
          <w:tcPr>
            <w:tcW w:w="360" w:type="dxa"/>
            <w:vAlign w:val="bottom"/>
          </w:tcPr>
          <w:p>
            <w:pPr>
              <w:spacing w:after="0"/>
              <w:rPr>
                <w:sz w:val="19"/>
                <w:szCs w:val="19"/>
                <w:color w:val="auto"/>
              </w:rPr>
            </w:pPr>
          </w:p>
        </w:tc>
        <w:tc>
          <w:tcPr>
            <w:tcW w:w="640" w:type="dxa"/>
            <w:vAlign w:val="bottom"/>
            <w:gridSpan w:val="2"/>
          </w:tcPr>
          <w:p>
            <w:pPr>
              <w:jc w:val="center"/>
              <w:ind w:left="110"/>
              <w:spacing w:after="0"/>
              <w:rPr>
                <w:sz w:val="20"/>
                <w:szCs w:val="20"/>
                <w:color w:val="auto"/>
              </w:rPr>
            </w:pPr>
            <w:r>
              <w:rPr>
                <w:rFonts w:ascii="Arial" w:cs="Arial" w:eastAsia="Arial" w:hAnsi="Arial"/>
                <w:sz w:val="18"/>
                <w:szCs w:val="18"/>
                <w:color w:val="auto"/>
              </w:rPr>
              <w:t>57.7</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39.5</w:t>
            </w:r>
          </w:p>
        </w:tc>
        <w:tc>
          <w:tcPr>
            <w:tcW w:w="30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6"/>
              </w:rPr>
              <w:t>60.8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20" w:type="dxa"/>
            <w:vAlign w:val="bottom"/>
          </w:tcPr>
          <w:p>
            <w:pPr>
              <w:ind w:left="200"/>
              <w:spacing w:after="0"/>
              <w:rPr>
                <w:sz w:val="20"/>
                <w:szCs w:val="20"/>
                <w:color w:val="auto"/>
              </w:rPr>
            </w:pPr>
            <w:r>
              <w:rPr>
                <w:rFonts w:ascii="Arial" w:cs="Arial" w:eastAsia="Arial" w:hAnsi="Arial"/>
                <w:sz w:val="18"/>
                <w:szCs w:val="18"/>
                <w:color w:val="auto"/>
              </w:rPr>
              <w:t>Other Oncology</w:t>
            </w:r>
          </w:p>
        </w:tc>
        <w:tc>
          <w:tcPr>
            <w:tcW w:w="6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39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39</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rPr>
              <w:t>&gt;100.0</w:t>
            </w:r>
          </w:p>
        </w:tc>
        <w:tc>
          <w:tcPr>
            <w:tcW w:w="720" w:type="dxa"/>
            <w:vAlign w:val="bottom"/>
            <w:gridSpan w:val="2"/>
          </w:tcPr>
          <w:p>
            <w:pPr>
              <w:jc w:val="center"/>
              <w:ind w:left="290"/>
              <w:spacing w:after="0"/>
              <w:rPr>
                <w:sz w:val="20"/>
                <w:szCs w:val="20"/>
                <w:color w:val="auto"/>
              </w:rPr>
            </w:pPr>
            <w:r>
              <w:rPr>
                <w:rFonts w:ascii="Arial" w:cs="Arial" w:eastAsia="Arial" w:hAnsi="Arial"/>
                <w:sz w:val="18"/>
                <w:szCs w:val="18"/>
                <w:color w:val="auto"/>
                <w:w w:val="96"/>
              </w:rPr>
              <w:t>62.6</w:t>
            </w:r>
          </w:p>
        </w:tc>
        <w:tc>
          <w:tcPr>
            <w:tcW w:w="36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20"/>
                <w:szCs w:val="20"/>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62.6</w:t>
            </w:r>
          </w:p>
        </w:tc>
        <w:tc>
          <w:tcPr>
            <w:tcW w:w="300" w:type="dxa"/>
            <w:vAlign w:val="bottom"/>
          </w:tcPr>
          <w:p>
            <w:pPr>
              <w:spacing w:after="0"/>
              <w:rPr>
                <w:sz w:val="20"/>
                <w:szCs w:val="20"/>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&gt;100.0</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620" w:type="dxa"/>
            <w:vAlign w:val="bottom"/>
          </w:tcPr>
          <w:p>
            <w:pPr>
              <w:spacing w:after="0"/>
              <w:rPr>
                <w:sz w:val="20"/>
                <w:szCs w:val="20"/>
                <w:color w:val="auto"/>
              </w:rPr>
            </w:pPr>
            <w:r>
              <w:rPr>
                <w:rFonts w:ascii="Arial" w:cs="Arial" w:eastAsia="Arial" w:hAnsi="Arial"/>
                <w:sz w:val="18"/>
                <w:szCs w:val="18"/>
                <w:b w:val="1"/>
                <w:bCs w:val="1"/>
                <w:color w:val="auto"/>
              </w:rPr>
              <w:t>Aesthetics</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723</w:t>
            </w:r>
          </w:p>
        </w:tc>
        <w:tc>
          <w:tcPr>
            <w:tcW w:w="340" w:type="dxa"/>
            <w:vAlign w:val="bottom"/>
          </w:tcPr>
          <w:p>
            <w:pPr>
              <w:spacing w:after="0"/>
              <w:rPr>
                <w:sz w:val="23"/>
                <w:szCs w:val="23"/>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453</w:t>
            </w:r>
          </w:p>
        </w:tc>
        <w:tc>
          <w:tcPr>
            <w:tcW w:w="280" w:type="dxa"/>
            <w:vAlign w:val="bottom"/>
          </w:tcPr>
          <w:p>
            <w:pPr>
              <w:spacing w:after="0"/>
              <w:rPr>
                <w:sz w:val="23"/>
                <w:szCs w:val="23"/>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1,176</w:t>
            </w: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rPr>
              <w:t>(2.3)</w:t>
            </w:r>
          </w:p>
        </w:tc>
        <w:tc>
          <w:tcPr>
            <w:tcW w:w="72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rPr>
              <w:t>0.1</w:t>
            </w:r>
          </w:p>
        </w:tc>
        <w:tc>
          <w:tcPr>
            <w:tcW w:w="360" w:type="dxa"/>
            <w:vAlign w:val="bottom"/>
          </w:tcPr>
          <w:p>
            <w:pPr>
              <w:spacing w:after="0"/>
              <w:rPr>
                <w:sz w:val="23"/>
                <w:szCs w:val="23"/>
                <w:color w:val="auto"/>
              </w:rPr>
            </w:pPr>
          </w:p>
        </w:tc>
        <w:tc>
          <w:tcPr>
            <w:tcW w:w="6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7"/>
              </w:rPr>
              <w:t>(1.4)</w:t>
            </w:r>
          </w:p>
        </w:tc>
        <w:tc>
          <w:tcPr>
            <w:tcW w:w="2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7"/>
              </w:rPr>
              <w:t>(1.0)</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rPr>
              <w:t>(1.8)</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0"/>
              <w:spacing w:after="0"/>
              <w:rPr>
                <w:sz w:val="20"/>
                <w:szCs w:val="20"/>
                <w:color w:val="auto"/>
              </w:rPr>
            </w:pPr>
            <w:r>
              <w:rPr>
                <w:rFonts w:ascii="Arial" w:cs="Arial" w:eastAsia="Arial" w:hAnsi="Arial"/>
                <w:sz w:val="18"/>
                <w:szCs w:val="18"/>
                <w:color w:val="auto"/>
              </w:rPr>
              <w:t>Botox Cosmetic</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388</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281</w:t>
            </w:r>
          </w:p>
        </w:tc>
        <w:tc>
          <w:tcPr>
            <w:tcW w:w="28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669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80" w:type="dxa"/>
            <w:vAlign w:val="bottom"/>
            <w:gridSpan w:val="3"/>
          </w:tcPr>
          <w:p>
            <w:pPr>
              <w:jc w:val="center"/>
              <w:ind w:left="25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720" w:type="dxa"/>
            <w:vAlign w:val="bottom"/>
            <w:gridSpan w:val="2"/>
          </w:tcPr>
          <w:p>
            <w:pPr>
              <w:jc w:val="center"/>
              <w:ind w:left="290"/>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19"/>
                <w:szCs w:val="19"/>
                <w:color w:val="auto"/>
              </w:rPr>
            </w:pPr>
          </w:p>
        </w:tc>
        <w:tc>
          <w:tcPr>
            <w:tcW w:w="640" w:type="dxa"/>
            <w:vAlign w:val="bottom"/>
            <w:gridSpan w:val="2"/>
          </w:tcPr>
          <w:p>
            <w:pPr>
              <w:jc w:val="center"/>
              <w:ind w:left="110"/>
              <w:spacing w:after="0"/>
              <w:rPr>
                <w:sz w:val="20"/>
                <w:szCs w:val="20"/>
                <w:color w:val="auto"/>
              </w:rPr>
            </w:pPr>
            <w:r>
              <w:rPr>
                <w:rFonts w:ascii="Arial" w:cs="Arial" w:eastAsia="Arial" w:hAnsi="Arial"/>
                <w:sz w:val="18"/>
                <w:szCs w:val="18"/>
                <w:color w:val="auto"/>
                <w:w w:val="95"/>
              </w:rPr>
              <w:t>4.9</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6.5</w:t>
            </w:r>
          </w:p>
        </w:tc>
        <w:tc>
          <w:tcPr>
            <w:tcW w:w="30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0"/>
              <w:spacing w:after="0"/>
              <w:rPr>
                <w:sz w:val="20"/>
                <w:szCs w:val="20"/>
                <w:color w:val="auto"/>
              </w:rPr>
            </w:pPr>
            <w:r>
              <w:rPr>
                <w:rFonts w:ascii="Arial" w:cs="Arial" w:eastAsia="Arial" w:hAnsi="Arial"/>
                <w:sz w:val="18"/>
                <w:szCs w:val="18"/>
                <w:color w:val="auto"/>
              </w:rPr>
              <w:t>Juvederm Collection</w:t>
            </w:r>
          </w:p>
        </w:tc>
        <w:tc>
          <w:tcPr>
            <w:tcW w:w="6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90</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132</w:t>
            </w:r>
          </w:p>
        </w:tc>
        <w:tc>
          <w:tcPr>
            <w:tcW w:w="28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222</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rPr>
              <w:t>(6.3)</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97"/>
              </w:rPr>
              <w:t>(15.4)</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w w:val="97"/>
              </w:rPr>
              <w:t>(11.9)</w:t>
            </w: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rPr>
              <w:t>(15.3)</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(11.8)</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20" w:type="dxa"/>
            <w:vAlign w:val="bottom"/>
          </w:tcPr>
          <w:p>
            <w:pPr>
              <w:ind w:left="200"/>
              <w:spacing w:after="0"/>
              <w:rPr>
                <w:sz w:val="20"/>
                <w:szCs w:val="20"/>
                <w:color w:val="auto"/>
              </w:rPr>
            </w:pPr>
            <w:r>
              <w:rPr>
                <w:rFonts w:ascii="Arial" w:cs="Arial" w:eastAsia="Arial" w:hAnsi="Arial"/>
                <w:sz w:val="18"/>
                <w:szCs w:val="18"/>
                <w:color w:val="auto"/>
              </w:rPr>
              <w:t>Other Aesthetics</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245</w:t>
            </w:r>
          </w:p>
        </w:tc>
        <w:tc>
          <w:tcPr>
            <w:tcW w:w="340" w:type="dxa"/>
            <w:vAlign w:val="bottom"/>
          </w:tcPr>
          <w:p>
            <w:pPr>
              <w:spacing w:after="0"/>
              <w:rPr>
                <w:sz w:val="20"/>
                <w:szCs w:val="20"/>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40</w:t>
            </w:r>
          </w:p>
        </w:tc>
        <w:tc>
          <w:tcPr>
            <w:tcW w:w="280" w:type="dxa"/>
            <w:vAlign w:val="bottom"/>
          </w:tcPr>
          <w:p>
            <w:pPr>
              <w:spacing w:after="0"/>
              <w:rPr>
                <w:sz w:val="20"/>
                <w:szCs w:val="20"/>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285</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rPr>
              <w:t>(7.6)</w:t>
            </w:r>
          </w:p>
        </w:tc>
        <w:tc>
          <w:tcPr>
            <w:tcW w:w="720" w:type="dxa"/>
            <w:vAlign w:val="bottom"/>
            <w:gridSpan w:val="2"/>
          </w:tcPr>
          <w:p>
            <w:pPr>
              <w:jc w:val="center"/>
              <w:ind w:left="290"/>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20"/>
                <w:szCs w:val="20"/>
                <w:color w:val="auto"/>
              </w:rPr>
            </w:pPr>
          </w:p>
        </w:tc>
        <w:tc>
          <w:tcPr>
            <w:tcW w:w="640" w:type="dxa"/>
            <w:vAlign w:val="bottom"/>
            <w:gridSpan w:val="2"/>
          </w:tcPr>
          <w:p>
            <w:pPr>
              <w:jc w:val="center"/>
              <w:ind w:left="110"/>
              <w:spacing w:after="0"/>
              <w:rPr>
                <w:sz w:val="20"/>
                <w:szCs w:val="20"/>
                <w:color w:val="auto"/>
              </w:rPr>
            </w:pPr>
            <w:r>
              <w:rPr>
                <w:rFonts w:ascii="Arial" w:cs="Arial" w:eastAsia="Arial" w:hAnsi="Arial"/>
                <w:sz w:val="18"/>
                <w:szCs w:val="18"/>
                <w:color w:val="auto"/>
                <w:w w:val="97"/>
              </w:rPr>
              <w:t>(6.0)</w:t>
            </w:r>
          </w:p>
        </w:tc>
        <w:tc>
          <w:tcPr>
            <w:tcW w:w="2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6.5</w:t>
            </w:r>
          </w:p>
        </w:tc>
        <w:tc>
          <w:tcPr>
            <w:tcW w:w="300" w:type="dxa"/>
            <w:vAlign w:val="bottom"/>
          </w:tcPr>
          <w:p>
            <w:pPr>
              <w:spacing w:after="0"/>
              <w:rPr>
                <w:sz w:val="20"/>
                <w:szCs w:val="20"/>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620" w:type="dxa"/>
            <w:vAlign w:val="bottom"/>
          </w:tcPr>
          <w:p>
            <w:pPr>
              <w:spacing w:after="0"/>
              <w:rPr>
                <w:sz w:val="20"/>
                <w:szCs w:val="20"/>
                <w:color w:val="auto"/>
              </w:rPr>
            </w:pPr>
            <w:r>
              <w:rPr>
                <w:rFonts w:ascii="Arial" w:cs="Arial" w:eastAsia="Arial" w:hAnsi="Arial"/>
                <w:sz w:val="18"/>
                <w:szCs w:val="18"/>
                <w:b w:val="1"/>
                <w:bCs w:val="1"/>
                <w:color w:val="auto"/>
              </w:rPr>
              <w:t>Other Key Products</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800</w:t>
            </w:r>
          </w:p>
        </w:tc>
        <w:tc>
          <w:tcPr>
            <w:tcW w:w="340" w:type="dxa"/>
            <w:vAlign w:val="bottom"/>
          </w:tcPr>
          <w:p>
            <w:pPr>
              <w:spacing w:after="0"/>
              <w:rPr>
                <w:sz w:val="23"/>
                <w:szCs w:val="23"/>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165</w:t>
            </w:r>
          </w:p>
        </w:tc>
        <w:tc>
          <w:tcPr>
            <w:tcW w:w="280" w:type="dxa"/>
            <w:vAlign w:val="bottom"/>
          </w:tcPr>
          <w:p>
            <w:pPr>
              <w:spacing w:after="0"/>
              <w:rPr>
                <w:sz w:val="23"/>
                <w:szCs w:val="23"/>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9"/>
              </w:rPr>
              <w:t>965</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rPr>
              <w:t>(3.5)</w:t>
            </w:r>
          </w:p>
        </w:tc>
        <w:tc>
          <w:tcPr>
            <w:tcW w:w="1080" w:type="dxa"/>
            <w:vAlign w:val="bottom"/>
            <w:gridSpan w:val="3"/>
          </w:tcPr>
          <w:p>
            <w:pPr>
              <w:jc w:val="center"/>
              <w:spacing w:after="0"/>
              <w:rPr>
                <w:sz w:val="20"/>
                <w:szCs w:val="20"/>
                <w:color w:val="auto"/>
              </w:rPr>
            </w:pPr>
            <w:r>
              <w:rPr>
                <w:rFonts w:ascii="Arial" w:cs="Arial" w:eastAsia="Arial" w:hAnsi="Arial"/>
                <w:sz w:val="18"/>
                <w:szCs w:val="18"/>
                <w:b w:val="1"/>
                <w:bCs w:val="1"/>
                <w:color w:val="auto"/>
              </w:rPr>
              <w:t>(7.1)</w:t>
            </w:r>
          </w:p>
        </w:tc>
        <w:tc>
          <w:tcPr>
            <w:tcW w:w="6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7"/>
              </w:rPr>
              <w:t>(4.1)</w:t>
            </w:r>
          </w:p>
        </w:tc>
        <w:tc>
          <w:tcPr>
            <w:tcW w:w="2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7"/>
              </w:rPr>
              <w:t>(4.9)</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rPr>
              <w:t>(3.7)</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0"/>
              <w:spacing w:after="0"/>
              <w:rPr>
                <w:sz w:val="20"/>
                <w:szCs w:val="20"/>
                <w:color w:val="auto"/>
              </w:rPr>
            </w:pPr>
            <w:r>
              <w:rPr>
                <w:rFonts w:ascii="Arial" w:cs="Arial" w:eastAsia="Arial" w:hAnsi="Arial"/>
                <w:sz w:val="18"/>
                <w:szCs w:val="18"/>
                <w:color w:val="auto"/>
              </w:rPr>
              <w:t>Mavyret</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115</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150</w:t>
            </w:r>
          </w:p>
        </w:tc>
        <w:tc>
          <w:tcPr>
            <w:tcW w:w="28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265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(21.2)</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rPr>
              <w:t>(9.7)</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(15.1)</w:t>
            </w: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7"/>
              </w:rPr>
              <w:t>(7.4)</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(13.9)</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0"/>
              <w:spacing w:after="0"/>
              <w:rPr>
                <w:sz w:val="20"/>
                <w:szCs w:val="20"/>
                <w:color w:val="auto"/>
              </w:rPr>
            </w:pPr>
            <w:r>
              <w:rPr>
                <w:rFonts w:ascii="Arial" w:cs="Arial" w:eastAsia="Arial" w:hAnsi="Arial"/>
                <w:sz w:val="18"/>
                <w:szCs w:val="18"/>
                <w:color w:val="auto"/>
              </w:rPr>
              <w:t>Creon</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361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361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9"/>
                <w:szCs w:val="19"/>
                <w:color w:val="auto"/>
              </w:rPr>
            </w:pPr>
          </w:p>
        </w:tc>
        <w:tc>
          <w:tcPr>
            <w:tcW w:w="7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n/m</w:t>
            </w:r>
          </w:p>
        </w:tc>
        <w:tc>
          <w:tcPr>
            <w:tcW w:w="640" w:type="dxa"/>
            <w:vAlign w:val="bottom"/>
            <w:gridSpan w:val="2"/>
          </w:tcPr>
          <w:p>
            <w:pPr>
              <w:jc w:val="center"/>
              <w:ind w:left="110"/>
              <w:spacing w:after="0"/>
              <w:rPr>
                <w:sz w:val="20"/>
                <w:szCs w:val="20"/>
                <w:color w:val="auto"/>
              </w:rPr>
            </w:pPr>
            <w:r>
              <w:rPr>
                <w:rFonts w:ascii="Arial" w:cs="Arial" w:eastAsia="Arial" w:hAnsi="Arial"/>
                <w:sz w:val="18"/>
                <w:szCs w:val="18"/>
                <w:color w:val="auto"/>
                <w:w w:val="97"/>
              </w:rPr>
              <w:t>(2.2)</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n/m</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620" w:type="dxa"/>
            <w:vAlign w:val="bottom"/>
          </w:tcPr>
          <w:p>
            <w:pPr>
              <w:ind w:left="200"/>
              <w:spacing w:after="0"/>
              <w:rPr>
                <w:sz w:val="20"/>
                <w:szCs w:val="20"/>
                <w:color w:val="auto"/>
              </w:rPr>
            </w:pPr>
            <w:r>
              <w:rPr>
                <w:rFonts w:ascii="Arial" w:cs="Arial" w:eastAsia="Arial" w:hAnsi="Arial"/>
                <w:sz w:val="18"/>
                <w:szCs w:val="18"/>
                <w:color w:val="auto"/>
              </w:rPr>
              <w:t>Linzess</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324</w:t>
            </w:r>
          </w:p>
        </w:tc>
        <w:tc>
          <w:tcPr>
            <w:tcW w:w="340" w:type="dxa"/>
            <w:vAlign w:val="bottom"/>
          </w:tcPr>
          <w:p>
            <w:pPr>
              <w:spacing w:after="0"/>
              <w:rPr>
                <w:sz w:val="20"/>
                <w:szCs w:val="20"/>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15</w:t>
            </w:r>
          </w:p>
        </w:tc>
        <w:tc>
          <w:tcPr>
            <w:tcW w:w="280" w:type="dxa"/>
            <w:vAlign w:val="bottom"/>
          </w:tcPr>
          <w:p>
            <w:pPr>
              <w:spacing w:after="0"/>
              <w:rPr>
                <w:sz w:val="20"/>
                <w:szCs w:val="20"/>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339</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80" w:type="dxa"/>
            <w:vAlign w:val="bottom"/>
            <w:gridSpan w:val="3"/>
          </w:tcPr>
          <w:p>
            <w:pPr>
              <w:jc w:val="center"/>
              <w:ind w:left="25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0"/>
                <w:szCs w:val="20"/>
                <w:color w:val="auto"/>
              </w:rPr>
            </w:pPr>
          </w:p>
        </w:tc>
        <w:tc>
          <w:tcPr>
            <w:tcW w:w="720" w:type="dxa"/>
            <w:vAlign w:val="bottom"/>
            <w:gridSpan w:val="2"/>
          </w:tcPr>
          <w:p>
            <w:pPr>
              <w:jc w:val="center"/>
              <w:ind w:left="290"/>
              <w:spacing w:after="0"/>
              <w:rPr>
                <w:sz w:val="20"/>
                <w:szCs w:val="20"/>
                <w:color w:val="auto"/>
              </w:rPr>
            </w:pPr>
            <w:r>
              <w:rPr>
                <w:rFonts w:ascii="Arial" w:cs="Arial" w:eastAsia="Arial" w:hAnsi="Arial"/>
                <w:sz w:val="18"/>
                <w:szCs w:val="18"/>
                <w:color w:val="auto"/>
                <w:w w:val="96"/>
              </w:rPr>
              <w:t>31.1</w:t>
            </w:r>
          </w:p>
        </w:tc>
        <w:tc>
          <w:tcPr>
            <w:tcW w:w="360" w:type="dxa"/>
            <w:vAlign w:val="bottom"/>
          </w:tcPr>
          <w:p>
            <w:pPr>
              <w:spacing w:after="0"/>
              <w:rPr>
                <w:sz w:val="20"/>
                <w:szCs w:val="20"/>
                <w:color w:val="auto"/>
              </w:rPr>
            </w:pPr>
          </w:p>
        </w:tc>
        <w:tc>
          <w:tcPr>
            <w:tcW w:w="640" w:type="dxa"/>
            <w:vAlign w:val="bottom"/>
            <w:gridSpan w:val="2"/>
          </w:tcPr>
          <w:p>
            <w:pPr>
              <w:jc w:val="center"/>
              <w:ind w:left="110"/>
              <w:spacing w:after="0"/>
              <w:rPr>
                <w:sz w:val="20"/>
                <w:szCs w:val="20"/>
                <w:color w:val="auto"/>
              </w:rPr>
            </w:pPr>
            <w:r>
              <w:rPr>
                <w:rFonts w:ascii="Arial" w:cs="Arial" w:eastAsia="Arial" w:hAnsi="Arial"/>
                <w:sz w:val="18"/>
                <w:szCs w:val="18"/>
                <w:color w:val="auto"/>
                <w:w w:val="95"/>
              </w:rPr>
              <w:t>4.2</w:t>
            </w:r>
          </w:p>
        </w:tc>
        <w:tc>
          <w:tcPr>
            <w:tcW w:w="2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31.8</w:t>
            </w:r>
          </w:p>
        </w:tc>
        <w:tc>
          <w:tcPr>
            <w:tcW w:w="300" w:type="dxa"/>
            <w:vAlign w:val="bottom"/>
          </w:tcPr>
          <w:p>
            <w:pPr>
              <w:spacing w:after="0"/>
              <w:rPr>
                <w:sz w:val="20"/>
                <w:szCs w:val="20"/>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820" w:firstLine="8"/>
        <w:spacing w:after="0" w:line="341" w:lineRule="auto"/>
        <w:tabs>
          <w:tab w:leader="none" w:pos="78"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 xml:space="preserve">"Operational" comparisons are presented at constant currency rates that reflect comparative local currency net revenues at the prior year's foreign exchange rates. </w:t>
      </w:r>
      <w:r>
        <w:rPr>
          <w:rFonts w:ascii="Arial" w:cs="Arial" w:eastAsia="Arial" w:hAnsi="Arial"/>
          <w:sz w:val="17"/>
          <w:szCs w:val="17"/>
          <w:color w:val="auto"/>
          <w:vertAlign w:val="superscript"/>
        </w:rPr>
        <w:t>b</w:t>
      </w:r>
      <w:r>
        <w:rPr>
          <w:rFonts w:ascii="Arial" w:cs="Arial" w:eastAsia="Arial" w:hAnsi="Arial"/>
          <w:sz w:val="14"/>
          <w:szCs w:val="14"/>
          <w:color w:val="auto"/>
        </w:rPr>
        <w:t xml:space="preserve"> Reflects profit sharing for Imbruvica international revenues.</w:t>
      </w:r>
    </w:p>
    <w:p>
      <w:pPr>
        <w:spacing w:after="0" w:line="4" w:lineRule="exact"/>
        <w:rPr>
          <w:sz w:val="20"/>
          <w:szCs w:val="20"/>
          <w:color w:val="auto"/>
        </w:rPr>
      </w:pPr>
    </w:p>
    <w:p>
      <w:pPr>
        <w:ind w:right="1520" w:firstLine="8"/>
        <w:spacing w:after="0" w:line="340" w:lineRule="auto"/>
        <w:tabs>
          <w:tab w:leader="none" w:pos="73"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Epkinly U.S. revenues reflect profit sharing. International revenues reflect product revenues as well as profit sharing from certain international territories. n/m = not meaningful</w:t>
      </w:r>
    </w:p>
    <w:p>
      <w:pPr>
        <w:spacing w:after="0" w:line="200" w:lineRule="exact"/>
        <w:rPr>
          <w:sz w:val="20"/>
          <w:szCs w:val="20"/>
          <w:color w:val="auto"/>
        </w:rPr>
      </w:pPr>
    </w:p>
    <w:p>
      <w:pPr>
        <w:spacing w:after="0" w:line="209" w:lineRule="exact"/>
        <w:rPr>
          <w:sz w:val="20"/>
          <w:szCs w:val="20"/>
          <w:color w:val="auto"/>
        </w:rPr>
      </w:pPr>
    </w:p>
    <w:p>
      <w:pPr>
        <w:ind w:left="1114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60"/>
          </w:cols>
          <w:pgMar w:left="320" w:top="894" w:right="3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22"/>
          <w:szCs w:val="22"/>
          <w:b w:val="1"/>
          <w:bCs w:val="1"/>
          <w:color w:val="auto"/>
        </w:rPr>
        <w:t>AbbVie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Key Product Revenues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Nine Months Ended September 30, 2026</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8"/>
            <w:vMerge w:val="restart"/>
          </w:tcPr>
          <w:p>
            <w:pPr>
              <w:ind w:left="20"/>
              <w:spacing w:after="0"/>
              <w:rPr>
                <w:sz w:val="20"/>
                <w:szCs w:val="20"/>
                <w:color w:val="auto"/>
              </w:rPr>
            </w:pPr>
            <w:r>
              <w:rPr>
                <w:rFonts w:ascii="Arial" w:cs="Arial" w:eastAsia="Arial" w:hAnsi="Arial"/>
                <w:sz w:val="18"/>
                <w:szCs w:val="18"/>
                <w:b w:val="1"/>
                <w:bCs w:val="1"/>
                <w:color w:val="auto"/>
              </w:rPr>
              <w:t>Net Revenues (in millions)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10"/>
          </w:tcPr>
          <w:p>
            <w:pPr>
              <w:jc w:val="center"/>
              <w:ind w:right="300"/>
              <w:spacing w:after="0"/>
              <w:rPr>
                <w:sz w:val="20"/>
                <w:szCs w:val="20"/>
                <w:color w:val="auto"/>
              </w:rPr>
            </w:pPr>
            <w:r>
              <w:rPr>
                <w:rFonts w:ascii="Arial" w:cs="Arial" w:eastAsia="Arial" w:hAnsi="Arial"/>
                <w:sz w:val="18"/>
                <w:szCs w:val="18"/>
                <w:b w:val="1"/>
                <w:bCs w:val="1"/>
                <w:color w:val="auto"/>
              </w:rPr>
              <w:t>% Change vs. 9M25</w:t>
            </w: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8"/>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Reported</w:t>
            </w: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5"/>
          </w:tcPr>
          <w:p>
            <w:pPr>
              <w:ind w:left="120"/>
              <w:spacing w:after="0" w:line="223" w:lineRule="exact"/>
              <w:rPr>
                <w:sz w:val="20"/>
                <w:szCs w:val="20"/>
                <w:color w:val="auto"/>
              </w:rPr>
            </w:pPr>
            <w:r>
              <w:rPr>
                <w:rFonts w:ascii="Arial" w:cs="Arial" w:eastAsia="Arial" w:hAnsi="Arial"/>
                <w:sz w:val="18"/>
                <w:szCs w:val="18"/>
                <w:b w:val="1"/>
                <w:bCs w:val="1"/>
                <w:color w:val="auto"/>
              </w:rPr>
              <w:t>Operational</w:t>
            </w:r>
            <w:r>
              <w:rPr>
                <w:rFonts w:ascii="Arial" w:cs="Arial" w:eastAsia="Arial" w:hAnsi="Arial"/>
                <w:sz w:val="23"/>
                <w:szCs w:val="23"/>
                <w:b w:val="1"/>
                <w:bCs w:val="1"/>
                <w:color w:val="auto"/>
                <w:vertAlign w:val="superscript"/>
              </w:rPr>
              <w: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U.S.</w:t>
            </w:r>
          </w:p>
        </w:tc>
        <w:tc>
          <w:tcPr>
            <w:tcW w:w="300" w:type="dxa"/>
            <w:vAlign w:val="bottom"/>
          </w:tcPr>
          <w:p>
            <w:pPr>
              <w:spacing w:after="0"/>
              <w:rPr>
                <w:sz w:val="15"/>
                <w:szCs w:val="15"/>
                <w:color w:val="auto"/>
              </w:rPr>
            </w:pPr>
          </w:p>
        </w:tc>
        <w:tc>
          <w:tcPr>
            <w:tcW w:w="6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Int’l.</w:t>
            </w:r>
          </w:p>
        </w:tc>
        <w:tc>
          <w:tcPr>
            <w:tcW w:w="280" w:type="dxa"/>
            <w:vAlign w:val="bottom"/>
          </w:tcPr>
          <w:p>
            <w:pPr>
              <w:spacing w:after="0"/>
              <w:rPr>
                <w:sz w:val="15"/>
                <w:szCs w:val="15"/>
                <w:color w:val="auto"/>
              </w:rPr>
            </w:pPr>
          </w:p>
        </w:tc>
        <w:tc>
          <w:tcPr>
            <w:tcW w:w="6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ind w:left="240"/>
              <w:spacing w:after="0" w:line="182" w:lineRule="exact"/>
              <w:rPr>
                <w:sz w:val="20"/>
                <w:szCs w:val="20"/>
                <w:color w:val="auto"/>
              </w:rPr>
            </w:pPr>
            <w:r>
              <w:rPr>
                <w:rFonts w:ascii="Arial" w:cs="Arial" w:eastAsia="Arial" w:hAnsi="Arial"/>
                <w:sz w:val="18"/>
                <w:szCs w:val="18"/>
                <w:b w:val="1"/>
                <w:bCs w:val="1"/>
                <w:color w:val="auto"/>
              </w:rPr>
              <w:t>U.S.</w:t>
            </w:r>
          </w:p>
        </w:tc>
        <w:tc>
          <w:tcPr>
            <w:tcW w:w="1080" w:type="dxa"/>
            <w:vAlign w:val="bottom"/>
            <w:gridSpan w:val="3"/>
          </w:tcPr>
          <w:p>
            <w:pPr>
              <w:jc w:val="center"/>
              <w:spacing w:after="0" w:line="182" w:lineRule="exact"/>
              <w:rPr>
                <w:sz w:val="20"/>
                <w:szCs w:val="20"/>
                <w:color w:val="auto"/>
              </w:rPr>
            </w:pPr>
            <w:r>
              <w:rPr>
                <w:rFonts w:ascii="Arial" w:cs="Arial" w:eastAsia="Arial" w:hAnsi="Arial"/>
                <w:sz w:val="18"/>
                <w:szCs w:val="18"/>
                <w:b w:val="1"/>
                <w:bCs w:val="1"/>
                <w:color w:val="auto"/>
                <w:w w:val="97"/>
              </w:rPr>
              <w:t>Int’l.</w:t>
            </w:r>
          </w:p>
        </w:tc>
        <w:tc>
          <w:tcPr>
            <w:tcW w:w="200" w:type="dxa"/>
            <w:vAlign w:val="bottom"/>
          </w:tcPr>
          <w:p>
            <w:pPr>
              <w:spacing w:after="0"/>
              <w:rPr>
                <w:sz w:val="15"/>
                <w:szCs w:val="15"/>
                <w:color w:val="auto"/>
              </w:rPr>
            </w:pPr>
          </w:p>
        </w:tc>
        <w:tc>
          <w:tcPr>
            <w:tcW w:w="640" w:type="dxa"/>
            <w:vAlign w:val="bottom"/>
            <w:gridSpan w:val="2"/>
          </w:tcPr>
          <w:p>
            <w:pPr>
              <w:jc w:val="center"/>
              <w:ind w:right="220"/>
              <w:spacing w:after="0" w:line="182" w:lineRule="exact"/>
              <w:rPr>
                <w:sz w:val="20"/>
                <w:szCs w:val="20"/>
                <w:color w:val="auto"/>
              </w:rPr>
            </w:pPr>
            <w:r>
              <w:rPr>
                <w:rFonts w:ascii="Arial" w:cs="Arial" w:eastAsia="Arial" w:hAnsi="Arial"/>
                <w:sz w:val="18"/>
                <w:szCs w:val="18"/>
                <w:b w:val="1"/>
                <w:bCs w:val="1"/>
                <w:color w:val="auto"/>
                <w:w w:val="97"/>
              </w:rPr>
              <w:t>Total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center"/>
              <w:ind w:right="60"/>
              <w:spacing w:after="0" w:line="182" w:lineRule="exact"/>
              <w:rPr>
                <w:sz w:val="20"/>
                <w:szCs w:val="20"/>
                <w:color w:val="auto"/>
              </w:rPr>
            </w:pPr>
            <w:r>
              <w:rPr>
                <w:rFonts w:ascii="Arial" w:cs="Arial" w:eastAsia="Arial" w:hAnsi="Arial"/>
                <w:sz w:val="18"/>
                <w:szCs w:val="18"/>
                <w:b w:val="1"/>
                <w:bCs w:val="1"/>
                <w:color w:val="auto"/>
                <w:w w:val="97"/>
              </w:rPr>
              <w:t>Int’l.</w:t>
            </w:r>
          </w:p>
        </w:tc>
        <w:tc>
          <w:tcPr>
            <w:tcW w:w="260" w:type="dxa"/>
            <w:vAlign w:val="bottom"/>
          </w:tcPr>
          <w:p>
            <w:pPr>
              <w:spacing w:after="0"/>
              <w:rPr>
                <w:sz w:val="15"/>
                <w:szCs w:val="15"/>
                <w:color w:val="auto"/>
              </w:rPr>
            </w:pPr>
          </w:p>
        </w:tc>
        <w:tc>
          <w:tcPr>
            <w:tcW w:w="6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rPr>
              <w:t>NET REVENUES</w:t>
            </w:r>
          </w:p>
        </w:tc>
        <w:tc>
          <w:tcPr>
            <w:tcW w:w="920" w:type="dxa"/>
            <w:vAlign w:val="bottom"/>
            <w:gridSpan w:val="3"/>
            <w:vMerge w:val="restart"/>
          </w:tcPr>
          <w:p>
            <w:pPr>
              <w:jc w:val="center"/>
              <w:ind w:right="60"/>
              <w:spacing w:after="0"/>
              <w:rPr>
                <w:sz w:val="20"/>
                <w:szCs w:val="20"/>
                <w:color w:val="auto"/>
              </w:rPr>
            </w:pPr>
            <w:r>
              <w:rPr>
                <w:rFonts w:ascii="Arial" w:cs="Arial" w:eastAsia="Arial" w:hAnsi="Arial"/>
                <w:sz w:val="18"/>
                <w:szCs w:val="18"/>
                <w:b w:val="1"/>
                <w:bCs w:val="1"/>
                <w:color w:val="auto"/>
              </w:rPr>
              <w:t>$37,163</w:t>
            </w:r>
          </w:p>
        </w:tc>
        <w:tc>
          <w:tcPr>
            <w:tcW w:w="96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8"/>
              </w:rPr>
              <w:t>$12,233</w:t>
            </w:r>
          </w:p>
        </w:tc>
        <w:tc>
          <w:tcPr>
            <w:tcW w:w="9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8"/>
              </w:rPr>
              <w:t>$49,396</w:t>
            </w:r>
          </w:p>
        </w:tc>
        <w:tc>
          <w:tcPr>
            <w:tcW w:w="20" w:type="dxa"/>
            <w:vAlign w:val="bottom"/>
          </w:tcPr>
          <w:p>
            <w:pPr>
              <w:spacing w:after="0" w:line="20" w:lineRule="exact"/>
              <w:rPr>
                <w:sz w:val="1"/>
                <w:szCs w:val="1"/>
                <w:color w:val="auto"/>
              </w:rPr>
            </w:pPr>
          </w:p>
        </w:tc>
        <w:tc>
          <w:tcPr>
            <w:tcW w:w="940" w:type="dxa"/>
            <w:vAlign w:val="bottom"/>
            <w:gridSpan w:val="4"/>
            <w:vMerge w:val="restart"/>
          </w:tcPr>
          <w:p>
            <w:pPr>
              <w:jc w:val="center"/>
              <w:ind w:left="10"/>
              <w:spacing w:after="0"/>
              <w:rPr>
                <w:sz w:val="20"/>
                <w:szCs w:val="20"/>
                <w:color w:val="auto"/>
              </w:rPr>
            </w:pPr>
            <w:r>
              <w:rPr>
                <w:rFonts w:ascii="Arial" w:cs="Arial" w:eastAsia="Arial" w:hAnsi="Arial"/>
                <w:sz w:val="18"/>
                <w:szCs w:val="18"/>
                <w:b w:val="1"/>
                <w:bCs w:val="1"/>
                <w:color w:val="auto"/>
                <w:w w:val="97"/>
              </w:rPr>
              <w:t>9.9%</w:t>
            </w:r>
          </w:p>
        </w:tc>
        <w:tc>
          <w:tcPr>
            <w:tcW w:w="108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rPr>
              <w:t>14.0%</w:t>
            </w:r>
          </w:p>
        </w:tc>
        <w:tc>
          <w:tcPr>
            <w:tcW w:w="8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rPr>
              <w:t>10.9%</w:t>
            </w:r>
          </w:p>
        </w:tc>
        <w:tc>
          <w:tcPr>
            <w:tcW w:w="20" w:type="dxa"/>
            <w:vAlign w:val="bottom"/>
          </w:tcPr>
          <w:p>
            <w:pPr>
              <w:spacing w:after="0" w:line="20" w:lineRule="exact"/>
              <w:rPr>
                <w:sz w:val="1"/>
                <w:szCs w:val="1"/>
                <w:color w:val="auto"/>
              </w:rPr>
            </w:pPr>
          </w:p>
        </w:tc>
        <w:tc>
          <w:tcPr>
            <w:tcW w:w="100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rPr>
              <w:t>10.7%</w:t>
            </w:r>
          </w:p>
        </w:tc>
        <w:tc>
          <w:tcPr>
            <w:tcW w:w="9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rPr>
              <w:t>10.1%</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620" w:type="dxa"/>
            <w:vAlign w:val="bottom"/>
            <w:vMerge w:val="continue"/>
          </w:tcPr>
          <w:p>
            <w:pPr>
              <w:spacing w:after="0"/>
              <w:rPr>
                <w:sz w:val="21"/>
                <w:szCs w:val="21"/>
                <w:color w:val="auto"/>
              </w:rPr>
            </w:pPr>
          </w:p>
        </w:tc>
        <w:tc>
          <w:tcPr>
            <w:tcW w:w="920" w:type="dxa"/>
            <w:vAlign w:val="bottom"/>
            <w:gridSpan w:val="3"/>
            <w:vMerge w:val="continue"/>
          </w:tcPr>
          <w:p>
            <w:pPr>
              <w:spacing w:after="0"/>
              <w:rPr>
                <w:sz w:val="21"/>
                <w:szCs w:val="21"/>
                <w:color w:val="auto"/>
              </w:rPr>
            </w:pPr>
          </w:p>
        </w:tc>
        <w:tc>
          <w:tcPr>
            <w:tcW w:w="960" w:type="dxa"/>
            <w:vAlign w:val="bottom"/>
            <w:gridSpan w:val="3"/>
            <w:vMerge w:val="continue"/>
          </w:tcPr>
          <w:p>
            <w:pPr>
              <w:spacing w:after="0"/>
              <w:rPr>
                <w:sz w:val="21"/>
                <w:szCs w:val="21"/>
                <w:color w:val="auto"/>
              </w:rPr>
            </w:pPr>
          </w:p>
        </w:tc>
        <w:tc>
          <w:tcPr>
            <w:tcW w:w="920" w:type="dxa"/>
            <w:vAlign w:val="bottom"/>
            <w:gridSpan w:val="3"/>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940" w:type="dxa"/>
            <w:vAlign w:val="bottom"/>
            <w:gridSpan w:val="4"/>
            <w:vMerge w:val="continue"/>
          </w:tcPr>
          <w:p>
            <w:pPr>
              <w:spacing w:after="0"/>
              <w:rPr>
                <w:sz w:val="21"/>
                <w:szCs w:val="21"/>
                <w:color w:val="auto"/>
              </w:rPr>
            </w:pPr>
          </w:p>
        </w:tc>
        <w:tc>
          <w:tcPr>
            <w:tcW w:w="1080" w:type="dxa"/>
            <w:vAlign w:val="bottom"/>
            <w:gridSpan w:val="3"/>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000" w:type="dxa"/>
            <w:vAlign w:val="bottom"/>
            <w:gridSpan w:val="4"/>
            <w:vMerge w:val="continue"/>
          </w:tcPr>
          <w:p>
            <w:pPr>
              <w:spacing w:after="0"/>
              <w:rPr>
                <w:sz w:val="21"/>
                <w:szCs w:val="21"/>
                <w:color w:val="auto"/>
              </w:rPr>
            </w:pPr>
          </w:p>
        </w:tc>
        <w:tc>
          <w:tcPr>
            <w:tcW w:w="900" w:type="dxa"/>
            <w:vAlign w:val="bottom"/>
            <w:gridSpan w:val="3"/>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3620" w:type="dxa"/>
            <w:vAlign w:val="bottom"/>
          </w:tcPr>
          <w:p>
            <w:pPr>
              <w:spacing w:after="0"/>
              <w:rPr>
                <w:sz w:val="20"/>
                <w:szCs w:val="20"/>
                <w:color w:val="auto"/>
              </w:rPr>
            </w:pPr>
            <w:r>
              <w:rPr>
                <w:rFonts w:ascii="Arial" w:cs="Arial" w:eastAsia="Arial" w:hAnsi="Arial"/>
                <w:sz w:val="18"/>
                <w:szCs w:val="18"/>
                <w:b w:val="1"/>
                <w:bCs w:val="1"/>
                <w:color w:val="auto"/>
              </w:rPr>
              <w:t>Immunology</w:t>
            </w:r>
          </w:p>
        </w:tc>
        <w:tc>
          <w:tcPr>
            <w:tcW w:w="9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8"/>
              </w:rPr>
              <w:t>19,809</w:t>
            </w:r>
          </w:p>
        </w:tc>
        <w:tc>
          <w:tcPr>
            <w:tcW w:w="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5,432</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rPr>
              <w:t>25,241</w:t>
            </w:r>
          </w:p>
        </w:tc>
        <w:tc>
          <w:tcPr>
            <w:tcW w:w="20" w:type="dxa"/>
            <w:vAlign w:val="bottom"/>
            <w:shd w:val="clear" w:color="auto" w:fill="000000"/>
          </w:tcPr>
          <w:p>
            <w:pPr>
              <w:spacing w:after="0"/>
              <w:rPr>
                <w:sz w:val="23"/>
                <w:szCs w:val="23"/>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rPr>
              <w:t>14.9</w:t>
            </w:r>
          </w:p>
        </w:tc>
        <w:tc>
          <w:tcPr>
            <w:tcW w:w="72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rPr>
              <w:t>19.7</w:t>
            </w:r>
          </w:p>
        </w:tc>
        <w:tc>
          <w:tcPr>
            <w:tcW w:w="360" w:type="dxa"/>
            <w:vAlign w:val="bottom"/>
          </w:tcPr>
          <w:p>
            <w:pPr>
              <w:spacing w:after="0"/>
              <w:rPr>
                <w:sz w:val="23"/>
                <w:szCs w:val="23"/>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rPr>
              <w:t>15.9</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rPr>
              <w:t>16.5</w:t>
            </w:r>
          </w:p>
        </w:tc>
        <w:tc>
          <w:tcPr>
            <w:tcW w:w="300" w:type="dxa"/>
            <w:vAlign w:val="bottom"/>
          </w:tcPr>
          <w:p>
            <w:pPr>
              <w:spacing w:after="0"/>
              <w:rPr>
                <w:sz w:val="23"/>
                <w:szCs w:val="23"/>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6"/>
              </w:rPr>
              <w:t>15.2</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0"/>
              <w:spacing w:after="0"/>
              <w:rPr>
                <w:sz w:val="20"/>
                <w:szCs w:val="20"/>
                <w:color w:val="auto"/>
              </w:rPr>
            </w:pPr>
            <w:r>
              <w:rPr>
                <w:rFonts w:ascii="Arial" w:cs="Arial" w:eastAsia="Arial" w:hAnsi="Arial"/>
                <w:sz w:val="18"/>
                <w:szCs w:val="18"/>
                <w:color w:val="auto"/>
              </w:rPr>
              <w:t>Skyrizi</w:t>
            </w:r>
          </w:p>
        </w:tc>
        <w:tc>
          <w:tcPr>
            <w:tcW w:w="920" w:type="dxa"/>
            <w:vAlign w:val="bottom"/>
            <w:gridSpan w:val="3"/>
          </w:tcPr>
          <w:p>
            <w:pPr>
              <w:jc w:val="center"/>
              <w:ind w:right="60"/>
              <w:spacing w:after="0"/>
              <w:rPr>
                <w:sz w:val="20"/>
                <w:szCs w:val="20"/>
                <w:color w:val="auto"/>
              </w:rPr>
            </w:pPr>
            <w:r>
              <w:rPr>
                <w:rFonts w:ascii="Arial" w:cs="Arial" w:eastAsia="Arial" w:hAnsi="Arial"/>
                <w:sz w:val="18"/>
                <w:szCs w:val="18"/>
                <w:color w:val="auto"/>
                <w:w w:val="98"/>
              </w:rPr>
              <w:t>13,561</w:t>
            </w: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97"/>
              </w:rPr>
              <w:t>2,203</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rPr>
              <w:t>15,764</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25.0</w:t>
            </w:r>
          </w:p>
        </w:tc>
        <w:tc>
          <w:tcPr>
            <w:tcW w:w="720" w:type="dxa"/>
            <w:vAlign w:val="bottom"/>
            <w:gridSpan w:val="2"/>
          </w:tcPr>
          <w:p>
            <w:pPr>
              <w:jc w:val="center"/>
              <w:ind w:left="270"/>
              <w:spacing w:after="0"/>
              <w:rPr>
                <w:sz w:val="20"/>
                <w:szCs w:val="20"/>
                <w:color w:val="auto"/>
              </w:rPr>
            </w:pPr>
            <w:r>
              <w:rPr>
                <w:rFonts w:ascii="Arial" w:cs="Arial" w:eastAsia="Arial" w:hAnsi="Arial"/>
                <w:sz w:val="18"/>
                <w:szCs w:val="18"/>
                <w:color w:val="auto"/>
              </w:rPr>
              <w:t>28.9</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24.9</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25.1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0"/>
              <w:spacing w:after="0"/>
              <w:rPr>
                <w:sz w:val="20"/>
                <w:szCs w:val="20"/>
                <w:color w:val="auto"/>
              </w:rPr>
            </w:pPr>
            <w:r>
              <w:rPr>
                <w:rFonts w:ascii="Arial" w:cs="Arial" w:eastAsia="Arial" w:hAnsi="Arial"/>
                <w:sz w:val="18"/>
                <w:szCs w:val="18"/>
                <w:color w:val="auto"/>
              </w:rPr>
              <w:t>Rinvoq</w:t>
            </w:r>
          </w:p>
        </w:tc>
        <w:tc>
          <w:tcPr>
            <w:tcW w:w="920" w:type="dxa"/>
            <w:vAlign w:val="bottom"/>
            <w:gridSpan w:val="3"/>
          </w:tcPr>
          <w:p>
            <w:pPr>
              <w:jc w:val="center"/>
              <w:ind w:right="60"/>
              <w:spacing w:after="0"/>
              <w:rPr>
                <w:sz w:val="20"/>
                <w:szCs w:val="20"/>
                <w:color w:val="auto"/>
              </w:rPr>
            </w:pPr>
            <w:r>
              <w:rPr>
                <w:rFonts w:ascii="Arial" w:cs="Arial" w:eastAsia="Arial" w:hAnsi="Arial"/>
                <w:sz w:val="18"/>
                <w:szCs w:val="18"/>
                <w:color w:val="auto"/>
              </w:rPr>
              <w:t>5,094</w:t>
            </w: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97"/>
              </w:rPr>
              <w:t>2,256</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7,350</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20.4</w:t>
            </w:r>
          </w:p>
        </w:tc>
        <w:tc>
          <w:tcPr>
            <w:tcW w:w="720" w:type="dxa"/>
            <w:vAlign w:val="bottom"/>
            <w:gridSpan w:val="2"/>
          </w:tcPr>
          <w:p>
            <w:pPr>
              <w:jc w:val="center"/>
              <w:ind w:left="270"/>
              <w:spacing w:after="0"/>
              <w:rPr>
                <w:sz w:val="20"/>
                <w:szCs w:val="20"/>
                <w:color w:val="auto"/>
              </w:rPr>
            </w:pPr>
            <w:r>
              <w:rPr>
                <w:rFonts w:ascii="Arial" w:cs="Arial" w:eastAsia="Arial" w:hAnsi="Arial"/>
                <w:sz w:val="18"/>
                <w:szCs w:val="18"/>
                <w:color w:val="auto"/>
              </w:rPr>
              <w:t>32.8</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29.2</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22.9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20" w:type="dxa"/>
            <w:vAlign w:val="bottom"/>
          </w:tcPr>
          <w:p>
            <w:pPr>
              <w:ind w:left="200"/>
              <w:spacing w:after="0"/>
              <w:rPr>
                <w:sz w:val="20"/>
                <w:szCs w:val="20"/>
                <w:color w:val="auto"/>
              </w:rPr>
            </w:pPr>
            <w:r>
              <w:rPr>
                <w:rFonts w:ascii="Arial" w:cs="Arial" w:eastAsia="Arial" w:hAnsi="Arial"/>
                <w:sz w:val="18"/>
                <w:szCs w:val="18"/>
                <w:color w:val="auto"/>
              </w:rPr>
              <w:t>Humira</w:t>
            </w:r>
          </w:p>
        </w:tc>
        <w:tc>
          <w:tcPr>
            <w:tcW w:w="920" w:type="dxa"/>
            <w:vAlign w:val="bottom"/>
            <w:gridSpan w:val="3"/>
          </w:tcPr>
          <w:p>
            <w:pPr>
              <w:jc w:val="center"/>
              <w:ind w:right="60"/>
              <w:spacing w:after="0"/>
              <w:rPr>
                <w:sz w:val="20"/>
                <w:szCs w:val="20"/>
                <w:color w:val="auto"/>
              </w:rPr>
            </w:pPr>
            <w:r>
              <w:rPr>
                <w:rFonts w:ascii="Arial" w:cs="Arial" w:eastAsia="Arial" w:hAnsi="Arial"/>
                <w:sz w:val="18"/>
                <w:szCs w:val="18"/>
                <w:color w:val="auto"/>
              </w:rPr>
              <w:t>1,154</w:t>
            </w: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973</w:t>
            </w:r>
          </w:p>
        </w:tc>
        <w:tc>
          <w:tcPr>
            <w:tcW w:w="300" w:type="dxa"/>
            <w:vAlign w:val="bottom"/>
          </w:tcPr>
          <w:p>
            <w:pPr>
              <w:spacing w:after="0"/>
              <w:rPr>
                <w:sz w:val="20"/>
                <w:szCs w:val="20"/>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2,127</w:t>
            </w:r>
          </w:p>
        </w:tc>
        <w:tc>
          <w:tcPr>
            <w:tcW w:w="20" w:type="dxa"/>
            <w:vAlign w:val="bottom"/>
            <w:shd w:val="clear" w:color="auto" w:fill="000000"/>
          </w:tcPr>
          <w:p>
            <w:pPr>
              <w:spacing w:after="0"/>
              <w:rPr>
                <w:sz w:val="20"/>
                <w:szCs w:val="20"/>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(46.7)</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rPr>
              <w:t>(13.8)</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(35.4)</w:t>
            </w:r>
          </w:p>
        </w:tc>
        <w:tc>
          <w:tcPr>
            <w:tcW w:w="20" w:type="dxa"/>
            <w:vAlign w:val="bottom"/>
            <w:shd w:val="clear" w:color="auto" w:fill="000000"/>
          </w:tcPr>
          <w:p>
            <w:pPr>
              <w:spacing w:after="0"/>
              <w:rPr>
                <w:sz w:val="20"/>
                <w:szCs w:val="20"/>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rPr>
              <w:t>(15.2)</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7"/>
              </w:rPr>
              <w:t>(35.9)</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620" w:type="dxa"/>
            <w:vAlign w:val="bottom"/>
          </w:tcPr>
          <w:p>
            <w:pPr>
              <w:spacing w:after="0"/>
              <w:rPr>
                <w:sz w:val="20"/>
                <w:szCs w:val="20"/>
                <w:color w:val="auto"/>
              </w:rPr>
            </w:pPr>
            <w:r>
              <w:rPr>
                <w:rFonts w:ascii="Arial" w:cs="Arial" w:eastAsia="Arial" w:hAnsi="Arial"/>
                <w:sz w:val="18"/>
                <w:szCs w:val="18"/>
                <w:b w:val="1"/>
                <w:bCs w:val="1"/>
                <w:color w:val="auto"/>
              </w:rPr>
              <w:t>Neuroscience</w:t>
            </w:r>
          </w:p>
        </w:tc>
        <w:tc>
          <w:tcPr>
            <w:tcW w:w="9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8,169</w:t>
            </w:r>
          </w:p>
        </w:tc>
        <w:tc>
          <w:tcPr>
            <w:tcW w:w="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1,323</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9,492</w:t>
            </w:r>
          </w:p>
        </w:tc>
        <w:tc>
          <w:tcPr>
            <w:tcW w:w="20" w:type="dxa"/>
            <w:vAlign w:val="bottom"/>
            <w:shd w:val="clear" w:color="auto" w:fill="000000"/>
          </w:tcPr>
          <w:p>
            <w:pPr>
              <w:spacing w:after="0"/>
              <w:rPr>
                <w:sz w:val="23"/>
                <w:szCs w:val="23"/>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rPr>
              <w:t>20.7</w:t>
            </w:r>
          </w:p>
        </w:tc>
        <w:tc>
          <w:tcPr>
            <w:tcW w:w="72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rPr>
              <w:t>27.6</w:t>
            </w:r>
          </w:p>
        </w:tc>
        <w:tc>
          <w:tcPr>
            <w:tcW w:w="360" w:type="dxa"/>
            <w:vAlign w:val="bottom"/>
          </w:tcPr>
          <w:p>
            <w:pPr>
              <w:spacing w:after="0"/>
              <w:rPr>
                <w:sz w:val="23"/>
                <w:szCs w:val="23"/>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rPr>
              <w:t>21.6</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rPr>
              <w:t>22.7</w:t>
            </w:r>
          </w:p>
        </w:tc>
        <w:tc>
          <w:tcPr>
            <w:tcW w:w="300" w:type="dxa"/>
            <w:vAlign w:val="bottom"/>
          </w:tcPr>
          <w:p>
            <w:pPr>
              <w:spacing w:after="0"/>
              <w:rPr>
                <w:sz w:val="23"/>
                <w:szCs w:val="23"/>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6"/>
              </w:rPr>
              <w:t>20.9</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0"/>
              <w:spacing w:after="0"/>
              <w:rPr>
                <w:sz w:val="20"/>
                <w:szCs w:val="20"/>
                <w:color w:val="auto"/>
              </w:rPr>
            </w:pPr>
            <w:r>
              <w:rPr>
                <w:rFonts w:ascii="Arial" w:cs="Arial" w:eastAsia="Arial" w:hAnsi="Arial"/>
                <w:sz w:val="18"/>
                <w:szCs w:val="18"/>
                <w:color w:val="auto"/>
              </w:rPr>
              <w:t>Vraylar</w:t>
            </w:r>
          </w:p>
        </w:tc>
        <w:tc>
          <w:tcPr>
            <w:tcW w:w="920" w:type="dxa"/>
            <w:vAlign w:val="bottom"/>
            <w:gridSpan w:val="3"/>
          </w:tcPr>
          <w:p>
            <w:pPr>
              <w:jc w:val="center"/>
              <w:ind w:right="60"/>
              <w:spacing w:after="0"/>
              <w:rPr>
                <w:sz w:val="20"/>
                <w:szCs w:val="20"/>
                <w:color w:val="auto"/>
              </w:rPr>
            </w:pPr>
            <w:r>
              <w:rPr>
                <w:rFonts w:ascii="Arial" w:cs="Arial" w:eastAsia="Arial" w:hAnsi="Arial"/>
                <w:sz w:val="18"/>
                <w:szCs w:val="18"/>
                <w:color w:val="auto"/>
              </w:rPr>
              <w:t>3,034</w:t>
            </w:r>
          </w:p>
        </w:tc>
        <w:tc>
          <w:tcPr>
            <w:tcW w:w="66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10</w:t>
            </w:r>
          </w:p>
        </w:tc>
        <w:tc>
          <w:tcPr>
            <w:tcW w:w="30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3,044</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17.0</w:t>
            </w:r>
          </w:p>
        </w:tc>
        <w:tc>
          <w:tcPr>
            <w:tcW w:w="720" w:type="dxa"/>
            <w:vAlign w:val="bottom"/>
            <w:gridSpan w:val="2"/>
          </w:tcPr>
          <w:p>
            <w:pPr>
              <w:jc w:val="center"/>
              <w:ind w:left="270"/>
              <w:spacing w:after="0"/>
              <w:rPr>
                <w:sz w:val="20"/>
                <w:szCs w:val="20"/>
                <w:color w:val="auto"/>
              </w:rPr>
            </w:pPr>
            <w:r>
              <w:rPr>
                <w:rFonts w:ascii="Arial" w:cs="Arial" w:eastAsia="Arial" w:hAnsi="Arial"/>
                <w:sz w:val="18"/>
                <w:szCs w:val="18"/>
                <w:color w:val="auto"/>
              </w:rPr>
              <w:t>44.9</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42.8</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17.1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0"/>
              <w:spacing w:after="0"/>
              <w:rPr>
                <w:sz w:val="20"/>
                <w:szCs w:val="20"/>
                <w:color w:val="auto"/>
              </w:rPr>
            </w:pPr>
            <w:r>
              <w:rPr>
                <w:rFonts w:ascii="Arial" w:cs="Arial" w:eastAsia="Arial" w:hAnsi="Arial"/>
                <w:sz w:val="18"/>
                <w:szCs w:val="18"/>
                <w:color w:val="auto"/>
              </w:rPr>
              <w:t>Botox Therapeutic</w:t>
            </w:r>
          </w:p>
        </w:tc>
        <w:tc>
          <w:tcPr>
            <w:tcW w:w="920" w:type="dxa"/>
            <w:vAlign w:val="bottom"/>
            <w:gridSpan w:val="3"/>
          </w:tcPr>
          <w:p>
            <w:pPr>
              <w:jc w:val="center"/>
              <w:ind w:right="60"/>
              <w:spacing w:after="0"/>
              <w:rPr>
                <w:sz w:val="20"/>
                <w:szCs w:val="20"/>
                <w:color w:val="auto"/>
              </w:rPr>
            </w:pPr>
            <w:r>
              <w:rPr>
                <w:rFonts w:ascii="Arial" w:cs="Arial" w:eastAsia="Arial" w:hAnsi="Arial"/>
                <w:sz w:val="18"/>
                <w:szCs w:val="18"/>
                <w:color w:val="auto"/>
              </w:rPr>
              <w:t>2,618</w:t>
            </w: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513</w:t>
            </w:r>
          </w:p>
        </w:tc>
        <w:tc>
          <w:tcPr>
            <w:tcW w:w="30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3,131</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12.7</w:t>
            </w:r>
          </w:p>
        </w:tc>
        <w:tc>
          <w:tcPr>
            <w:tcW w:w="720" w:type="dxa"/>
            <w:vAlign w:val="bottom"/>
            <w:gridSpan w:val="2"/>
          </w:tcPr>
          <w:p>
            <w:pPr>
              <w:jc w:val="center"/>
              <w:ind w:left="270"/>
              <w:spacing w:after="0"/>
              <w:rPr>
                <w:sz w:val="20"/>
                <w:szCs w:val="20"/>
                <w:color w:val="auto"/>
              </w:rPr>
            </w:pPr>
            <w:r>
              <w:rPr>
                <w:rFonts w:ascii="Arial" w:cs="Arial" w:eastAsia="Arial" w:hAnsi="Arial"/>
                <w:sz w:val="18"/>
                <w:szCs w:val="18"/>
                <w:color w:val="auto"/>
              </w:rPr>
              <w:t>12.6</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8.3</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12.0</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0"/>
              <w:spacing w:after="0"/>
              <w:rPr>
                <w:sz w:val="20"/>
                <w:szCs w:val="20"/>
                <w:color w:val="auto"/>
              </w:rPr>
            </w:pPr>
            <w:r>
              <w:rPr>
                <w:rFonts w:ascii="Arial" w:cs="Arial" w:eastAsia="Arial" w:hAnsi="Arial"/>
                <w:sz w:val="18"/>
                <w:szCs w:val="18"/>
                <w:color w:val="auto"/>
              </w:rPr>
              <w:t>Ubrelvy</w:t>
            </w:r>
          </w:p>
        </w:tc>
        <w:tc>
          <w:tcPr>
            <w:tcW w:w="920" w:type="dxa"/>
            <w:vAlign w:val="bottom"/>
            <w:gridSpan w:val="3"/>
          </w:tcPr>
          <w:p>
            <w:pPr>
              <w:jc w:val="center"/>
              <w:ind w:right="60"/>
              <w:spacing w:after="0"/>
              <w:rPr>
                <w:sz w:val="20"/>
                <w:szCs w:val="20"/>
                <w:color w:val="auto"/>
              </w:rPr>
            </w:pPr>
            <w:r>
              <w:rPr>
                <w:rFonts w:ascii="Arial" w:cs="Arial" w:eastAsia="Arial" w:hAnsi="Arial"/>
                <w:sz w:val="18"/>
                <w:szCs w:val="18"/>
                <w:color w:val="auto"/>
              </w:rPr>
              <w:t>1,147</w:t>
            </w:r>
          </w:p>
        </w:tc>
        <w:tc>
          <w:tcPr>
            <w:tcW w:w="66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33</w:t>
            </w:r>
          </w:p>
        </w:tc>
        <w:tc>
          <w:tcPr>
            <w:tcW w:w="30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1,180</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26.5</w:t>
            </w:r>
          </w:p>
        </w:tc>
        <w:tc>
          <w:tcPr>
            <w:tcW w:w="720" w:type="dxa"/>
            <w:vAlign w:val="bottom"/>
            <w:gridSpan w:val="2"/>
          </w:tcPr>
          <w:p>
            <w:pPr>
              <w:jc w:val="center"/>
              <w:ind w:left="270"/>
              <w:spacing w:after="0"/>
              <w:rPr>
                <w:sz w:val="20"/>
                <w:szCs w:val="20"/>
                <w:color w:val="auto"/>
              </w:rPr>
            </w:pPr>
            <w:r>
              <w:rPr>
                <w:rFonts w:ascii="Arial" w:cs="Arial" w:eastAsia="Arial" w:hAnsi="Arial"/>
                <w:sz w:val="18"/>
                <w:szCs w:val="18"/>
                <w:color w:val="auto"/>
              </w:rPr>
              <w:t>31.7</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29.6</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26.6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0"/>
              <w:spacing w:after="0"/>
              <w:rPr>
                <w:sz w:val="20"/>
                <w:szCs w:val="20"/>
                <w:color w:val="auto"/>
              </w:rPr>
            </w:pPr>
            <w:r>
              <w:rPr>
                <w:rFonts w:ascii="Arial" w:cs="Arial" w:eastAsia="Arial" w:hAnsi="Arial"/>
                <w:sz w:val="18"/>
                <w:szCs w:val="18"/>
                <w:color w:val="auto"/>
              </w:rPr>
              <w:t>Qulipta</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872</w:t>
            </w:r>
          </w:p>
        </w:tc>
        <w:tc>
          <w:tcPr>
            <w:tcW w:w="320" w:type="dxa"/>
            <w:vAlign w:val="bottom"/>
          </w:tcPr>
          <w:p>
            <w:pPr>
              <w:spacing w:after="0"/>
              <w:rPr>
                <w:sz w:val="19"/>
                <w:szCs w:val="19"/>
                <w:color w:val="auto"/>
              </w:rPr>
            </w:pP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172</w:t>
            </w:r>
          </w:p>
        </w:tc>
        <w:tc>
          <w:tcPr>
            <w:tcW w:w="30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1,044</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32.0</w:t>
            </w:r>
          </w:p>
        </w:tc>
        <w:tc>
          <w:tcPr>
            <w:tcW w:w="720" w:type="dxa"/>
            <w:vAlign w:val="bottom"/>
            <w:gridSpan w:val="2"/>
          </w:tcPr>
          <w:p>
            <w:pPr>
              <w:jc w:val="center"/>
              <w:ind w:left="270"/>
              <w:spacing w:after="0"/>
              <w:rPr>
                <w:sz w:val="20"/>
                <w:szCs w:val="20"/>
                <w:color w:val="auto"/>
              </w:rPr>
            </w:pPr>
            <w:r>
              <w:rPr>
                <w:rFonts w:ascii="Arial" w:cs="Arial" w:eastAsia="Arial" w:hAnsi="Arial"/>
                <w:sz w:val="18"/>
                <w:szCs w:val="18"/>
                <w:color w:val="auto"/>
              </w:rPr>
              <w:t>97.2</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39.6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91.2</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38.9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0"/>
              <w:spacing w:after="0"/>
              <w:rPr>
                <w:sz w:val="20"/>
                <w:szCs w:val="20"/>
                <w:color w:val="auto"/>
              </w:rPr>
            </w:pPr>
            <w:r>
              <w:rPr>
                <w:rFonts w:ascii="Arial" w:cs="Arial" w:eastAsia="Arial" w:hAnsi="Arial"/>
                <w:sz w:val="18"/>
                <w:szCs w:val="18"/>
                <w:color w:val="auto"/>
              </w:rPr>
              <w:t>Vyalev</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371</w:t>
            </w:r>
          </w:p>
        </w:tc>
        <w:tc>
          <w:tcPr>
            <w:tcW w:w="320" w:type="dxa"/>
            <w:vAlign w:val="bottom"/>
          </w:tcPr>
          <w:p>
            <w:pPr>
              <w:spacing w:after="0"/>
              <w:rPr>
                <w:sz w:val="19"/>
                <w:szCs w:val="19"/>
                <w:color w:val="auto"/>
              </w:rPr>
            </w:pP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372</w:t>
            </w:r>
          </w:p>
        </w:tc>
        <w:tc>
          <w:tcPr>
            <w:tcW w:w="30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743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&gt;100.0</w:t>
            </w:r>
          </w:p>
        </w:tc>
        <w:tc>
          <w:tcPr>
            <w:tcW w:w="720" w:type="dxa"/>
            <w:vAlign w:val="bottom"/>
            <w:gridSpan w:val="2"/>
          </w:tcPr>
          <w:p>
            <w:pPr>
              <w:jc w:val="center"/>
              <w:ind w:left="270"/>
              <w:spacing w:after="0"/>
              <w:rPr>
                <w:sz w:val="20"/>
                <w:szCs w:val="20"/>
                <w:color w:val="auto"/>
              </w:rPr>
            </w:pPr>
            <w:r>
              <w:rPr>
                <w:rFonts w:ascii="Arial" w:cs="Arial" w:eastAsia="Arial" w:hAnsi="Arial"/>
                <w:sz w:val="18"/>
                <w:szCs w:val="18"/>
                <w:color w:val="auto"/>
              </w:rPr>
              <w:t>70.9</w:t>
            </w:r>
          </w:p>
        </w:tc>
        <w:tc>
          <w:tcPr>
            <w:tcW w:w="360" w:type="dxa"/>
            <w:vAlign w:val="bottom"/>
          </w:tcPr>
          <w:p>
            <w:pPr>
              <w:spacing w:after="0"/>
              <w:rPr>
                <w:sz w:val="19"/>
                <w:szCs w:val="19"/>
                <w:color w:val="auto"/>
              </w:rPr>
            </w:pP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64.0</w:t>
            </w:r>
          </w:p>
        </w:tc>
        <w:tc>
          <w:tcPr>
            <w:tcW w:w="300" w:type="dxa"/>
            <w:vAlign w:val="bottom"/>
          </w:tcPr>
          <w:p>
            <w:pPr>
              <w:spacing w:after="0"/>
              <w:rPr>
                <w:sz w:val="19"/>
                <w:szCs w:val="19"/>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20" w:type="dxa"/>
            <w:vAlign w:val="bottom"/>
          </w:tcPr>
          <w:p>
            <w:pPr>
              <w:ind w:left="200"/>
              <w:spacing w:after="0"/>
              <w:rPr>
                <w:sz w:val="20"/>
                <w:szCs w:val="20"/>
                <w:color w:val="auto"/>
              </w:rPr>
            </w:pPr>
            <w:r>
              <w:rPr>
                <w:rFonts w:ascii="Arial" w:cs="Arial" w:eastAsia="Arial" w:hAnsi="Arial"/>
                <w:sz w:val="18"/>
                <w:szCs w:val="18"/>
                <w:color w:val="auto"/>
              </w:rPr>
              <w:t>Other Neuroscience</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127</w:t>
            </w:r>
          </w:p>
        </w:tc>
        <w:tc>
          <w:tcPr>
            <w:tcW w:w="320" w:type="dxa"/>
            <w:vAlign w:val="bottom"/>
          </w:tcPr>
          <w:p>
            <w:pPr>
              <w:spacing w:after="0"/>
              <w:rPr>
                <w:sz w:val="20"/>
                <w:szCs w:val="20"/>
                <w:color w:val="auto"/>
              </w:rPr>
            </w:pP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223</w:t>
            </w:r>
          </w:p>
        </w:tc>
        <w:tc>
          <w:tcPr>
            <w:tcW w:w="300" w:type="dxa"/>
            <w:vAlign w:val="bottom"/>
          </w:tcPr>
          <w:p>
            <w:pPr>
              <w:spacing w:after="0"/>
              <w:rPr>
                <w:sz w:val="20"/>
                <w:szCs w:val="20"/>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350</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(38.0)</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97"/>
              </w:rPr>
              <w:t>(8.7)</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(22.0)</w:t>
            </w:r>
          </w:p>
        </w:tc>
        <w:tc>
          <w:tcPr>
            <w:tcW w:w="20" w:type="dxa"/>
            <w:vAlign w:val="bottom"/>
            <w:shd w:val="clear" w:color="auto" w:fill="000000"/>
          </w:tcPr>
          <w:p>
            <w:pPr>
              <w:spacing w:after="0"/>
              <w:rPr>
                <w:sz w:val="20"/>
                <w:szCs w:val="20"/>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rPr>
              <w:t>(12.9)</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7"/>
              </w:rPr>
              <w:t>(24.3)</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620" w:type="dxa"/>
            <w:vAlign w:val="bottom"/>
          </w:tcPr>
          <w:p>
            <w:pPr>
              <w:spacing w:after="0"/>
              <w:rPr>
                <w:sz w:val="20"/>
                <w:szCs w:val="20"/>
                <w:color w:val="auto"/>
              </w:rPr>
            </w:pPr>
            <w:r>
              <w:rPr>
                <w:rFonts w:ascii="Arial" w:cs="Arial" w:eastAsia="Arial" w:hAnsi="Arial"/>
                <w:sz w:val="18"/>
                <w:szCs w:val="18"/>
                <w:b w:val="1"/>
                <w:bCs w:val="1"/>
                <w:color w:val="auto"/>
              </w:rPr>
              <w:t>Oncology</w:t>
            </w:r>
          </w:p>
        </w:tc>
        <w:tc>
          <w:tcPr>
            <w:tcW w:w="9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2,791</w:t>
            </w:r>
          </w:p>
        </w:tc>
        <w:tc>
          <w:tcPr>
            <w:tcW w:w="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2,186</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4,977</w:t>
            </w:r>
          </w:p>
        </w:tc>
        <w:tc>
          <w:tcPr>
            <w:tcW w:w="20" w:type="dxa"/>
            <w:vAlign w:val="bottom"/>
            <w:shd w:val="clear" w:color="auto" w:fill="000000"/>
          </w:tcPr>
          <w:p>
            <w:pPr>
              <w:spacing w:after="0"/>
              <w:rPr>
                <w:sz w:val="23"/>
                <w:szCs w:val="23"/>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7"/>
              </w:rPr>
              <w:t>(9.5)</w:t>
            </w:r>
          </w:p>
        </w:tc>
        <w:tc>
          <w:tcPr>
            <w:tcW w:w="72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rPr>
              <w:t>14.6</w:t>
            </w:r>
          </w:p>
        </w:tc>
        <w:tc>
          <w:tcPr>
            <w:tcW w:w="360" w:type="dxa"/>
            <w:vAlign w:val="bottom"/>
          </w:tcPr>
          <w:p>
            <w:pPr>
              <w:spacing w:after="0"/>
              <w:rPr>
                <w:sz w:val="23"/>
                <w:szCs w:val="23"/>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7"/>
              </w:rPr>
              <w:t>(0.3)</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7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6"/>
              </w:rPr>
              <w:t>11.5</w:t>
            </w:r>
          </w:p>
        </w:tc>
        <w:tc>
          <w:tcPr>
            <w:tcW w:w="300" w:type="dxa"/>
            <w:vAlign w:val="bottom"/>
          </w:tcPr>
          <w:p>
            <w:pPr>
              <w:spacing w:after="0"/>
              <w:rPr>
                <w:sz w:val="23"/>
                <w:szCs w:val="23"/>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rPr>
              <w:t>(1.5)</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0"/>
              <w:spacing w:after="0"/>
              <w:rPr>
                <w:sz w:val="20"/>
                <w:szCs w:val="20"/>
                <w:color w:val="auto"/>
              </w:rPr>
            </w:pPr>
            <w:r>
              <w:rPr>
                <w:rFonts w:ascii="Arial" w:cs="Arial" w:eastAsia="Arial" w:hAnsi="Arial"/>
                <w:sz w:val="18"/>
                <w:szCs w:val="18"/>
                <w:color w:val="auto"/>
              </w:rPr>
              <w:t>Venclexta</w:t>
            </w:r>
          </w:p>
        </w:tc>
        <w:tc>
          <w:tcPr>
            <w:tcW w:w="920" w:type="dxa"/>
            <w:vAlign w:val="bottom"/>
            <w:gridSpan w:val="3"/>
          </w:tcPr>
          <w:p>
            <w:pPr>
              <w:jc w:val="center"/>
              <w:ind w:right="60"/>
              <w:spacing w:after="0"/>
              <w:rPr>
                <w:sz w:val="20"/>
                <w:szCs w:val="20"/>
                <w:color w:val="auto"/>
              </w:rPr>
            </w:pPr>
            <w:r>
              <w:rPr>
                <w:rFonts w:ascii="Arial" w:cs="Arial" w:eastAsia="Arial" w:hAnsi="Arial"/>
                <w:sz w:val="18"/>
                <w:szCs w:val="18"/>
                <w:color w:val="auto"/>
              </w:rPr>
              <w:t>1,095</w:t>
            </w: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97"/>
              </w:rPr>
              <w:t>1,249</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2,344</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12.4</w:t>
            </w:r>
          </w:p>
        </w:tc>
        <w:tc>
          <w:tcPr>
            <w:tcW w:w="720" w:type="dxa"/>
            <w:vAlign w:val="bottom"/>
            <w:gridSpan w:val="2"/>
          </w:tcPr>
          <w:p>
            <w:pPr>
              <w:jc w:val="center"/>
              <w:ind w:left="270"/>
              <w:spacing w:after="0"/>
              <w:rPr>
                <w:sz w:val="20"/>
                <w:szCs w:val="20"/>
                <w:color w:val="auto"/>
              </w:rPr>
            </w:pPr>
            <w:r>
              <w:rPr>
                <w:rFonts w:ascii="Arial" w:cs="Arial" w:eastAsia="Arial" w:hAnsi="Arial"/>
                <w:sz w:val="18"/>
                <w:szCs w:val="18"/>
                <w:color w:val="auto"/>
              </w:rPr>
              <w:t>12.8</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7.9</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10.0</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0"/>
              <w:spacing w:after="0" w:line="230" w:lineRule="exact"/>
              <w:rPr>
                <w:sz w:val="20"/>
                <w:szCs w:val="20"/>
                <w:color w:val="auto"/>
              </w:rPr>
            </w:pPr>
            <w:r>
              <w:rPr>
                <w:rFonts w:ascii="Arial" w:cs="Arial" w:eastAsia="Arial" w:hAnsi="Arial"/>
                <w:sz w:val="18"/>
                <w:szCs w:val="18"/>
                <w:color w:val="auto"/>
              </w:rPr>
              <w:t>Imbruvica</w:t>
            </w:r>
            <w:r>
              <w:rPr>
                <w:rFonts w:ascii="Arial" w:cs="Arial" w:eastAsia="Arial" w:hAnsi="Arial"/>
                <w:sz w:val="23"/>
                <w:szCs w:val="23"/>
                <w:color w:val="auto"/>
                <w:vertAlign w:val="superscript"/>
              </w:rPr>
              <w:t>b</w:t>
            </w:r>
          </w:p>
        </w:tc>
        <w:tc>
          <w:tcPr>
            <w:tcW w:w="920" w:type="dxa"/>
            <w:vAlign w:val="bottom"/>
            <w:gridSpan w:val="3"/>
          </w:tcPr>
          <w:p>
            <w:pPr>
              <w:jc w:val="center"/>
              <w:ind w:right="60"/>
              <w:spacing w:after="0"/>
              <w:rPr>
                <w:sz w:val="20"/>
                <w:szCs w:val="20"/>
                <w:color w:val="auto"/>
              </w:rPr>
            </w:pPr>
            <w:r>
              <w:rPr>
                <w:rFonts w:ascii="Arial" w:cs="Arial" w:eastAsia="Arial" w:hAnsi="Arial"/>
                <w:sz w:val="18"/>
                <w:szCs w:val="18"/>
                <w:color w:val="auto"/>
              </w:rPr>
              <w:t>1,009</w:t>
            </w: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601</w:t>
            </w:r>
          </w:p>
        </w:tc>
        <w:tc>
          <w:tcPr>
            <w:tcW w:w="30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1,610</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(36.1)</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97"/>
              </w:rPr>
              <w:t>(2.9)</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(26.8)</w:t>
            </w: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7"/>
              </w:rPr>
              <w:t>(2.9)</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7"/>
              </w:rPr>
              <w:t>(26.8)</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0"/>
              <w:spacing w:after="0"/>
              <w:rPr>
                <w:sz w:val="20"/>
                <w:szCs w:val="20"/>
                <w:color w:val="auto"/>
              </w:rPr>
            </w:pPr>
            <w:r>
              <w:rPr>
                <w:rFonts w:ascii="Arial" w:cs="Arial" w:eastAsia="Arial" w:hAnsi="Arial"/>
                <w:sz w:val="18"/>
                <w:szCs w:val="18"/>
                <w:color w:val="auto"/>
              </w:rPr>
              <w:t>Elahere</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487</w:t>
            </w:r>
          </w:p>
        </w:tc>
        <w:tc>
          <w:tcPr>
            <w:tcW w:w="320" w:type="dxa"/>
            <w:vAlign w:val="bottom"/>
          </w:tcPr>
          <w:p>
            <w:pPr>
              <w:spacing w:after="0"/>
              <w:rPr>
                <w:sz w:val="19"/>
                <w:szCs w:val="19"/>
                <w:color w:val="auto"/>
              </w:rPr>
            </w:pP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146</w:t>
            </w:r>
          </w:p>
        </w:tc>
        <w:tc>
          <w:tcPr>
            <w:tcW w:w="30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633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7.4</w:t>
            </w:r>
          </w:p>
        </w:tc>
        <w:tc>
          <w:tcPr>
            <w:tcW w:w="240" w:type="dxa"/>
            <w:vAlign w:val="bottom"/>
          </w:tcPr>
          <w:p>
            <w:pPr>
              <w:spacing w:after="0"/>
              <w:rPr>
                <w:sz w:val="19"/>
                <w:szCs w:val="19"/>
                <w:color w:val="auto"/>
              </w:rPr>
            </w:pP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rPr>
              <w:t>&gt;100.0</w:t>
            </w: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23.3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0"/>
              <w:spacing w:after="0" w:line="230" w:lineRule="exact"/>
              <w:rPr>
                <w:sz w:val="20"/>
                <w:szCs w:val="20"/>
                <w:color w:val="auto"/>
              </w:rPr>
            </w:pPr>
            <w:r>
              <w:rPr>
                <w:rFonts w:ascii="Arial" w:cs="Arial" w:eastAsia="Arial" w:hAnsi="Arial"/>
                <w:sz w:val="18"/>
                <w:szCs w:val="18"/>
                <w:color w:val="auto"/>
              </w:rPr>
              <w:t>Epkinly</w:t>
            </w:r>
            <w:r>
              <w:rPr>
                <w:rFonts w:ascii="Arial" w:cs="Arial" w:eastAsia="Arial" w:hAnsi="Arial"/>
                <w:sz w:val="23"/>
                <w:szCs w:val="23"/>
                <w:color w:val="auto"/>
                <w:vertAlign w:val="superscript"/>
              </w:rPr>
              <w:t>c</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104</w:t>
            </w:r>
          </w:p>
        </w:tc>
        <w:tc>
          <w:tcPr>
            <w:tcW w:w="320" w:type="dxa"/>
            <w:vAlign w:val="bottom"/>
          </w:tcPr>
          <w:p>
            <w:pPr>
              <w:spacing w:after="0"/>
              <w:rPr>
                <w:sz w:val="19"/>
                <w:szCs w:val="19"/>
                <w:color w:val="auto"/>
              </w:rPr>
            </w:pP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190</w:t>
            </w:r>
          </w:p>
        </w:tc>
        <w:tc>
          <w:tcPr>
            <w:tcW w:w="30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294</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64.7</w:t>
            </w:r>
          </w:p>
        </w:tc>
        <w:tc>
          <w:tcPr>
            <w:tcW w:w="720" w:type="dxa"/>
            <w:vAlign w:val="bottom"/>
            <w:gridSpan w:val="2"/>
          </w:tcPr>
          <w:p>
            <w:pPr>
              <w:jc w:val="center"/>
              <w:ind w:left="270"/>
              <w:spacing w:after="0"/>
              <w:rPr>
                <w:sz w:val="20"/>
                <w:szCs w:val="20"/>
                <w:color w:val="auto"/>
              </w:rPr>
            </w:pPr>
            <w:r>
              <w:rPr>
                <w:rFonts w:ascii="Arial" w:cs="Arial" w:eastAsia="Arial" w:hAnsi="Arial"/>
                <w:sz w:val="18"/>
                <w:szCs w:val="18"/>
                <w:color w:val="auto"/>
              </w:rPr>
              <w:t>49.9</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50.5</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55.3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20" w:type="dxa"/>
            <w:vAlign w:val="bottom"/>
          </w:tcPr>
          <w:p>
            <w:pPr>
              <w:ind w:left="200"/>
              <w:spacing w:after="0"/>
              <w:rPr>
                <w:sz w:val="20"/>
                <w:szCs w:val="20"/>
                <w:color w:val="auto"/>
              </w:rPr>
            </w:pPr>
            <w:r>
              <w:rPr>
                <w:rFonts w:ascii="Arial" w:cs="Arial" w:eastAsia="Arial" w:hAnsi="Arial"/>
                <w:sz w:val="18"/>
                <w:szCs w:val="18"/>
                <w:color w:val="auto"/>
              </w:rPr>
              <w:t>Other Oncology</w:t>
            </w:r>
          </w:p>
        </w:tc>
        <w:tc>
          <w:tcPr>
            <w:tcW w:w="6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96</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96</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&gt;100.0</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20"/>
                <w:szCs w:val="20"/>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rPr>
              <w:t>&gt;100.0</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620" w:type="dxa"/>
            <w:vAlign w:val="bottom"/>
          </w:tcPr>
          <w:p>
            <w:pPr>
              <w:spacing w:after="0"/>
              <w:rPr>
                <w:sz w:val="20"/>
                <w:szCs w:val="20"/>
                <w:color w:val="auto"/>
              </w:rPr>
            </w:pPr>
            <w:r>
              <w:rPr>
                <w:rFonts w:ascii="Arial" w:cs="Arial" w:eastAsia="Arial" w:hAnsi="Arial"/>
                <w:sz w:val="18"/>
                <w:szCs w:val="18"/>
                <w:b w:val="1"/>
                <w:bCs w:val="1"/>
                <w:color w:val="auto"/>
              </w:rPr>
              <w:t>Aesthetics</w:t>
            </w:r>
          </w:p>
        </w:tc>
        <w:tc>
          <w:tcPr>
            <w:tcW w:w="9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2,188</w:t>
            </w:r>
          </w:p>
        </w:tc>
        <w:tc>
          <w:tcPr>
            <w:tcW w:w="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1,456</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3,644</w:t>
            </w:r>
          </w:p>
        </w:tc>
        <w:tc>
          <w:tcPr>
            <w:tcW w:w="20" w:type="dxa"/>
            <w:vAlign w:val="bottom"/>
            <w:shd w:val="clear" w:color="auto" w:fill="000000"/>
          </w:tcPr>
          <w:p>
            <w:pPr>
              <w:spacing w:after="0"/>
              <w:rPr>
                <w:sz w:val="23"/>
                <w:szCs w:val="23"/>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5"/>
              </w:rPr>
              <w:t>0.5</w:t>
            </w:r>
          </w:p>
        </w:tc>
        <w:tc>
          <w:tcPr>
            <w:tcW w:w="240" w:type="dxa"/>
            <w:vAlign w:val="bottom"/>
          </w:tcPr>
          <w:p>
            <w:pPr>
              <w:spacing w:after="0"/>
              <w:rPr>
                <w:sz w:val="23"/>
                <w:szCs w:val="23"/>
                <w:color w:val="auto"/>
              </w:rPr>
            </w:pPr>
          </w:p>
        </w:tc>
        <w:tc>
          <w:tcPr>
            <w:tcW w:w="72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95"/>
              </w:rPr>
              <w:t>4.3</w:t>
            </w:r>
          </w:p>
        </w:tc>
        <w:tc>
          <w:tcPr>
            <w:tcW w:w="360" w:type="dxa"/>
            <w:vAlign w:val="bottom"/>
          </w:tcPr>
          <w:p>
            <w:pPr>
              <w:spacing w:after="0"/>
              <w:rPr>
                <w:sz w:val="23"/>
                <w:szCs w:val="23"/>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5"/>
              </w:rPr>
              <w:t>2.0</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5"/>
              </w:rPr>
              <w:t>0.9</w:t>
            </w:r>
          </w:p>
        </w:tc>
        <w:tc>
          <w:tcPr>
            <w:tcW w:w="300" w:type="dxa"/>
            <w:vAlign w:val="bottom"/>
          </w:tcPr>
          <w:p>
            <w:pPr>
              <w:spacing w:after="0"/>
              <w:rPr>
                <w:sz w:val="23"/>
                <w:szCs w:val="23"/>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rPr>
              <w:t>0.7</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0"/>
              <w:spacing w:after="0"/>
              <w:rPr>
                <w:sz w:val="20"/>
                <w:szCs w:val="20"/>
                <w:color w:val="auto"/>
              </w:rPr>
            </w:pPr>
            <w:r>
              <w:rPr>
                <w:rFonts w:ascii="Arial" w:cs="Arial" w:eastAsia="Arial" w:hAnsi="Arial"/>
                <w:sz w:val="18"/>
                <w:szCs w:val="18"/>
                <w:color w:val="auto"/>
              </w:rPr>
              <w:t>Botox Cosmetic</w:t>
            </w:r>
          </w:p>
        </w:tc>
        <w:tc>
          <w:tcPr>
            <w:tcW w:w="920" w:type="dxa"/>
            <w:vAlign w:val="bottom"/>
            <w:gridSpan w:val="3"/>
          </w:tcPr>
          <w:p>
            <w:pPr>
              <w:jc w:val="center"/>
              <w:ind w:right="60"/>
              <w:spacing w:after="0"/>
              <w:rPr>
                <w:sz w:val="20"/>
                <w:szCs w:val="20"/>
                <w:color w:val="auto"/>
              </w:rPr>
            </w:pPr>
            <w:r>
              <w:rPr>
                <w:rFonts w:ascii="Arial" w:cs="Arial" w:eastAsia="Arial" w:hAnsi="Arial"/>
                <w:sz w:val="18"/>
                <w:szCs w:val="18"/>
                <w:color w:val="auto"/>
              </w:rPr>
              <w:t>1,159</w:t>
            </w: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906</w:t>
            </w:r>
          </w:p>
        </w:tc>
        <w:tc>
          <w:tcPr>
            <w:tcW w:w="30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2,065</w:t>
            </w: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6.9</w:t>
            </w:r>
          </w:p>
        </w:tc>
        <w:tc>
          <w:tcPr>
            <w:tcW w:w="240" w:type="dxa"/>
            <w:vAlign w:val="bottom"/>
          </w:tcPr>
          <w:p>
            <w:pPr>
              <w:spacing w:after="0"/>
              <w:rPr>
                <w:sz w:val="19"/>
                <w:szCs w:val="19"/>
                <w:color w:val="auto"/>
              </w:rPr>
            </w:pPr>
          </w:p>
        </w:tc>
        <w:tc>
          <w:tcPr>
            <w:tcW w:w="720" w:type="dxa"/>
            <w:vAlign w:val="bottom"/>
            <w:gridSpan w:val="2"/>
          </w:tcPr>
          <w:p>
            <w:pPr>
              <w:jc w:val="center"/>
              <w:ind w:left="270"/>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9.5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8.7</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0"/>
              <w:spacing w:after="0"/>
              <w:rPr>
                <w:sz w:val="20"/>
                <w:szCs w:val="20"/>
                <w:color w:val="auto"/>
              </w:rPr>
            </w:pPr>
            <w:r>
              <w:rPr>
                <w:rFonts w:ascii="Arial" w:cs="Arial" w:eastAsia="Arial" w:hAnsi="Arial"/>
                <w:sz w:val="18"/>
                <w:szCs w:val="18"/>
                <w:color w:val="auto"/>
              </w:rPr>
              <w:t>Juvederm Collection</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278</w:t>
            </w:r>
          </w:p>
        </w:tc>
        <w:tc>
          <w:tcPr>
            <w:tcW w:w="320" w:type="dxa"/>
            <w:vAlign w:val="bottom"/>
          </w:tcPr>
          <w:p>
            <w:pPr>
              <w:spacing w:after="0"/>
              <w:rPr>
                <w:sz w:val="19"/>
                <w:szCs w:val="19"/>
                <w:color w:val="auto"/>
              </w:rPr>
            </w:pP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421</w:t>
            </w:r>
          </w:p>
        </w:tc>
        <w:tc>
          <w:tcPr>
            <w:tcW w:w="30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699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0.3</w:t>
            </w:r>
          </w:p>
        </w:tc>
        <w:tc>
          <w:tcPr>
            <w:tcW w:w="240" w:type="dxa"/>
            <w:vAlign w:val="bottom"/>
          </w:tcPr>
          <w:p>
            <w:pPr>
              <w:spacing w:after="0"/>
              <w:rPr>
                <w:sz w:val="19"/>
                <w:szCs w:val="19"/>
                <w:color w:val="auto"/>
              </w:rPr>
            </w:pP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97"/>
              </w:rPr>
              <w:t>(9.8)</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(6.0)</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7"/>
              </w:rPr>
              <w:t>(11.8)</w:t>
            </w: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20" w:type="dxa"/>
            <w:vAlign w:val="bottom"/>
          </w:tcPr>
          <w:p>
            <w:pPr>
              <w:ind w:left="200"/>
              <w:spacing w:after="0"/>
              <w:rPr>
                <w:sz w:val="20"/>
                <w:szCs w:val="20"/>
                <w:color w:val="auto"/>
              </w:rPr>
            </w:pPr>
            <w:r>
              <w:rPr>
                <w:rFonts w:ascii="Arial" w:cs="Arial" w:eastAsia="Arial" w:hAnsi="Arial"/>
                <w:sz w:val="18"/>
                <w:szCs w:val="18"/>
                <w:color w:val="auto"/>
              </w:rPr>
              <w:t>Other Aesthetics</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751</w:t>
            </w:r>
          </w:p>
        </w:tc>
        <w:tc>
          <w:tcPr>
            <w:tcW w:w="320" w:type="dxa"/>
            <w:vAlign w:val="bottom"/>
          </w:tcPr>
          <w:p>
            <w:pPr>
              <w:spacing w:after="0"/>
              <w:rPr>
                <w:sz w:val="20"/>
                <w:szCs w:val="20"/>
                <w:color w:val="auto"/>
              </w:rPr>
            </w:pP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129</w:t>
            </w:r>
          </w:p>
        </w:tc>
        <w:tc>
          <w:tcPr>
            <w:tcW w:w="300" w:type="dxa"/>
            <w:vAlign w:val="bottom"/>
          </w:tcPr>
          <w:p>
            <w:pPr>
              <w:spacing w:after="0"/>
              <w:rPr>
                <w:sz w:val="20"/>
                <w:szCs w:val="20"/>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880</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(8.1)</w:t>
            </w:r>
          </w:p>
        </w:tc>
        <w:tc>
          <w:tcPr>
            <w:tcW w:w="720" w:type="dxa"/>
            <w:vAlign w:val="bottom"/>
            <w:gridSpan w:val="2"/>
          </w:tcPr>
          <w:p>
            <w:pPr>
              <w:jc w:val="center"/>
              <w:ind w:left="270"/>
              <w:spacing w:after="0"/>
              <w:rPr>
                <w:sz w:val="20"/>
                <w:szCs w:val="20"/>
                <w:color w:val="auto"/>
              </w:rPr>
            </w:pPr>
            <w:r>
              <w:rPr>
                <w:rFonts w:ascii="Arial" w:cs="Arial" w:eastAsia="Arial" w:hAnsi="Arial"/>
                <w:sz w:val="18"/>
                <w:szCs w:val="18"/>
                <w:color w:val="auto"/>
                <w:w w:val="95"/>
              </w:rPr>
              <w:t>1.0</w:t>
            </w:r>
          </w:p>
        </w:tc>
        <w:tc>
          <w:tcPr>
            <w:tcW w:w="360" w:type="dxa"/>
            <w:vAlign w:val="bottom"/>
          </w:tcPr>
          <w:p>
            <w:pPr>
              <w:spacing w:after="0"/>
              <w:rPr>
                <w:sz w:val="20"/>
                <w:szCs w:val="20"/>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(6.9)</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7"/>
              </w:rPr>
              <w:t>(1.2)</w:t>
            </w: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620" w:type="dxa"/>
            <w:vAlign w:val="bottom"/>
          </w:tcPr>
          <w:p>
            <w:pPr>
              <w:spacing w:after="0"/>
              <w:rPr>
                <w:sz w:val="20"/>
                <w:szCs w:val="20"/>
                <w:color w:val="auto"/>
              </w:rPr>
            </w:pPr>
            <w:r>
              <w:rPr>
                <w:rFonts w:ascii="Arial" w:cs="Arial" w:eastAsia="Arial" w:hAnsi="Arial"/>
                <w:sz w:val="18"/>
                <w:szCs w:val="18"/>
                <w:b w:val="1"/>
                <w:bCs w:val="1"/>
                <w:color w:val="auto"/>
              </w:rPr>
              <w:t>Other Key Products</w:t>
            </w:r>
          </w:p>
        </w:tc>
        <w:tc>
          <w:tcPr>
            <w:tcW w:w="9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2,377</w:t>
            </w:r>
          </w:p>
        </w:tc>
        <w:tc>
          <w:tcPr>
            <w:tcW w:w="66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9"/>
              </w:rPr>
              <w:t>518</w:t>
            </w:r>
          </w:p>
        </w:tc>
        <w:tc>
          <w:tcPr>
            <w:tcW w:w="300" w:type="dxa"/>
            <w:vAlign w:val="bottom"/>
          </w:tcPr>
          <w:p>
            <w:pPr>
              <w:spacing w:after="0"/>
              <w:rPr>
                <w:sz w:val="23"/>
                <w:szCs w:val="23"/>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2,895</w:t>
            </w:r>
          </w:p>
        </w:tc>
        <w:tc>
          <w:tcPr>
            <w:tcW w:w="20" w:type="dxa"/>
            <w:vAlign w:val="bottom"/>
            <w:shd w:val="clear" w:color="auto" w:fill="000000"/>
          </w:tcPr>
          <w:p>
            <w:pPr>
              <w:spacing w:after="0"/>
              <w:rPr>
                <w:sz w:val="23"/>
                <w:szCs w:val="23"/>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5"/>
              </w:rPr>
              <w:t>3.3</w:t>
            </w:r>
          </w:p>
        </w:tc>
        <w:tc>
          <w:tcPr>
            <w:tcW w:w="240" w:type="dxa"/>
            <w:vAlign w:val="bottom"/>
          </w:tcPr>
          <w:p>
            <w:pPr>
              <w:spacing w:after="0"/>
              <w:rPr>
                <w:sz w:val="23"/>
                <w:szCs w:val="23"/>
                <w:color w:val="auto"/>
              </w:rPr>
            </w:pPr>
          </w:p>
        </w:tc>
        <w:tc>
          <w:tcPr>
            <w:tcW w:w="1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(6.2)</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5"/>
              </w:rPr>
              <w:t>1.5</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7"/>
              </w:rPr>
              <w:t>(9.7)</w:t>
            </w:r>
          </w:p>
        </w:tc>
        <w:tc>
          <w:tcPr>
            <w:tcW w:w="6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rPr>
              <w:t>0.8</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0"/>
              <w:spacing w:after="0"/>
              <w:rPr>
                <w:sz w:val="20"/>
                <w:szCs w:val="20"/>
                <w:color w:val="auto"/>
              </w:rPr>
            </w:pPr>
            <w:r>
              <w:rPr>
                <w:rFonts w:ascii="Arial" w:cs="Arial" w:eastAsia="Arial" w:hAnsi="Arial"/>
                <w:sz w:val="18"/>
                <w:szCs w:val="18"/>
                <w:color w:val="auto"/>
              </w:rPr>
              <w:t>Mavyret</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431</w:t>
            </w:r>
          </w:p>
        </w:tc>
        <w:tc>
          <w:tcPr>
            <w:tcW w:w="320" w:type="dxa"/>
            <w:vAlign w:val="bottom"/>
          </w:tcPr>
          <w:p>
            <w:pPr>
              <w:spacing w:after="0"/>
              <w:rPr>
                <w:sz w:val="19"/>
                <w:szCs w:val="19"/>
                <w:color w:val="auto"/>
              </w:rPr>
            </w:pP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480</w:t>
            </w:r>
          </w:p>
        </w:tc>
        <w:tc>
          <w:tcPr>
            <w:tcW w:w="300" w:type="dxa"/>
            <w:vAlign w:val="bottom"/>
          </w:tcPr>
          <w:p>
            <w:pPr>
              <w:spacing w:after="0"/>
              <w:rPr>
                <w:sz w:val="19"/>
                <w:szCs w:val="19"/>
                <w:color w:val="auto"/>
              </w:rPr>
            </w:pPr>
          </w:p>
        </w:tc>
        <w:tc>
          <w:tcPr>
            <w:tcW w:w="700" w:type="dxa"/>
            <w:vAlign w:val="bottom"/>
            <w:gridSpan w:val="2"/>
          </w:tcPr>
          <w:p>
            <w:pPr>
              <w:jc w:val="center"/>
              <w:ind w:left="210"/>
              <w:spacing w:after="0"/>
              <w:rPr>
                <w:sz w:val="20"/>
                <w:szCs w:val="20"/>
                <w:color w:val="auto"/>
              </w:rPr>
            </w:pPr>
            <w:r>
              <w:rPr>
                <w:rFonts w:ascii="Arial" w:cs="Arial" w:eastAsia="Arial" w:hAnsi="Arial"/>
                <w:sz w:val="18"/>
                <w:szCs w:val="18"/>
                <w:color w:val="auto"/>
                <w:w w:val="93"/>
              </w:rPr>
              <w:t>911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(8.8)</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97"/>
              </w:rPr>
              <w:t>(7.8)</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(8.3)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7"/>
              </w:rPr>
              <w:t>(11.2)</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7"/>
              </w:rPr>
              <w:t>(10.1)</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0"/>
              <w:spacing w:after="0"/>
              <w:rPr>
                <w:sz w:val="20"/>
                <w:szCs w:val="20"/>
                <w:color w:val="auto"/>
              </w:rPr>
            </w:pPr>
            <w:r>
              <w:rPr>
                <w:rFonts w:ascii="Arial" w:cs="Arial" w:eastAsia="Arial" w:hAnsi="Arial"/>
                <w:sz w:val="18"/>
                <w:szCs w:val="18"/>
                <w:color w:val="auto"/>
              </w:rPr>
              <w:t>Creon</w:t>
            </w:r>
          </w:p>
        </w:tc>
        <w:tc>
          <w:tcPr>
            <w:tcW w:w="920" w:type="dxa"/>
            <w:vAlign w:val="bottom"/>
            <w:gridSpan w:val="3"/>
          </w:tcPr>
          <w:p>
            <w:pPr>
              <w:jc w:val="center"/>
              <w:ind w:right="60"/>
              <w:spacing w:after="0"/>
              <w:rPr>
                <w:sz w:val="20"/>
                <w:szCs w:val="20"/>
                <w:color w:val="auto"/>
              </w:rPr>
            </w:pPr>
            <w:r>
              <w:rPr>
                <w:rFonts w:ascii="Arial" w:cs="Arial" w:eastAsia="Arial" w:hAnsi="Arial"/>
                <w:sz w:val="18"/>
                <w:szCs w:val="18"/>
                <w:color w:val="auto"/>
              </w:rPr>
              <w:t>1,067</w:t>
            </w:r>
          </w:p>
        </w:tc>
        <w:tc>
          <w:tcPr>
            <w:tcW w:w="300" w:type="dxa"/>
            <w:vAlign w:val="bottom"/>
          </w:tcPr>
          <w:p>
            <w:pPr>
              <w:spacing w:after="0"/>
              <w:rPr>
                <w:sz w:val="19"/>
                <w:szCs w:val="19"/>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1,067</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(5.4)</w:t>
            </w:r>
          </w:p>
        </w:tc>
        <w:tc>
          <w:tcPr>
            <w:tcW w:w="360" w:type="dxa"/>
            <w:vAlign w:val="bottom"/>
          </w:tcPr>
          <w:p>
            <w:pPr>
              <w:spacing w:after="0"/>
              <w:rPr>
                <w:sz w:val="19"/>
                <w:szCs w:val="19"/>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n/m</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(5.4)</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n/m</w:t>
            </w: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620" w:type="dxa"/>
            <w:vAlign w:val="bottom"/>
          </w:tcPr>
          <w:p>
            <w:pPr>
              <w:ind w:left="200"/>
              <w:spacing w:after="0"/>
              <w:rPr>
                <w:sz w:val="20"/>
                <w:szCs w:val="20"/>
                <w:color w:val="auto"/>
              </w:rPr>
            </w:pPr>
            <w:r>
              <w:rPr>
                <w:rFonts w:ascii="Arial" w:cs="Arial" w:eastAsia="Arial" w:hAnsi="Arial"/>
                <w:sz w:val="18"/>
                <w:szCs w:val="18"/>
                <w:color w:val="auto"/>
              </w:rPr>
              <w:t>Linzess</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879</w:t>
            </w:r>
          </w:p>
        </w:tc>
        <w:tc>
          <w:tcPr>
            <w:tcW w:w="320" w:type="dxa"/>
            <w:vAlign w:val="bottom"/>
          </w:tcPr>
          <w:p>
            <w:pPr>
              <w:spacing w:after="0"/>
              <w:rPr>
                <w:sz w:val="20"/>
                <w:szCs w:val="20"/>
                <w:color w:val="auto"/>
              </w:rPr>
            </w:pPr>
          </w:p>
        </w:tc>
        <w:tc>
          <w:tcPr>
            <w:tcW w:w="66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38</w:t>
            </w:r>
          </w:p>
        </w:tc>
        <w:tc>
          <w:tcPr>
            <w:tcW w:w="300" w:type="dxa"/>
            <w:vAlign w:val="bottom"/>
          </w:tcPr>
          <w:p>
            <w:pPr>
              <w:spacing w:after="0"/>
              <w:rPr>
                <w:sz w:val="20"/>
                <w:szCs w:val="20"/>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917</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25.5</w:t>
            </w:r>
          </w:p>
        </w:tc>
        <w:tc>
          <w:tcPr>
            <w:tcW w:w="720" w:type="dxa"/>
            <w:vAlign w:val="bottom"/>
            <w:gridSpan w:val="2"/>
          </w:tcPr>
          <w:p>
            <w:pPr>
              <w:jc w:val="center"/>
              <w:ind w:left="270"/>
              <w:spacing w:after="0"/>
              <w:rPr>
                <w:sz w:val="20"/>
                <w:szCs w:val="20"/>
                <w:color w:val="auto"/>
              </w:rPr>
            </w:pPr>
            <w:r>
              <w:rPr>
                <w:rFonts w:ascii="Arial" w:cs="Arial" w:eastAsia="Arial" w:hAnsi="Arial"/>
                <w:sz w:val="18"/>
                <w:szCs w:val="18"/>
                <w:color w:val="auto"/>
              </w:rPr>
              <w:t>19.9</w:t>
            </w:r>
          </w:p>
        </w:tc>
        <w:tc>
          <w:tcPr>
            <w:tcW w:w="360" w:type="dxa"/>
            <w:vAlign w:val="bottom"/>
          </w:tcPr>
          <w:p>
            <w:pPr>
              <w:spacing w:after="0"/>
              <w:rPr>
                <w:sz w:val="20"/>
                <w:szCs w:val="20"/>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20"/>
                <w:szCs w:val="20"/>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25.0</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820" w:firstLine="8"/>
        <w:spacing w:after="0" w:line="341" w:lineRule="auto"/>
        <w:tabs>
          <w:tab w:leader="none" w:pos="78"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 xml:space="preserve">"Operational" comparisons are presented at constant currency rates that reflect comparative local currency net revenues at the prior year's foreign exchange rates. </w:t>
      </w:r>
      <w:r>
        <w:rPr>
          <w:rFonts w:ascii="Arial" w:cs="Arial" w:eastAsia="Arial" w:hAnsi="Arial"/>
          <w:sz w:val="17"/>
          <w:szCs w:val="17"/>
          <w:color w:val="auto"/>
          <w:vertAlign w:val="superscript"/>
        </w:rPr>
        <w:t>b</w:t>
      </w:r>
      <w:r>
        <w:rPr>
          <w:rFonts w:ascii="Arial" w:cs="Arial" w:eastAsia="Arial" w:hAnsi="Arial"/>
          <w:sz w:val="14"/>
          <w:szCs w:val="14"/>
          <w:color w:val="auto"/>
        </w:rPr>
        <w:t xml:space="preserve"> Reflects profit sharing for Imbruvica international revenues.</w:t>
      </w:r>
    </w:p>
    <w:p>
      <w:pPr>
        <w:spacing w:after="0" w:line="4" w:lineRule="exact"/>
        <w:rPr>
          <w:sz w:val="20"/>
          <w:szCs w:val="20"/>
          <w:color w:val="auto"/>
        </w:rPr>
      </w:pPr>
    </w:p>
    <w:p>
      <w:pPr>
        <w:ind w:right="1520" w:firstLine="8"/>
        <w:spacing w:after="0" w:line="340" w:lineRule="auto"/>
        <w:tabs>
          <w:tab w:leader="none" w:pos="73"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Epkinly U.S. revenues reflect profit sharing. International revenues reflect product revenues as well as profit sharing from certain international territories. n/m = not meaningful</w:t>
      </w:r>
    </w:p>
    <w:p>
      <w:pPr>
        <w:spacing w:after="0" w:line="200" w:lineRule="exact"/>
        <w:rPr>
          <w:sz w:val="20"/>
          <w:szCs w:val="20"/>
          <w:color w:val="auto"/>
        </w:rPr>
      </w:pPr>
    </w:p>
    <w:p>
      <w:pPr>
        <w:spacing w:after="0" w:line="209" w:lineRule="exact"/>
        <w:rPr>
          <w:sz w:val="20"/>
          <w:szCs w:val="20"/>
          <w:color w:val="auto"/>
        </w:rPr>
      </w:pPr>
    </w:p>
    <w:p>
      <w:pPr>
        <w:ind w:left="1114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60"/>
          </w:cols>
          <w:pgMar w:left="320" w:top="894"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AbbVie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Earnings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920" w:type="dxa"/>
            <w:vAlign w:val="bottom"/>
            <w:vMerge w:val="restart"/>
          </w:tcPr>
          <w:p>
            <w:pPr>
              <w:spacing w:after="0"/>
              <w:rPr>
                <w:sz w:val="20"/>
                <w:szCs w:val="20"/>
                <w:color w:val="auto"/>
              </w:rPr>
            </w:pPr>
            <w:r>
              <w:rPr>
                <w:rFonts w:ascii="Arial" w:cs="Arial" w:eastAsia="Arial" w:hAnsi="Arial"/>
                <w:sz w:val="18"/>
                <w:szCs w:val="18"/>
                <w:b w:val="1"/>
                <w:bCs w:val="1"/>
                <w:color w:val="auto"/>
              </w:rPr>
              <w:t>(in millions, except per share data)</w:t>
            </w:r>
          </w:p>
        </w:tc>
        <w:tc>
          <w:tcPr>
            <w:tcW w:w="260" w:type="dxa"/>
            <w:vAlign w:val="bottom"/>
          </w:tcPr>
          <w:p>
            <w:pPr>
              <w:spacing w:after="0"/>
              <w:rPr>
                <w:sz w:val="17"/>
                <w:szCs w:val="17"/>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Third Quarter</w:t>
            </w:r>
          </w:p>
        </w:tc>
        <w:tc>
          <w:tcPr>
            <w:tcW w:w="260" w:type="dxa"/>
            <w:vAlign w:val="bottom"/>
          </w:tcPr>
          <w:p>
            <w:pPr>
              <w:spacing w:after="0"/>
              <w:rPr>
                <w:sz w:val="17"/>
                <w:szCs w:val="17"/>
                <w:color w:val="auto"/>
              </w:rPr>
            </w:pPr>
          </w:p>
        </w:tc>
        <w:tc>
          <w:tcPr>
            <w:tcW w:w="23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w:t>
            </w:r>
          </w:p>
        </w:tc>
        <w:tc>
          <w:tcPr>
            <w:tcW w:w="0" w:type="dxa"/>
            <w:vAlign w:val="bottom"/>
          </w:tcPr>
          <w:p>
            <w:pPr>
              <w:spacing w:after="0"/>
              <w:rPr>
                <w:sz w:val="1"/>
                <w:szCs w:val="1"/>
                <w:color w:val="auto"/>
              </w:rPr>
            </w:pPr>
          </w:p>
        </w:tc>
      </w:tr>
      <w:tr>
        <w:trPr>
          <w:trHeight w:val="235"/>
        </w:trPr>
        <w:tc>
          <w:tcPr>
            <w:tcW w:w="59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Ended September 30</w:t>
            </w:r>
          </w:p>
        </w:tc>
        <w:tc>
          <w:tcPr>
            <w:tcW w:w="260" w:type="dxa"/>
            <w:vAlign w:val="bottom"/>
          </w:tcPr>
          <w:p>
            <w:pPr>
              <w:spacing w:after="0"/>
              <w:rPr>
                <w:sz w:val="20"/>
                <w:szCs w:val="20"/>
                <w:color w:val="auto"/>
              </w:rPr>
            </w:pPr>
          </w:p>
        </w:tc>
        <w:tc>
          <w:tcPr>
            <w:tcW w:w="23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23"/>
        </w:trPr>
        <w:tc>
          <w:tcPr>
            <w:tcW w:w="5920" w:type="dxa"/>
            <w:vAlign w:val="bottom"/>
            <w:vMerge w:val="restart"/>
          </w:tcPr>
          <w:p>
            <w:pPr>
              <w:spacing w:after="0"/>
              <w:rPr>
                <w:sz w:val="20"/>
                <w:szCs w:val="20"/>
                <w:color w:val="auto"/>
              </w:rPr>
            </w:pPr>
            <w:r>
              <w:rPr>
                <w:rFonts w:ascii="Arial" w:cs="Arial" w:eastAsia="Arial" w:hAnsi="Arial"/>
                <w:sz w:val="18"/>
                <w:szCs w:val="18"/>
                <w:color w:val="auto"/>
              </w:rPr>
              <w:t>Net revenues</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18"/>
        </w:trPr>
        <w:tc>
          <w:tcPr>
            <w:tcW w:w="5920" w:type="dxa"/>
            <w:vAlign w:val="bottom"/>
            <w:vMerge w:val="continue"/>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17,404</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15,776</w:t>
            </w:r>
          </w:p>
        </w:tc>
        <w:tc>
          <w:tcPr>
            <w:tcW w:w="12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49,396</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44,542</w:t>
            </w: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8"/>
                <w:szCs w:val="18"/>
                <w:color w:val="auto"/>
              </w:rPr>
              <w:t>Cost of products sold</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13,652</w:t>
            </w: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10,115</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6,517</w:t>
            </w: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8"/>
                <w:szCs w:val="18"/>
                <w:color w:val="auto"/>
              </w:rPr>
              <w:t>Acquired IPR&amp;D and milestones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r>
        <w:trPr>
          <w:trHeight w:val="235"/>
        </w:trPr>
        <w:tc>
          <w:tcPr>
            <w:tcW w:w="5920" w:type="dxa"/>
            <w:vAlign w:val="bottom"/>
          </w:tcPr>
          <w:p>
            <w:pPr>
              <w:spacing w:after="0"/>
              <w:rPr>
                <w:sz w:val="20"/>
                <w:szCs w:val="20"/>
                <w:color w:val="auto"/>
              </w:rPr>
            </w:pPr>
            <w:r>
              <w:rPr>
                <w:rFonts w:ascii="Arial" w:cs="Arial" w:eastAsia="Arial" w:hAnsi="Arial"/>
                <w:sz w:val="18"/>
                <w:szCs w:val="18"/>
                <w:color w:val="auto"/>
              </w:rPr>
              <w:t>Other operating income</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32,707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34,011</w:t>
            </w:r>
          </w:p>
        </w:tc>
        <w:tc>
          <w:tcPr>
            <w:tcW w:w="0" w:type="dxa"/>
            <w:vAlign w:val="bottom"/>
          </w:tcPr>
          <w:p>
            <w:pPr>
              <w:spacing w:after="0"/>
              <w:rPr>
                <w:sz w:val="1"/>
                <w:szCs w:val="1"/>
                <w:color w:val="auto"/>
              </w:rPr>
            </w:pPr>
          </w:p>
        </w:tc>
      </w:tr>
      <w:tr>
        <w:trPr>
          <w:trHeight w:val="470"/>
        </w:trPr>
        <w:tc>
          <w:tcPr>
            <w:tcW w:w="5920" w:type="dxa"/>
            <w:vAlign w:val="bottom"/>
          </w:tcPr>
          <w:p>
            <w:pPr>
              <w:spacing w:after="0"/>
              <w:rPr>
                <w:sz w:val="20"/>
                <w:szCs w:val="20"/>
                <w:color w:val="auto"/>
              </w:rPr>
            </w:pPr>
            <w:r>
              <w:rPr>
                <w:rFonts w:ascii="Arial" w:cs="Arial" w:eastAsia="Arial" w:hAnsi="Arial"/>
                <w:sz w:val="18"/>
                <w:szCs w:val="18"/>
                <w:color w:val="auto"/>
              </w:rPr>
              <w:t>Operating earnings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6,267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16,689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10,531</w:t>
            </w:r>
          </w:p>
        </w:tc>
        <w:tc>
          <w:tcPr>
            <w:tcW w:w="0" w:type="dxa"/>
            <w:vAlign w:val="bottom"/>
          </w:tcPr>
          <w:p>
            <w:pPr>
              <w:spacing w:after="0"/>
              <w:rPr>
                <w:sz w:val="1"/>
                <w:szCs w:val="1"/>
                <w:color w:val="auto"/>
              </w:rPr>
            </w:pPr>
          </w:p>
        </w:tc>
      </w:tr>
      <w:tr>
        <w:trPr>
          <w:trHeight w:val="477"/>
        </w:trPr>
        <w:tc>
          <w:tcPr>
            <w:tcW w:w="5920" w:type="dxa"/>
            <w:vAlign w:val="bottom"/>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35"/>
        </w:trPr>
        <w:tc>
          <w:tcPr>
            <w:tcW w:w="5920" w:type="dxa"/>
            <w:vAlign w:val="bottom"/>
          </w:tcPr>
          <w:p>
            <w:pPr>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4,519</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4,630</w:t>
            </w:r>
          </w:p>
        </w:tc>
        <w:tc>
          <w:tcPr>
            <w:tcW w:w="0" w:type="dxa"/>
            <w:vAlign w:val="bottom"/>
          </w:tcPr>
          <w:p>
            <w:pPr>
              <w:spacing w:after="0"/>
              <w:rPr>
                <w:sz w:val="1"/>
                <w:szCs w:val="1"/>
                <w:color w:val="auto"/>
              </w:rPr>
            </w:pPr>
          </w:p>
        </w:tc>
      </w:tr>
      <w:tr>
        <w:trPr>
          <w:trHeight w:val="218"/>
        </w:trPr>
        <w:tc>
          <w:tcPr>
            <w:tcW w:w="5920" w:type="dxa"/>
            <w:vAlign w:val="bottom"/>
          </w:tcPr>
          <w:p>
            <w:pPr>
              <w:spacing w:after="0"/>
              <w:rPr>
                <w:sz w:val="20"/>
                <w:szCs w:val="20"/>
                <w:color w:val="auto"/>
              </w:rPr>
            </w:pPr>
            <w:r>
              <w:rPr>
                <w:rFonts w:ascii="Arial" w:cs="Arial" w:eastAsia="Arial" w:hAnsi="Arial"/>
                <w:sz w:val="18"/>
                <w:szCs w:val="18"/>
                <w:color w:val="auto"/>
              </w:rPr>
              <w:t>Earnings before income tax expense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35"/>
        </w:trPr>
        <w:tc>
          <w:tcPr>
            <w:tcW w:w="5920" w:type="dxa"/>
            <w:vAlign w:val="bottom"/>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8"/>
        </w:trPr>
        <w:tc>
          <w:tcPr>
            <w:tcW w:w="5920" w:type="dxa"/>
            <w:vAlign w:val="bottom"/>
          </w:tcPr>
          <w:p>
            <w:pPr>
              <w:spacing w:after="0"/>
              <w:rPr>
                <w:sz w:val="20"/>
                <w:szCs w:val="20"/>
                <w:color w:val="auto"/>
              </w:rPr>
            </w:pPr>
            <w:r>
              <w:rPr>
                <w:rFonts w:ascii="Arial" w:cs="Arial" w:eastAsia="Arial" w:hAnsi="Arial"/>
                <w:sz w:val="18"/>
                <w:szCs w:val="18"/>
                <w:color w:val="auto"/>
              </w:rPr>
              <w:t>Net earnings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35"/>
        </w:trPr>
        <w:tc>
          <w:tcPr>
            <w:tcW w:w="5920" w:type="dxa"/>
            <w:vAlign w:val="bottom"/>
          </w:tcPr>
          <w:p>
            <w:pPr>
              <w:spacing w:after="0"/>
              <w:rPr>
                <w:sz w:val="20"/>
                <w:szCs w:val="20"/>
                <w:color w:val="auto"/>
              </w:rPr>
            </w:pPr>
            <w:r>
              <w:rPr>
                <w:rFonts w:ascii="Arial" w:cs="Arial" w:eastAsia="Arial" w:hAnsi="Arial"/>
                <w:sz w:val="18"/>
                <w:szCs w:val="18"/>
                <w:color w:val="auto"/>
              </w:rPr>
              <w:t>Net earnings attributable to noncontrolling interest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Net earnings attributable to AbbVie Inc.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920" w:type="dxa"/>
            <w:vAlign w:val="bottom"/>
          </w:tcPr>
          <w:p>
            <w:pPr>
              <w:spacing w:after="0"/>
              <w:rPr>
                <w:sz w:val="20"/>
                <w:szCs w:val="20"/>
                <w:color w:val="auto"/>
              </w:rPr>
            </w:pPr>
            <w:r>
              <w:rPr>
                <w:rFonts w:ascii="Arial" w:cs="Arial" w:eastAsia="Arial" w:hAnsi="Arial"/>
                <w:sz w:val="18"/>
                <w:szCs w:val="18"/>
                <w:color w:val="auto"/>
              </w:rPr>
              <w:t>Diluted earnings per share attributable to AbbVie Inc.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920" w:type="dxa"/>
            <w:vAlign w:val="bottom"/>
          </w:tcPr>
          <w:p>
            <w:pPr>
              <w:spacing w:after="0"/>
              <w:rPr>
                <w:sz w:val="20"/>
                <w:szCs w:val="20"/>
                <w:color w:val="auto"/>
              </w:rPr>
            </w:pPr>
            <w:r>
              <w:rPr>
                <w:rFonts w:ascii="Arial" w:cs="Arial" w:eastAsia="Arial" w:hAnsi="Arial"/>
                <w:sz w:val="18"/>
                <w:szCs w:val="18"/>
                <w:color w:val="auto"/>
              </w:rPr>
              <w:t>Adjusted diluted earnings per share</w:t>
            </w:r>
            <w:r>
              <w:rPr>
                <w:rFonts w:ascii="Arial" w:cs="Arial" w:eastAsia="Arial" w:hAnsi="Arial"/>
                <w:sz w:val="23"/>
                <w:szCs w:val="23"/>
                <w:color w:val="auto"/>
                <w:vertAlign w:val="superscript"/>
              </w:rPr>
              <w:t>a</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7"/>
        </w:trPr>
        <w:tc>
          <w:tcPr>
            <w:tcW w:w="5920" w:type="dxa"/>
            <w:vAlign w:val="bottom"/>
          </w:tcPr>
          <w:p>
            <w:pPr>
              <w:spacing w:after="0"/>
              <w:rPr>
                <w:sz w:val="20"/>
                <w:szCs w:val="20"/>
                <w:color w:val="auto"/>
              </w:rPr>
            </w:pPr>
            <w:r>
              <w:rPr>
                <w:rFonts w:ascii="Arial" w:cs="Arial" w:eastAsia="Arial" w:hAnsi="Arial"/>
                <w:sz w:val="18"/>
                <w:szCs w:val="18"/>
                <w:color w:val="auto"/>
              </w:rPr>
              <w:t>Weighted-average diluted shares outstanding</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Refer to the Reconciliation of GAAP Reported to Non-GAAP Adjusted Information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89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AbbVie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Reported to Non-GAAP Adjusted Information</w:t>
      </w:r>
    </w:p>
    <w:p>
      <w:pPr>
        <w:jc w:val="center"/>
        <w:spacing w:after="0"/>
        <w:rPr>
          <w:sz w:val="20"/>
          <w:szCs w:val="20"/>
          <w:color w:val="auto"/>
        </w:rPr>
      </w:pPr>
      <w:r>
        <w:rPr>
          <w:rFonts w:ascii="Arial" w:cs="Arial" w:eastAsia="Arial" w:hAnsi="Arial"/>
          <w:sz w:val="22"/>
          <w:szCs w:val="22"/>
          <w:b w:val="1"/>
          <w:bCs w:val="1"/>
          <w:color w:val="auto"/>
        </w:rPr>
        <w:t>(Unaudited)</w:t>
      </w:r>
    </w:p>
    <w:p>
      <w:pPr>
        <w:ind w:left="400" w:hanging="392"/>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Specified items impacted results as follows: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(in millions, except per share data)</w:t>
            </w:r>
          </w:p>
        </w:tc>
        <w:tc>
          <w:tcPr>
            <w:tcW w:w="28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5"/>
          </w:tcPr>
          <w:p>
            <w:pPr>
              <w:ind w:left="500"/>
              <w:spacing w:after="0"/>
              <w:rPr>
                <w:sz w:val="20"/>
                <w:szCs w:val="20"/>
                <w:color w:val="auto"/>
              </w:rPr>
            </w:pPr>
            <w:r>
              <w:rPr>
                <w:rFonts w:ascii="Arial" w:cs="Arial" w:eastAsia="Arial" w:hAnsi="Arial"/>
                <w:sz w:val="18"/>
                <w:szCs w:val="18"/>
                <w:b w:val="1"/>
                <w:bCs w:val="1"/>
                <w:color w:val="auto"/>
              </w:rPr>
              <w:t>Quarter Ended September 30, 2026</w:t>
            </w:r>
          </w:p>
        </w:tc>
        <w:tc>
          <w:tcPr>
            <w:tcW w:w="0" w:type="dxa"/>
            <w:vAlign w:val="bottom"/>
          </w:tcPr>
          <w:p>
            <w:pPr>
              <w:spacing w:after="0"/>
              <w:rPr>
                <w:sz w:val="1"/>
                <w:szCs w:val="1"/>
                <w:color w:val="auto"/>
              </w:rPr>
            </w:pPr>
          </w:p>
        </w:tc>
      </w:tr>
      <w:tr>
        <w:trPr>
          <w:trHeight w:val="223"/>
        </w:trPr>
        <w:tc>
          <w:tcPr>
            <w:tcW w:w="6660" w:type="dxa"/>
            <w:vAlign w:val="bottom"/>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center"/>
              <w:ind w:right="190"/>
              <w:spacing w:after="0"/>
              <w:rPr>
                <w:sz w:val="20"/>
                <w:szCs w:val="20"/>
                <w:color w:val="auto"/>
              </w:rPr>
            </w:pPr>
            <w:r>
              <w:rPr>
                <w:rFonts w:ascii="Arial" w:cs="Arial" w:eastAsia="Arial" w:hAnsi="Arial"/>
                <w:sz w:val="18"/>
                <w:szCs w:val="18"/>
                <w:color w:val="auto"/>
                <w:w w:val="99"/>
              </w:rPr>
              <w:t>Diluted</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Pre-tax</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line="223" w:lineRule="exact"/>
              <w:rPr>
                <w:sz w:val="20"/>
                <w:szCs w:val="20"/>
                <w:color w:val="auto"/>
              </w:rPr>
            </w:pPr>
            <w:r>
              <w:rPr>
                <w:rFonts w:ascii="Arial" w:cs="Arial" w:eastAsia="Arial" w:hAnsi="Arial"/>
                <w:sz w:val="18"/>
                <w:szCs w:val="18"/>
                <w:color w:val="auto"/>
                <w:w w:val="99"/>
              </w:rPr>
              <w:t>After-tax</w:t>
            </w:r>
            <w:r>
              <w:rPr>
                <w:rFonts w:ascii="Arial" w:cs="Arial" w:eastAsia="Arial" w:hAnsi="Arial"/>
                <w:sz w:val="23"/>
                <w:szCs w:val="23"/>
                <w:color w:val="auto"/>
                <w:w w:val="99"/>
                <w:vertAlign w:val="superscript"/>
              </w:rPr>
              <w:t>a</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9"/>
              </w:rPr>
              <w:t>EPS</w:t>
            </w:r>
          </w:p>
        </w:tc>
        <w:tc>
          <w:tcPr>
            <w:tcW w:w="0" w:type="dxa"/>
            <w:vAlign w:val="bottom"/>
          </w:tcPr>
          <w:p>
            <w:pPr>
              <w:spacing w:after="0"/>
              <w:rPr>
                <w:sz w:val="1"/>
                <w:szCs w:val="1"/>
                <w:color w:val="auto"/>
              </w:rPr>
            </w:pPr>
          </w:p>
        </w:tc>
      </w:tr>
      <w:tr>
        <w:trPr>
          <w:trHeight w:val="218"/>
        </w:trPr>
        <w:tc>
          <w:tcPr>
            <w:tcW w:w="666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4,829</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4,218</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center"/>
              <w:ind w:left="570"/>
              <w:spacing w:after="0"/>
              <w:rPr>
                <w:sz w:val="20"/>
                <w:szCs w:val="20"/>
                <w:color w:val="auto"/>
              </w:rPr>
            </w:pPr>
            <w:r>
              <w:rPr>
                <w:rFonts w:ascii="Arial" w:cs="Arial" w:eastAsia="Arial" w:hAnsi="Arial"/>
                <w:sz w:val="18"/>
                <w:szCs w:val="18"/>
                <w:b w:val="1"/>
                <w:bCs w:val="1"/>
                <w:color w:val="auto"/>
                <w:w w:val="96"/>
              </w:rPr>
              <w:t>2.37</w:t>
            </w:r>
          </w:p>
        </w:tc>
        <w:tc>
          <w:tcPr>
            <w:tcW w:w="0" w:type="dxa"/>
            <w:vAlign w:val="bottom"/>
          </w:tcPr>
          <w:p>
            <w:pPr>
              <w:spacing w:after="0"/>
              <w:rPr>
                <w:sz w:val="1"/>
                <w:szCs w:val="1"/>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Adjusted for specified items: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2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1,669</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1,419</w:t>
            </w:r>
          </w:p>
        </w:tc>
        <w:tc>
          <w:tcPr>
            <w:tcW w:w="400" w:type="dxa"/>
            <w:vAlign w:val="bottom"/>
          </w:tcPr>
          <w:p>
            <w:pPr>
              <w:spacing w:after="0"/>
              <w:rPr>
                <w:sz w:val="19"/>
                <w:szCs w:val="19"/>
                <w:color w:val="auto"/>
              </w:rPr>
            </w:pPr>
          </w:p>
        </w:tc>
        <w:tc>
          <w:tcPr>
            <w:tcW w:w="1160" w:type="dxa"/>
            <w:vAlign w:val="bottom"/>
          </w:tcPr>
          <w:p>
            <w:pPr>
              <w:jc w:val="center"/>
              <w:ind w:left="570"/>
              <w:spacing w:after="0"/>
              <w:rPr>
                <w:sz w:val="20"/>
                <w:szCs w:val="20"/>
                <w:color w:val="auto"/>
              </w:rPr>
            </w:pPr>
            <w:r>
              <w:rPr>
                <w:rFonts w:ascii="Arial" w:cs="Arial" w:eastAsia="Arial" w:hAnsi="Arial"/>
                <w:sz w:val="18"/>
                <w:szCs w:val="18"/>
                <w:color w:val="auto"/>
                <w:w w:val="96"/>
              </w:rPr>
              <w:t>0.79</w:t>
            </w:r>
          </w:p>
        </w:tc>
        <w:tc>
          <w:tcPr>
            <w:tcW w:w="0" w:type="dxa"/>
            <w:vAlign w:val="bottom"/>
          </w:tcPr>
          <w:p>
            <w:pPr>
              <w:spacing w:after="0"/>
              <w:rPr>
                <w:sz w:val="1"/>
                <w:szCs w:val="1"/>
                <w:color w:val="auto"/>
              </w:rPr>
            </w:pPr>
          </w:p>
        </w:tc>
      </w:tr>
      <w:tr>
        <w:trPr>
          <w:trHeight w:val="229"/>
        </w:trPr>
        <w:tc>
          <w:tcPr>
            <w:tcW w:w="6660" w:type="dxa"/>
            <w:vAlign w:val="bottom"/>
          </w:tcPr>
          <w:p>
            <w:pPr>
              <w:ind w:left="120"/>
              <w:spacing w:after="0"/>
              <w:rPr>
                <w:sz w:val="20"/>
                <w:szCs w:val="20"/>
                <w:color w:val="auto"/>
              </w:rPr>
            </w:pPr>
            <w:r>
              <w:rPr>
                <w:rFonts w:ascii="Arial" w:cs="Arial" w:eastAsia="Arial" w:hAnsi="Arial"/>
                <w:sz w:val="18"/>
                <w:szCs w:val="18"/>
                <w:color w:val="auto"/>
              </w:rPr>
              <w:t>Acquisition and integration costs</w:t>
            </w: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408</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391</w:t>
            </w:r>
          </w:p>
        </w:tc>
        <w:tc>
          <w:tcPr>
            <w:tcW w:w="400" w:type="dxa"/>
            <w:vAlign w:val="bottom"/>
          </w:tcPr>
          <w:p>
            <w:pPr>
              <w:spacing w:after="0"/>
              <w:rPr>
                <w:sz w:val="19"/>
                <w:szCs w:val="19"/>
                <w:color w:val="auto"/>
              </w:rPr>
            </w:pPr>
          </w:p>
        </w:tc>
        <w:tc>
          <w:tcPr>
            <w:tcW w:w="1160" w:type="dxa"/>
            <w:vAlign w:val="bottom"/>
          </w:tcPr>
          <w:p>
            <w:pPr>
              <w:jc w:val="center"/>
              <w:ind w:left="570"/>
              <w:spacing w:after="0"/>
              <w:rPr>
                <w:sz w:val="20"/>
                <w:szCs w:val="20"/>
                <w:color w:val="auto"/>
              </w:rPr>
            </w:pPr>
            <w:r>
              <w:rPr>
                <w:rFonts w:ascii="Arial" w:cs="Arial" w:eastAsia="Arial" w:hAnsi="Arial"/>
                <w:sz w:val="18"/>
                <w:szCs w:val="18"/>
                <w:color w:val="auto"/>
                <w:w w:val="96"/>
              </w:rPr>
              <w:t>0.22</w:t>
            </w:r>
          </w:p>
        </w:tc>
        <w:tc>
          <w:tcPr>
            <w:tcW w:w="0" w:type="dxa"/>
            <w:vAlign w:val="bottom"/>
          </w:tcPr>
          <w:p>
            <w:pPr>
              <w:spacing w:after="0"/>
              <w:rPr>
                <w:sz w:val="1"/>
                <w:szCs w:val="1"/>
                <w:color w:val="auto"/>
              </w:rPr>
            </w:pPr>
          </w:p>
        </w:tc>
      </w:tr>
      <w:tr>
        <w:trPr>
          <w:trHeight w:val="229"/>
        </w:trPr>
        <w:tc>
          <w:tcPr>
            <w:tcW w:w="6660" w:type="dxa"/>
            <w:vAlign w:val="bottom"/>
          </w:tcPr>
          <w:p>
            <w:pPr>
              <w:ind w:left="12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829</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809</w:t>
            </w:r>
          </w:p>
        </w:tc>
        <w:tc>
          <w:tcPr>
            <w:tcW w:w="400" w:type="dxa"/>
            <w:vAlign w:val="bottom"/>
          </w:tcPr>
          <w:p>
            <w:pPr>
              <w:spacing w:after="0"/>
              <w:rPr>
                <w:sz w:val="19"/>
                <w:szCs w:val="19"/>
                <w:color w:val="auto"/>
              </w:rPr>
            </w:pPr>
          </w:p>
        </w:tc>
        <w:tc>
          <w:tcPr>
            <w:tcW w:w="1160" w:type="dxa"/>
            <w:vAlign w:val="bottom"/>
          </w:tcPr>
          <w:p>
            <w:pPr>
              <w:jc w:val="center"/>
              <w:ind w:left="570"/>
              <w:spacing w:after="0"/>
              <w:rPr>
                <w:sz w:val="20"/>
                <w:szCs w:val="20"/>
                <w:color w:val="auto"/>
              </w:rPr>
            </w:pPr>
            <w:r>
              <w:rPr>
                <w:rFonts w:ascii="Arial" w:cs="Arial" w:eastAsia="Arial" w:hAnsi="Arial"/>
                <w:sz w:val="18"/>
                <w:szCs w:val="18"/>
                <w:color w:val="auto"/>
                <w:w w:val="96"/>
              </w:rPr>
              <w:t>0.46</w:t>
            </w:r>
          </w:p>
        </w:tc>
        <w:tc>
          <w:tcPr>
            <w:tcW w:w="0" w:type="dxa"/>
            <w:vAlign w:val="bottom"/>
          </w:tcPr>
          <w:p>
            <w:pPr>
              <w:spacing w:after="0"/>
              <w:rPr>
                <w:sz w:val="1"/>
                <w:szCs w:val="1"/>
                <w:color w:val="auto"/>
              </w:rPr>
            </w:pPr>
          </w:p>
        </w:tc>
      </w:tr>
      <w:tr>
        <w:trPr>
          <w:trHeight w:val="235"/>
        </w:trPr>
        <w:tc>
          <w:tcPr>
            <w:tcW w:w="6660" w:type="dxa"/>
            <w:vAlign w:val="bottom"/>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7,866</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6,795</w:t>
            </w: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96"/>
              </w:rPr>
              <w:t>3.82</w:t>
            </w: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Represents net earnings attributable to AbbVie Inc. Specified items reflect the impact of applicable statutory tax rates.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Acquisition and integration costs primarily reflect costs related to the Apogee Therapeutics, Inc. acquisition.</w:t>
      </w:r>
    </w:p>
    <w:p>
      <w:pPr>
        <w:spacing w:after="0" w:line="171"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Reported GAAP earnings and adjusted non-GAAP earnings for the three months ended September 30, 2026 included acquired IPR&amp;D and milestone expense of $216 million on a pre-tax and $205 million on an after-tax basis, representing an unfavorable impact of $0.11 to both diluted EPS and adjusted diluted EPS.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2. The impact of the specified items by line item was as follows: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7"/>
          </w:tcPr>
          <w:p>
            <w:pPr>
              <w:jc w:val="right"/>
              <w:ind w:right="650"/>
              <w:spacing w:after="0"/>
              <w:rPr>
                <w:sz w:val="20"/>
                <w:szCs w:val="20"/>
                <w:color w:val="auto"/>
              </w:rPr>
            </w:pPr>
            <w:r>
              <w:rPr>
                <w:rFonts w:ascii="Arial" w:cs="Arial" w:eastAsia="Arial" w:hAnsi="Arial"/>
                <w:sz w:val="18"/>
                <w:szCs w:val="18"/>
                <w:b w:val="1"/>
                <w:bCs w:val="1"/>
                <w:color w:val="auto"/>
              </w:rPr>
              <w:t>Quarter Ended September 30, 2026</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10"/>
              <w:spacing w:after="0" w:line="169" w:lineRule="exact"/>
              <w:rPr>
                <w:sz w:val="20"/>
                <w:szCs w:val="20"/>
                <w:color w:val="auto"/>
              </w:rPr>
            </w:pPr>
            <w:r>
              <w:rPr>
                <w:rFonts w:ascii="Arial" w:cs="Arial" w:eastAsia="Arial" w:hAnsi="Arial"/>
                <w:sz w:val="18"/>
                <w:szCs w:val="18"/>
                <w:color w:val="auto"/>
              </w:rPr>
              <w:t>Cost of</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90"/>
              <w:spacing w:after="0" w:line="169" w:lineRule="exact"/>
              <w:rPr>
                <w:sz w:val="20"/>
                <w:szCs w:val="20"/>
                <w:color w:val="auto"/>
              </w:rPr>
            </w:pPr>
            <w:r>
              <w:rPr>
                <w:rFonts w:ascii="Arial" w:cs="Arial" w:eastAsia="Arial" w:hAnsi="Arial"/>
                <w:sz w:val="18"/>
                <w:szCs w:val="18"/>
                <w:color w:val="auto"/>
              </w:rPr>
              <w:t>Other</w:t>
            </w:r>
          </w:p>
        </w:tc>
        <w:tc>
          <w:tcPr>
            <w:tcW w:w="200" w:type="dxa"/>
            <w:vAlign w:val="bottom"/>
          </w:tcPr>
          <w:p>
            <w:pPr>
              <w:spacing w:after="0"/>
              <w:rPr>
                <w:sz w:val="14"/>
                <w:szCs w:val="14"/>
                <w:color w:val="auto"/>
              </w:rPr>
            </w:pPr>
          </w:p>
        </w:tc>
        <w:tc>
          <w:tcPr>
            <w:tcW w:w="860" w:type="dxa"/>
            <w:vAlign w:val="bottom"/>
          </w:tcPr>
          <w:p>
            <w:pPr>
              <w:jc w:val="center"/>
              <w:ind w:right="90"/>
              <w:spacing w:after="0" w:line="169" w:lineRule="exact"/>
              <w:rPr>
                <w:sz w:val="20"/>
                <w:szCs w:val="20"/>
                <w:color w:val="auto"/>
              </w:rPr>
            </w:pPr>
            <w:r>
              <w:rPr>
                <w:rFonts w:ascii="Arial" w:cs="Arial" w:eastAsia="Arial" w:hAnsi="Arial"/>
                <w:sz w:val="18"/>
                <w:szCs w:val="18"/>
                <w:color w:val="auto"/>
                <w:w w:val="99"/>
              </w:rPr>
              <w:t>Interest</w:t>
            </w:r>
          </w:p>
        </w:tc>
        <w:tc>
          <w:tcPr>
            <w:tcW w:w="200" w:type="dxa"/>
            <w:vAlign w:val="bottom"/>
          </w:tcPr>
          <w:p>
            <w:pPr>
              <w:spacing w:after="0"/>
              <w:rPr>
                <w:sz w:val="14"/>
                <w:szCs w:val="14"/>
                <w:color w:val="auto"/>
              </w:rPr>
            </w:pPr>
          </w:p>
        </w:tc>
        <w:tc>
          <w:tcPr>
            <w:tcW w:w="920" w:type="dxa"/>
            <w:vAlign w:val="bottom"/>
          </w:tcPr>
          <w:p>
            <w:pPr>
              <w:jc w:val="center"/>
              <w:ind w:right="50"/>
              <w:spacing w:after="0" w:line="169" w:lineRule="exact"/>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110"/>
              <w:spacing w:after="0" w:line="176" w:lineRule="exact"/>
              <w:rPr>
                <w:sz w:val="20"/>
                <w:szCs w:val="20"/>
                <w:color w:val="auto"/>
              </w:rPr>
            </w:pPr>
            <w:r>
              <w:rPr>
                <w:rFonts w:ascii="Arial" w:cs="Arial" w:eastAsia="Arial" w:hAnsi="Arial"/>
                <w:sz w:val="18"/>
                <w:szCs w:val="18"/>
                <w:color w:val="auto"/>
              </w:rPr>
              <w:t>products</w:t>
            </w:r>
          </w:p>
        </w:tc>
        <w:tc>
          <w:tcPr>
            <w:tcW w:w="260" w:type="dxa"/>
            <w:vAlign w:val="bottom"/>
          </w:tcPr>
          <w:p>
            <w:pPr>
              <w:spacing w:after="0"/>
              <w:rPr>
                <w:sz w:val="15"/>
                <w:szCs w:val="15"/>
                <w:color w:val="auto"/>
              </w:rPr>
            </w:pPr>
          </w:p>
        </w:tc>
        <w:tc>
          <w:tcPr>
            <w:tcW w:w="880" w:type="dxa"/>
            <w:vAlign w:val="bottom"/>
            <w:vMerge w:val="restart"/>
          </w:tcPr>
          <w:p>
            <w:pPr>
              <w:jc w:val="right"/>
              <w:ind w:right="230"/>
              <w:spacing w:after="0"/>
              <w:rPr>
                <w:sz w:val="20"/>
                <w:szCs w:val="20"/>
                <w:color w:val="auto"/>
              </w:rPr>
            </w:pPr>
            <w:r>
              <w:rPr>
                <w:rFonts w:ascii="Arial" w:cs="Arial" w:eastAsia="Arial" w:hAnsi="Arial"/>
                <w:sz w:val="18"/>
                <w:szCs w:val="18"/>
                <w:color w:val="auto"/>
              </w:rPr>
              <w:t>SG&amp;A</w:t>
            </w:r>
          </w:p>
        </w:tc>
        <w:tc>
          <w:tcPr>
            <w:tcW w:w="280" w:type="dxa"/>
            <w:vAlign w:val="bottom"/>
          </w:tcPr>
          <w:p>
            <w:pPr>
              <w:spacing w:after="0"/>
              <w:rPr>
                <w:sz w:val="15"/>
                <w:szCs w:val="15"/>
                <w:color w:val="auto"/>
              </w:rPr>
            </w:pPr>
          </w:p>
        </w:tc>
        <w:tc>
          <w:tcPr>
            <w:tcW w:w="860" w:type="dxa"/>
            <w:vAlign w:val="bottom"/>
            <w:vMerge w:val="restart"/>
          </w:tcPr>
          <w:p>
            <w:pPr>
              <w:jc w:val="right"/>
              <w:ind w:right="270"/>
              <w:spacing w:after="0"/>
              <w:rPr>
                <w:sz w:val="20"/>
                <w:szCs w:val="20"/>
                <w:color w:val="auto"/>
              </w:rPr>
            </w:pPr>
            <w:r>
              <w:rPr>
                <w:rFonts w:ascii="Arial" w:cs="Arial" w:eastAsia="Arial" w:hAnsi="Arial"/>
                <w:sz w:val="18"/>
                <w:szCs w:val="18"/>
                <w:color w:val="auto"/>
              </w:rPr>
              <w:t>R&amp;D</w:t>
            </w:r>
          </w:p>
        </w:tc>
        <w:tc>
          <w:tcPr>
            <w:tcW w:w="200" w:type="dxa"/>
            <w:vAlign w:val="bottom"/>
          </w:tcPr>
          <w:p>
            <w:pPr>
              <w:spacing w:after="0"/>
              <w:rPr>
                <w:sz w:val="15"/>
                <w:szCs w:val="15"/>
                <w:color w:val="auto"/>
              </w:rPr>
            </w:pPr>
          </w:p>
        </w:tc>
        <w:tc>
          <w:tcPr>
            <w:tcW w:w="9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8"/>
              </w:rPr>
              <w:t>operating</w:t>
            </w:r>
          </w:p>
        </w:tc>
        <w:tc>
          <w:tcPr>
            <w:tcW w:w="106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8"/>
              </w:rPr>
              <w:t>expense,</w:t>
            </w:r>
          </w:p>
        </w:tc>
        <w:tc>
          <w:tcPr>
            <w:tcW w:w="200" w:type="dxa"/>
            <w:vAlign w:val="bottom"/>
          </w:tcPr>
          <w:p>
            <w:pPr>
              <w:spacing w:after="0"/>
              <w:rPr>
                <w:sz w:val="15"/>
                <w:szCs w:val="15"/>
                <w:color w:val="auto"/>
              </w:rPr>
            </w:pPr>
          </w:p>
        </w:tc>
        <w:tc>
          <w:tcPr>
            <w:tcW w:w="920" w:type="dxa"/>
            <w:vAlign w:val="bottom"/>
          </w:tcPr>
          <w:p>
            <w:pPr>
              <w:jc w:val="center"/>
              <w:ind w:right="50"/>
              <w:spacing w:after="0" w:line="176" w:lineRule="exact"/>
              <w:rPr>
                <w:sz w:val="20"/>
                <w:szCs w:val="20"/>
                <w:color w:val="auto"/>
              </w:rPr>
            </w:pPr>
            <w:r>
              <w:rPr>
                <w:rFonts w:ascii="Arial" w:cs="Arial" w:eastAsia="Arial" w:hAnsi="Arial"/>
                <w:sz w:val="18"/>
                <w:szCs w:val="18"/>
                <w:color w:val="auto"/>
              </w:rPr>
              <w:t>expense,</w:t>
            </w:r>
          </w:p>
        </w:tc>
        <w:tc>
          <w:tcPr>
            <w:tcW w:w="0" w:type="dxa"/>
            <w:vAlign w:val="bottom"/>
          </w:tcPr>
          <w:p>
            <w:pPr>
              <w:spacing w:after="0"/>
              <w:rPr>
                <w:sz w:val="1"/>
                <w:szCs w:val="1"/>
                <w:color w:val="auto"/>
              </w:rPr>
            </w:pPr>
          </w:p>
        </w:tc>
      </w:tr>
      <w:tr>
        <w:trPr>
          <w:trHeight w:val="243"/>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As reported (GAAP)</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rPr>
              <w:t>sold</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income</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5"/>
              </w:rPr>
              <w:t>net</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18"/>
        </w:trPr>
        <w:tc>
          <w:tcPr>
            <w:tcW w:w="45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4,285</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4,087</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2,567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700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738</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Adjusted for specified items: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20"/>
              <w:spacing w:after="0"/>
              <w:rPr>
                <w:sz w:val="20"/>
                <w:szCs w:val="20"/>
                <w:color w:val="auto"/>
              </w:rPr>
            </w:pPr>
            <w:r>
              <w:rPr>
                <w:rFonts w:ascii="Arial" w:cs="Arial" w:eastAsia="Arial" w:hAnsi="Arial"/>
                <w:sz w:val="18"/>
                <w:szCs w:val="18"/>
                <w:color w:val="auto"/>
              </w:rPr>
              <w:t>Intangible asset amortization</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(1,669)</w:t>
            </w: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120"/>
              <w:spacing w:after="0"/>
              <w:rPr>
                <w:sz w:val="20"/>
                <w:szCs w:val="20"/>
                <w:color w:val="auto"/>
              </w:rPr>
            </w:pPr>
            <w:r>
              <w:rPr>
                <w:rFonts w:ascii="Arial" w:cs="Arial" w:eastAsia="Arial" w:hAnsi="Arial"/>
                <w:sz w:val="18"/>
                <w:szCs w:val="18"/>
                <w:color w:val="auto"/>
              </w:rPr>
              <w:t>Acquisition and integration costs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12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35"/>
        </w:trPr>
        <w:tc>
          <w:tcPr>
            <w:tcW w:w="4520" w:type="dxa"/>
            <w:vAlign w:val="bottom"/>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2,601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3,688</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688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3. The adjusted tax rate for the third quarter of 2026 was 13.6 percent, as detailed below:</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(dollars in millions)</w:t>
            </w:r>
          </w:p>
        </w:tc>
        <w:tc>
          <w:tcPr>
            <w:tcW w:w="4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Quarter Ended September 30, 2026</w:t>
            </w:r>
          </w:p>
        </w:tc>
        <w:tc>
          <w:tcPr>
            <w:tcW w:w="0" w:type="dxa"/>
            <w:vAlign w:val="bottom"/>
          </w:tcPr>
          <w:p>
            <w:pPr>
              <w:spacing w:after="0"/>
              <w:rPr>
                <w:sz w:val="1"/>
                <w:szCs w:val="1"/>
                <w:color w:val="auto"/>
              </w:rPr>
            </w:pPr>
          </w:p>
        </w:tc>
      </w:tr>
      <w:tr>
        <w:trPr>
          <w:trHeight w:val="223"/>
        </w:trPr>
        <w:tc>
          <w:tcPr>
            <w:tcW w:w="6540" w:type="dxa"/>
            <w:vAlign w:val="bottom"/>
            <w:vMerge w:val="continue"/>
          </w:tcPr>
          <w:p>
            <w:pPr>
              <w:spacing w:after="0"/>
              <w:rPr>
                <w:sz w:val="19"/>
                <w:szCs w:val="19"/>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Pre-tax earnings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Income taxes</w:t>
            </w: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Tax rate</w:t>
            </w:r>
          </w:p>
        </w:tc>
        <w:tc>
          <w:tcPr>
            <w:tcW w:w="0" w:type="dxa"/>
            <w:vAlign w:val="bottom"/>
          </w:tcPr>
          <w:p>
            <w:pPr>
              <w:spacing w:after="0"/>
              <w:rPr>
                <w:sz w:val="1"/>
                <w:szCs w:val="1"/>
                <w:color w:val="auto"/>
              </w:rPr>
            </w:pPr>
          </w:p>
        </w:tc>
      </w:tr>
      <w:tr>
        <w:trPr>
          <w:trHeight w:val="218"/>
        </w:trPr>
        <w:tc>
          <w:tcPr>
            <w:tcW w:w="654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4,829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609</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12.6 %</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r>
              <w:rPr>
                <w:rFonts w:ascii="Arial" w:cs="Arial" w:eastAsia="Arial" w:hAnsi="Arial"/>
                <w:sz w:val="18"/>
                <w:szCs w:val="18"/>
                <w:color w:val="auto"/>
              </w:rPr>
              <w:t>Specified items</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3,037</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460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7,866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1,069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13.6 %</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070"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22"/>
          <w:szCs w:val="22"/>
          <w:b w:val="1"/>
          <w:bCs w:val="1"/>
          <w:color w:val="auto"/>
        </w:rPr>
        <w:t>AbbVie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Reconciliation of GAAP Reported to Non-GAAP Adjusted Information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ectPr>
          <w:pgSz w:w="11900" w:h="16838" w:orient="portrait"/>
          <w:cols w:equalWidth="0" w:num="1">
            <w:col w:w="11240"/>
          </w:cols>
          <w:pgMar w:left="320" w:top="894" w:right="339" w:bottom="1440" w:gutter="0" w:footer="0" w:header="0"/>
        </w:sectPr>
      </w:pPr>
    </w:p>
    <w:p>
      <w:pPr>
        <w:spacing w:after="0" w:line="113"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Specified items impacted results as follows: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millions, except per share data)</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reported (GAAP)</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for specified items: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Intangible asset amortization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Intangible asset impairment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Acquisition and integration costs</w:t>
      </w:r>
    </w:p>
    <w:p>
      <w:pPr>
        <w:spacing w:after="0" w:line="23" w:lineRule="exact"/>
        <w:rPr>
          <w:sz w:val="20"/>
          <w:szCs w:val="20"/>
          <w:color w:val="auto"/>
        </w:rPr>
      </w:pPr>
    </w:p>
    <w:p>
      <w:pPr>
        <w:ind w:left="140" w:right="2000"/>
        <w:spacing w:after="0" w:line="268" w:lineRule="auto"/>
        <w:rPr>
          <w:sz w:val="20"/>
          <w:szCs w:val="20"/>
          <w:color w:val="auto"/>
        </w:rPr>
      </w:pPr>
      <w:r>
        <w:rPr>
          <w:rFonts w:ascii="Arial" w:cs="Arial" w:eastAsia="Arial" w:hAnsi="Arial"/>
          <w:sz w:val="18"/>
          <w:szCs w:val="18"/>
          <w:color w:val="auto"/>
        </w:rPr>
        <w:t>Change in fair value of contingent consideration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adjusted (non-GAAP)</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Quarter Ended September 30,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99"/>
              </w:rPr>
              <w:t>Diluted</w:t>
            </w:r>
          </w:p>
        </w:tc>
      </w:tr>
      <w:tr>
        <w:trPr>
          <w:trHeight w:val="223"/>
        </w:trPr>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Pre-tax</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line="223" w:lineRule="exact"/>
              <w:rPr>
                <w:sz w:val="20"/>
                <w:szCs w:val="20"/>
                <w:color w:val="auto"/>
              </w:rPr>
            </w:pPr>
            <w:r>
              <w:rPr>
                <w:rFonts w:ascii="Arial" w:cs="Arial" w:eastAsia="Arial" w:hAnsi="Arial"/>
                <w:sz w:val="18"/>
                <w:szCs w:val="18"/>
                <w:color w:val="auto"/>
                <w:w w:val="99"/>
              </w:rPr>
              <w:t>After-tax</w:t>
            </w:r>
            <w:r>
              <w:rPr>
                <w:rFonts w:ascii="Arial" w:cs="Arial" w:eastAsia="Arial" w:hAnsi="Arial"/>
                <w:sz w:val="23"/>
                <w:szCs w:val="23"/>
                <w:color w:val="auto"/>
                <w:w w:val="99"/>
                <w:vertAlign w:val="superscript"/>
              </w:rPr>
              <w:t>a</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9"/>
              </w:rPr>
              <w:t>EPS</w:t>
            </w:r>
          </w:p>
        </w:tc>
      </w:tr>
      <w:tr>
        <w:trPr>
          <w:trHeight w:val="240"/>
        </w:trPr>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714</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186</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center"/>
              <w:ind w:left="570"/>
              <w:spacing w:after="0"/>
              <w:rPr>
                <w:sz w:val="20"/>
                <w:szCs w:val="20"/>
                <w:color w:val="auto"/>
              </w:rPr>
            </w:pPr>
            <w:r>
              <w:rPr>
                <w:rFonts w:ascii="Arial" w:cs="Arial" w:eastAsia="Arial" w:hAnsi="Arial"/>
                <w:sz w:val="18"/>
                <w:szCs w:val="18"/>
                <w:b w:val="1"/>
                <w:bCs w:val="1"/>
                <w:color w:val="auto"/>
              </w:rPr>
              <w:t>0.10</w:t>
            </w:r>
          </w:p>
        </w:tc>
      </w:tr>
      <w:tr>
        <w:trPr>
          <w:trHeight w:val="436"/>
        </w:trPr>
        <w:tc>
          <w:tcPr>
            <w:tcW w:w="28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1,871</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1,576</w:t>
            </w:r>
          </w:p>
        </w:tc>
        <w:tc>
          <w:tcPr>
            <w:tcW w:w="380" w:type="dxa"/>
            <w:vAlign w:val="bottom"/>
          </w:tcPr>
          <w:p>
            <w:pPr>
              <w:spacing w:after="0"/>
              <w:rPr>
                <w:sz w:val="24"/>
                <w:szCs w:val="24"/>
                <w:color w:val="auto"/>
              </w:rPr>
            </w:pPr>
          </w:p>
        </w:tc>
        <w:tc>
          <w:tcPr>
            <w:tcW w:w="1180" w:type="dxa"/>
            <w:vAlign w:val="bottom"/>
          </w:tcPr>
          <w:p>
            <w:pPr>
              <w:jc w:val="center"/>
              <w:ind w:left="570"/>
              <w:spacing w:after="0"/>
              <w:rPr>
                <w:sz w:val="20"/>
                <w:szCs w:val="20"/>
                <w:color w:val="auto"/>
              </w:rPr>
            </w:pPr>
            <w:r>
              <w:rPr>
                <w:rFonts w:ascii="Arial" w:cs="Arial" w:eastAsia="Arial" w:hAnsi="Arial"/>
                <w:sz w:val="18"/>
                <w:szCs w:val="18"/>
                <w:color w:val="auto"/>
              </w:rPr>
              <w:t>0.89</w:t>
            </w:r>
          </w:p>
        </w:tc>
      </w:tr>
      <w:tr>
        <w:trPr>
          <w:trHeight w:val="229"/>
        </w:trPr>
        <w:tc>
          <w:tcPr>
            <w:tcW w:w="2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847</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701</w:t>
            </w:r>
          </w:p>
        </w:tc>
        <w:tc>
          <w:tcPr>
            <w:tcW w:w="380" w:type="dxa"/>
            <w:vAlign w:val="bottom"/>
          </w:tcPr>
          <w:p>
            <w:pPr>
              <w:spacing w:after="0"/>
              <w:rPr>
                <w:sz w:val="19"/>
                <w:szCs w:val="19"/>
                <w:color w:val="auto"/>
              </w:rPr>
            </w:pPr>
          </w:p>
        </w:tc>
        <w:tc>
          <w:tcPr>
            <w:tcW w:w="1180" w:type="dxa"/>
            <w:vAlign w:val="bottom"/>
          </w:tcPr>
          <w:p>
            <w:pPr>
              <w:jc w:val="center"/>
              <w:ind w:left="570"/>
              <w:spacing w:after="0"/>
              <w:rPr>
                <w:sz w:val="20"/>
                <w:szCs w:val="20"/>
                <w:color w:val="auto"/>
              </w:rPr>
            </w:pPr>
            <w:r>
              <w:rPr>
                <w:rFonts w:ascii="Arial" w:cs="Arial" w:eastAsia="Arial" w:hAnsi="Arial"/>
                <w:sz w:val="18"/>
                <w:szCs w:val="18"/>
                <w:color w:val="auto"/>
              </w:rPr>
              <w:t>0.39</w:t>
            </w:r>
          </w:p>
        </w:tc>
      </w:tr>
      <w:tr>
        <w:trPr>
          <w:trHeight w:val="230"/>
        </w:trPr>
        <w:tc>
          <w:tcPr>
            <w:tcW w:w="2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212</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w:t>
            </w:r>
          </w:p>
        </w:tc>
        <w:tc>
          <w:tcPr>
            <w:tcW w:w="380" w:type="dxa"/>
            <w:vAlign w:val="bottom"/>
          </w:tcPr>
          <w:p>
            <w:pPr>
              <w:spacing w:after="0"/>
              <w:rPr>
                <w:sz w:val="19"/>
                <w:szCs w:val="19"/>
                <w:color w:val="auto"/>
              </w:rPr>
            </w:pPr>
          </w:p>
        </w:tc>
        <w:tc>
          <w:tcPr>
            <w:tcW w:w="1180" w:type="dxa"/>
            <w:vAlign w:val="bottom"/>
          </w:tcPr>
          <w:p>
            <w:pPr>
              <w:jc w:val="center"/>
              <w:ind w:left="570"/>
              <w:spacing w:after="0"/>
              <w:rPr>
                <w:sz w:val="20"/>
                <w:szCs w:val="20"/>
                <w:color w:val="auto"/>
              </w:rPr>
            </w:pPr>
            <w:r>
              <w:rPr>
                <w:rFonts w:ascii="Arial" w:cs="Arial" w:eastAsia="Arial" w:hAnsi="Arial"/>
                <w:sz w:val="18"/>
                <w:szCs w:val="18"/>
                <w:color w:val="auto"/>
              </w:rPr>
              <w:t>0.12</w:t>
            </w:r>
          </w:p>
        </w:tc>
      </w:tr>
      <w:tr>
        <w:trPr>
          <w:trHeight w:val="229"/>
        </w:trPr>
        <w:tc>
          <w:tcPr>
            <w:tcW w:w="2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776</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755</w:t>
            </w:r>
          </w:p>
        </w:tc>
        <w:tc>
          <w:tcPr>
            <w:tcW w:w="380" w:type="dxa"/>
            <w:vAlign w:val="bottom"/>
          </w:tcPr>
          <w:p>
            <w:pPr>
              <w:spacing w:after="0"/>
              <w:rPr>
                <w:sz w:val="19"/>
                <w:szCs w:val="19"/>
                <w:color w:val="auto"/>
              </w:rPr>
            </w:pPr>
          </w:p>
        </w:tc>
        <w:tc>
          <w:tcPr>
            <w:tcW w:w="1180" w:type="dxa"/>
            <w:vAlign w:val="bottom"/>
          </w:tcPr>
          <w:p>
            <w:pPr>
              <w:jc w:val="center"/>
              <w:ind w:left="570"/>
              <w:spacing w:after="0"/>
              <w:rPr>
                <w:sz w:val="20"/>
                <w:szCs w:val="20"/>
                <w:color w:val="auto"/>
              </w:rPr>
            </w:pPr>
            <w:r>
              <w:rPr>
                <w:rFonts w:ascii="Arial" w:cs="Arial" w:eastAsia="Arial" w:hAnsi="Arial"/>
                <w:sz w:val="18"/>
                <w:szCs w:val="18"/>
                <w:color w:val="auto"/>
              </w:rPr>
              <w:t>0.43</w:t>
            </w:r>
          </w:p>
        </w:tc>
      </w:tr>
      <w:tr>
        <w:trPr>
          <w:trHeight w:val="235"/>
        </w:trPr>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7"/>
              </w:rPr>
              <w:t>(0.07)</w:t>
            </w: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4,380</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3,306</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rPr>
              <w:t>1.86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ectPr>
          <w:pgSz w:w="11900" w:h="16838" w:orient="portrait"/>
          <w:cols w:equalWidth="0" w:num="2">
            <w:col w:w="5940" w:space="720"/>
            <w:col w:w="4580"/>
          </w:cols>
          <w:pgMar w:left="320" w:top="894" w:right="339" w:bottom="1440" w:gutter="0" w:footer="0" w:header="0"/>
          <w:type w:val="continuous"/>
        </w:sectPr>
      </w:pPr>
    </w:p>
    <w:p>
      <w:pPr>
        <w:ind w:left="180" w:hanging="172"/>
        <w:spacing w:after="0"/>
        <w:tabs>
          <w:tab w:leader="none" w:pos="1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Represents net earnings attributable to AbbVie Inc. Specified items reflect the impact of applicable statutory tax rates.</w:t>
      </w:r>
    </w:p>
    <w:p>
      <w:pPr>
        <w:spacing w:after="0" w:line="13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Intangible asset impairment reflects impairment charges of $847 million related to the Resonic and Durysta intangible assets. Acquisition and integration costs primarily reflect costs related to the Capstan acquisition.</w:t>
      </w:r>
    </w:p>
    <w:p>
      <w:pPr>
        <w:spacing w:after="0" w:line="11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Reported GAAP earnings and adjusted non-GAAP earnings for the three months ended September 30, 2025 included acquired IPR&amp;D and milestone expense of $2.7 billion on a pre-tax and after-tax basis, representing an unfavorable impact of $1.50 to both diluted EPS and adjusted diluted EPS.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20" w:type="dxa"/>
            <w:vAlign w:val="bottom"/>
          </w:tcPr>
          <w:p>
            <w:pPr>
              <w:spacing w:after="0"/>
              <w:rPr>
                <w:sz w:val="20"/>
                <w:szCs w:val="20"/>
                <w:color w:val="auto"/>
              </w:rPr>
            </w:pPr>
            <w:r>
              <w:rPr>
                <w:rFonts w:ascii="Arial" w:cs="Arial" w:eastAsia="Arial" w:hAnsi="Arial"/>
                <w:sz w:val="18"/>
                <w:szCs w:val="18"/>
                <w:color w:val="auto"/>
              </w:rPr>
              <w:t>2. The impact of the specified items by line item was as follows: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6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7"/>
          </w:tcPr>
          <w:p>
            <w:pPr>
              <w:jc w:val="right"/>
              <w:ind w:right="570"/>
              <w:spacing w:after="0"/>
              <w:rPr>
                <w:sz w:val="20"/>
                <w:szCs w:val="20"/>
                <w:color w:val="auto"/>
              </w:rPr>
            </w:pPr>
            <w:r>
              <w:rPr>
                <w:rFonts w:ascii="Arial" w:cs="Arial" w:eastAsia="Arial" w:hAnsi="Arial"/>
                <w:sz w:val="18"/>
                <w:szCs w:val="18"/>
                <w:b w:val="1"/>
                <w:bCs w:val="1"/>
                <w:color w:val="auto"/>
              </w:rPr>
              <w:t>Quarter Ended September 30, 2025</w:t>
            </w:r>
          </w:p>
        </w:tc>
        <w:tc>
          <w:tcPr>
            <w:tcW w:w="0" w:type="dxa"/>
            <w:vAlign w:val="bottom"/>
          </w:tcPr>
          <w:p>
            <w:pPr>
              <w:spacing w:after="0"/>
              <w:rPr>
                <w:sz w:val="1"/>
                <w:szCs w:val="1"/>
                <w:color w:val="auto"/>
              </w:rPr>
            </w:pPr>
          </w:p>
        </w:tc>
      </w:tr>
      <w:tr>
        <w:trPr>
          <w:trHeight w:val="169"/>
        </w:trPr>
        <w:tc>
          <w:tcPr>
            <w:tcW w:w="6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0"/>
              <w:spacing w:after="0" w:line="169" w:lineRule="exact"/>
              <w:rPr>
                <w:sz w:val="20"/>
                <w:szCs w:val="20"/>
                <w:color w:val="auto"/>
              </w:rPr>
            </w:pPr>
            <w:r>
              <w:rPr>
                <w:rFonts w:ascii="Arial" w:cs="Arial" w:eastAsia="Arial" w:hAnsi="Arial"/>
                <w:sz w:val="18"/>
                <w:szCs w:val="18"/>
                <w:color w:val="auto"/>
                <w:w w:val="98"/>
              </w:rPr>
              <w:t>Cost of</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30"/>
              <w:spacing w:after="0" w:line="169" w:lineRule="exact"/>
              <w:rPr>
                <w:sz w:val="20"/>
                <w:szCs w:val="20"/>
                <w:color w:val="auto"/>
              </w:rPr>
            </w:pPr>
            <w:r>
              <w:rPr>
                <w:rFonts w:ascii="Arial" w:cs="Arial" w:eastAsia="Arial" w:hAnsi="Arial"/>
                <w:sz w:val="18"/>
                <w:szCs w:val="18"/>
                <w:color w:val="auto"/>
                <w:w w:val="97"/>
              </w:rPr>
              <w:t>Other</w:t>
            </w:r>
          </w:p>
        </w:tc>
        <w:tc>
          <w:tcPr>
            <w:tcW w:w="0" w:type="dxa"/>
            <w:vAlign w:val="bottom"/>
          </w:tcPr>
          <w:p>
            <w:pPr>
              <w:spacing w:after="0"/>
              <w:rPr>
                <w:sz w:val="1"/>
                <w:szCs w:val="1"/>
                <w:color w:val="auto"/>
              </w:rPr>
            </w:pPr>
          </w:p>
        </w:tc>
      </w:tr>
      <w:tr>
        <w:trPr>
          <w:trHeight w:val="184"/>
        </w:trPr>
        <w:tc>
          <w:tcPr>
            <w:tcW w:w="6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90"/>
              <w:spacing w:after="0" w:line="183" w:lineRule="exact"/>
              <w:rPr>
                <w:sz w:val="20"/>
                <w:szCs w:val="20"/>
                <w:color w:val="auto"/>
              </w:rPr>
            </w:pPr>
            <w:r>
              <w:rPr>
                <w:rFonts w:ascii="Arial" w:cs="Arial" w:eastAsia="Arial" w:hAnsi="Arial"/>
                <w:sz w:val="18"/>
                <w:szCs w:val="18"/>
                <w:color w:val="auto"/>
                <w:w w:val="98"/>
              </w:rPr>
              <w:t>products</w:t>
            </w:r>
          </w:p>
        </w:tc>
        <w:tc>
          <w:tcPr>
            <w:tcW w:w="260" w:type="dxa"/>
            <w:vAlign w:val="bottom"/>
          </w:tcPr>
          <w:p>
            <w:pPr>
              <w:spacing w:after="0"/>
              <w:rPr>
                <w:sz w:val="15"/>
                <w:szCs w:val="15"/>
                <w:color w:val="auto"/>
              </w:rPr>
            </w:pPr>
          </w:p>
        </w:tc>
        <w:tc>
          <w:tcPr>
            <w:tcW w:w="860" w:type="dxa"/>
            <w:vAlign w:val="bottom"/>
            <w:vMerge w:val="restart"/>
          </w:tcPr>
          <w:p>
            <w:pPr>
              <w:jc w:val="right"/>
              <w:ind w:right="210"/>
              <w:spacing w:after="0"/>
              <w:rPr>
                <w:sz w:val="20"/>
                <w:szCs w:val="20"/>
                <w:color w:val="auto"/>
              </w:rPr>
            </w:pPr>
            <w:r>
              <w:rPr>
                <w:rFonts w:ascii="Arial" w:cs="Arial" w:eastAsia="Arial" w:hAnsi="Arial"/>
                <w:sz w:val="18"/>
                <w:szCs w:val="18"/>
                <w:color w:val="auto"/>
              </w:rPr>
              <w:t>SG&amp;A</w:t>
            </w:r>
          </w:p>
        </w:tc>
        <w:tc>
          <w:tcPr>
            <w:tcW w:w="260" w:type="dxa"/>
            <w:vAlign w:val="bottom"/>
          </w:tcPr>
          <w:p>
            <w:pPr>
              <w:spacing w:after="0"/>
              <w:rPr>
                <w:sz w:val="15"/>
                <w:szCs w:val="15"/>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R&amp;D</w:t>
            </w:r>
          </w:p>
        </w:tc>
        <w:tc>
          <w:tcPr>
            <w:tcW w:w="180" w:type="dxa"/>
            <w:vAlign w:val="bottom"/>
          </w:tcPr>
          <w:p>
            <w:pPr>
              <w:spacing w:after="0"/>
              <w:rPr>
                <w:sz w:val="15"/>
                <w:szCs w:val="15"/>
                <w:color w:val="auto"/>
              </w:rPr>
            </w:pPr>
          </w:p>
        </w:tc>
        <w:tc>
          <w:tcPr>
            <w:tcW w:w="880" w:type="dxa"/>
            <w:vAlign w:val="bottom"/>
          </w:tcPr>
          <w:p>
            <w:pPr>
              <w:jc w:val="center"/>
              <w:ind w:right="30"/>
              <w:spacing w:after="0" w:line="183" w:lineRule="exact"/>
              <w:rPr>
                <w:sz w:val="20"/>
                <w:szCs w:val="20"/>
                <w:color w:val="auto"/>
              </w:rPr>
            </w:pPr>
            <w:r>
              <w:rPr>
                <w:rFonts w:ascii="Arial" w:cs="Arial" w:eastAsia="Arial" w:hAnsi="Arial"/>
                <w:sz w:val="18"/>
                <w:szCs w:val="18"/>
                <w:color w:val="auto"/>
                <w:w w:val="98"/>
              </w:rPr>
              <w:t>expense,</w:t>
            </w:r>
          </w:p>
        </w:tc>
        <w:tc>
          <w:tcPr>
            <w:tcW w:w="0" w:type="dxa"/>
            <w:vAlign w:val="bottom"/>
          </w:tcPr>
          <w:p>
            <w:pPr>
              <w:spacing w:after="0"/>
              <w:rPr>
                <w:sz w:val="1"/>
                <w:szCs w:val="1"/>
                <w:color w:val="auto"/>
              </w:rPr>
            </w:pPr>
          </w:p>
        </w:tc>
      </w:tr>
      <w:tr>
        <w:trPr>
          <w:trHeight w:val="235"/>
        </w:trPr>
        <w:tc>
          <w:tcPr>
            <w:tcW w:w="6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reported (GAAP)</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sold</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5"/>
              </w:rPr>
              <w:t>net</w:t>
            </w:r>
          </w:p>
        </w:tc>
        <w:tc>
          <w:tcPr>
            <w:tcW w:w="0" w:type="dxa"/>
            <w:vAlign w:val="bottom"/>
          </w:tcPr>
          <w:p>
            <w:pPr>
              <w:spacing w:after="0"/>
              <w:rPr>
                <w:sz w:val="1"/>
                <w:szCs w:val="1"/>
                <w:color w:val="auto"/>
              </w:rPr>
            </w:pPr>
          </w:p>
        </w:tc>
      </w:tr>
      <w:tr>
        <w:trPr>
          <w:trHeight w:val="218"/>
        </w:trPr>
        <w:tc>
          <w:tcPr>
            <w:tcW w:w="69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5,304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3,569</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2,319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523</w:t>
            </w:r>
          </w:p>
        </w:tc>
        <w:tc>
          <w:tcPr>
            <w:tcW w:w="0" w:type="dxa"/>
            <w:vAlign w:val="bottom"/>
          </w:tcPr>
          <w:p>
            <w:pPr>
              <w:spacing w:after="0"/>
              <w:rPr>
                <w:sz w:val="1"/>
                <w:szCs w:val="1"/>
                <w:color w:val="auto"/>
              </w:rPr>
            </w:pP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Adjusted for specified items: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140"/>
              <w:spacing w:after="0"/>
              <w:rPr>
                <w:sz w:val="20"/>
                <w:szCs w:val="20"/>
                <w:color w:val="auto"/>
              </w:rPr>
            </w:pPr>
            <w:r>
              <w:rPr>
                <w:rFonts w:ascii="Arial" w:cs="Arial" w:eastAsia="Arial" w:hAnsi="Arial"/>
                <w:sz w:val="18"/>
                <w:szCs w:val="18"/>
                <w:color w:val="auto"/>
              </w:rPr>
              <w:t>Intangible asset amortization</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(1,871)</w:t>
            </w:r>
          </w:p>
        </w:tc>
        <w:tc>
          <w:tcPr>
            <w:tcW w:w="2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Pr>
          <w:p>
            <w:pPr>
              <w:ind w:left="140"/>
              <w:spacing w:after="0"/>
              <w:rPr>
                <w:sz w:val="20"/>
                <w:szCs w:val="20"/>
                <w:color w:val="auto"/>
              </w:rPr>
            </w:pPr>
            <w:r>
              <w:rPr>
                <w:rFonts w:ascii="Arial" w:cs="Arial" w:eastAsia="Arial" w:hAnsi="Arial"/>
                <w:sz w:val="18"/>
                <w:szCs w:val="18"/>
                <w:color w:val="auto"/>
              </w:rPr>
              <w:t>Intangible asset impairment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(847)</w:t>
            </w:r>
          </w:p>
        </w:tc>
        <w:tc>
          <w:tcPr>
            <w:tcW w:w="2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Pr>
          <w:p>
            <w:pPr>
              <w:ind w:left="140"/>
              <w:spacing w:after="0"/>
              <w:rPr>
                <w:sz w:val="20"/>
                <w:szCs w:val="20"/>
                <w:color w:val="auto"/>
              </w:rPr>
            </w:pPr>
            <w:r>
              <w:rPr>
                <w:rFonts w:ascii="Arial" w:cs="Arial" w:eastAsia="Arial" w:hAnsi="Arial"/>
                <w:sz w:val="18"/>
                <w:szCs w:val="18"/>
                <w:color w:val="auto"/>
              </w:rPr>
              <w:t>Acquisition and integration costs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2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35"/>
        </w:trPr>
        <w:tc>
          <w:tcPr>
            <w:tcW w:w="692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As adjusted (non-GAAP)</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2,547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3,412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3. The adjusted tax rate for the third quarter of 2025 was 24.5 percent, as detailed below:</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(dollars in millions)</w:t>
            </w:r>
          </w:p>
        </w:tc>
        <w:tc>
          <w:tcPr>
            <w:tcW w:w="4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Quarter Ended September 30, 2025</w:t>
            </w:r>
          </w:p>
        </w:tc>
        <w:tc>
          <w:tcPr>
            <w:tcW w:w="0" w:type="dxa"/>
            <w:vAlign w:val="bottom"/>
          </w:tcPr>
          <w:p>
            <w:pPr>
              <w:spacing w:after="0"/>
              <w:rPr>
                <w:sz w:val="1"/>
                <w:szCs w:val="1"/>
                <w:color w:val="auto"/>
              </w:rPr>
            </w:pPr>
          </w:p>
        </w:tc>
      </w:tr>
      <w:tr>
        <w:trPr>
          <w:trHeight w:val="223"/>
        </w:trPr>
        <w:tc>
          <w:tcPr>
            <w:tcW w:w="6540" w:type="dxa"/>
            <w:vAlign w:val="bottom"/>
            <w:vMerge w:val="continue"/>
          </w:tcPr>
          <w:p>
            <w:pPr>
              <w:spacing w:after="0"/>
              <w:rPr>
                <w:sz w:val="19"/>
                <w:szCs w:val="19"/>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Pre-tax earnings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Income taxes</w:t>
            </w: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Tax rate</w:t>
            </w:r>
          </w:p>
        </w:tc>
        <w:tc>
          <w:tcPr>
            <w:tcW w:w="0" w:type="dxa"/>
            <w:vAlign w:val="bottom"/>
          </w:tcPr>
          <w:p>
            <w:pPr>
              <w:spacing w:after="0"/>
              <w:rPr>
                <w:sz w:val="1"/>
                <w:szCs w:val="1"/>
                <w:color w:val="auto"/>
              </w:rPr>
            </w:pPr>
          </w:p>
        </w:tc>
      </w:tr>
      <w:tr>
        <w:trPr>
          <w:trHeight w:val="218"/>
        </w:trPr>
        <w:tc>
          <w:tcPr>
            <w:tcW w:w="654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714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526</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73.7 %</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r>
              <w:rPr>
                <w:rFonts w:ascii="Arial" w:cs="Arial" w:eastAsia="Arial" w:hAnsi="Arial"/>
                <w:sz w:val="18"/>
                <w:szCs w:val="18"/>
                <w:color w:val="auto"/>
              </w:rPr>
              <w:t>Specified items</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3,666</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546</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4,380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1,072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894"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AbbVie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Reported to Non-GAAP Adjusted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r>
              <w:rPr>
                <w:rFonts w:ascii="Arial" w:cs="Arial" w:eastAsia="Arial" w:hAnsi="Arial"/>
                <w:sz w:val="18"/>
                <w:szCs w:val="18"/>
                <w:color w:val="auto"/>
              </w:rPr>
              <w:t>1. Specified items impacted results as follows: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millions, except per share data)</w:t>
            </w:r>
          </w:p>
        </w:tc>
        <w:tc>
          <w:tcPr>
            <w:tcW w:w="28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rPr>
              <w:t>Nine Months Ended September 30, 2026</w:t>
            </w:r>
          </w:p>
        </w:tc>
        <w:tc>
          <w:tcPr>
            <w:tcW w:w="0" w:type="dxa"/>
            <w:vAlign w:val="bottom"/>
          </w:tcPr>
          <w:p>
            <w:pPr>
              <w:spacing w:after="0"/>
              <w:rPr>
                <w:sz w:val="1"/>
                <w:szCs w:val="1"/>
                <w:color w:val="auto"/>
              </w:rPr>
            </w:pPr>
          </w:p>
        </w:tc>
      </w:tr>
      <w:tr>
        <w:trPr>
          <w:trHeight w:val="223"/>
        </w:trPr>
        <w:tc>
          <w:tcPr>
            <w:tcW w:w="6660" w:type="dxa"/>
            <w:vAlign w:val="bottom"/>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Diluted</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Pre-tax</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line="223" w:lineRule="exact"/>
              <w:rPr>
                <w:sz w:val="20"/>
                <w:szCs w:val="20"/>
                <w:color w:val="auto"/>
              </w:rPr>
            </w:pPr>
            <w:r>
              <w:rPr>
                <w:rFonts w:ascii="Arial" w:cs="Arial" w:eastAsia="Arial" w:hAnsi="Arial"/>
                <w:sz w:val="18"/>
                <w:szCs w:val="18"/>
                <w:color w:val="auto"/>
                <w:w w:val="99"/>
              </w:rPr>
              <w:t>After-tax</w:t>
            </w:r>
            <w:r>
              <w:rPr>
                <w:rFonts w:ascii="Arial" w:cs="Arial" w:eastAsia="Arial" w:hAnsi="Arial"/>
                <w:sz w:val="23"/>
                <w:szCs w:val="23"/>
                <w:color w:val="auto"/>
                <w:w w:val="99"/>
                <w:vertAlign w:val="superscript"/>
              </w:rPr>
              <w:t>a</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EPS</w:t>
            </w:r>
          </w:p>
        </w:tc>
        <w:tc>
          <w:tcPr>
            <w:tcW w:w="0" w:type="dxa"/>
            <w:vAlign w:val="bottom"/>
          </w:tcPr>
          <w:p>
            <w:pPr>
              <w:spacing w:after="0"/>
              <w:rPr>
                <w:sz w:val="1"/>
                <w:szCs w:val="1"/>
                <w:color w:val="auto"/>
              </w:rPr>
            </w:pPr>
          </w:p>
        </w:tc>
      </w:tr>
      <w:tr>
        <w:trPr>
          <w:trHeight w:val="218"/>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As reported (GAAP)</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10,146</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8,526</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4.79</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Adjusted for specified items: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5,106</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4,353</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Acquisition and integration costs</w:t>
            </w:r>
          </w:p>
        </w:tc>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4,734</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4,613</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5"/>
        </w:trPr>
        <w:tc>
          <w:tcPr>
            <w:tcW w:w="6660" w:type="dxa"/>
            <w:vAlign w:val="bottom"/>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631</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As adjusted (non-GAAP)</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21,048</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17,997</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10.12</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9"/>
          <w:szCs w:val="9"/>
          <w:color w:val="auto"/>
        </w:rPr>
      </w:pPr>
      <w:r>
        <w:rPr>
          <w:rFonts w:ascii="Arial" w:cs="Arial" w:eastAsia="Arial" w:hAnsi="Arial"/>
          <w:sz w:val="14"/>
          <w:szCs w:val="14"/>
          <w:color w:val="auto"/>
        </w:rPr>
        <w:t>Represents net earnings attributable to AbbVie Inc. Specified items reflect the impact of applicable statutory tax rates.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Acquisition and integration costs primarily reflect costs related to the Apogee Therapeutics, Inc. acquisition.</w:t>
      </w:r>
    </w:p>
    <w:p>
      <w:pPr>
        <w:spacing w:after="0" w:line="19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Reported GAAP earnings and adjusted non-GAAP earnings for the nine months ended September 30, 2026 included acquired IPR&amp;D and milestones expense of $1.3 billion on a pre-tax and $1.2 billion on an after-tax basis, representing an unfavorable impact of $0.69 to both diluted EPS and adjusted diluted EPS.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2. The impact of the specified items by line item was as follows: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(in millions)</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7"/>
          </w:tcPr>
          <w:p>
            <w:pPr>
              <w:jc w:val="right"/>
              <w:ind w:right="490"/>
              <w:spacing w:after="0"/>
              <w:rPr>
                <w:sz w:val="20"/>
                <w:szCs w:val="20"/>
                <w:color w:val="auto"/>
              </w:rPr>
            </w:pPr>
            <w:r>
              <w:rPr>
                <w:rFonts w:ascii="Arial" w:cs="Arial" w:eastAsia="Arial" w:hAnsi="Arial"/>
                <w:sz w:val="18"/>
                <w:szCs w:val="18"/>
                <w:b w:val="1"/>
                <w:bCs w:val="1"/>
                <w:color w:val="auto"/>
              </w:rPr>
              <w:t>Nine Months Ended September 30, 2026</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98"/>
              </w:rPr>
              <w:t>Cost of</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90"/>
              <w:spacing w:after="0" w:line="169" w:lineRule="exact"/>
              <w:rPr>
                <w:sz w:val="20"/>
                <w:szCs w:val="20"/>
                <w:color w:val="auto"/>
              </w:rPr>
            </w:pPr>
            <w:r>
              <w:rPr>
                <w:rFonts w:ascii="Arial" w:cs="Arial" w:eastAsia="Arial" w:hAnsi="Arial"/>
                <w:sz w:val="18"/>
                <w:szCs w:val="18"/>
                <w:color w:val="auto"/>
              </w:rPr>
              <w:t>Other</w:t>
            </w:r>
          </w:p>
        </w:tc>
        <w:tc>
          <w:tcPr>
            <w:tcW w:w="200" w:type="dxa"/>
            <w:vAlign w:val="bottom"/>
          </w:tcPr>
          <w:p>
            <w:pPr>
              <w:spacing w:after="0"/>
              <w:rPr>
                <w:sz w:val="14"/>
                <w:szCs w:val="14"/>
                <w:color w:val="auto"/>
              </w:rPr>
            </w:pPr>
          </w:p>
        </w:tc>
        <w:tc>
          <w:tcPr>
            <w:tcW w:w="860" w:type="dxa"/>
            <w:vAlign w:val="bottom"/>
          </w:tcPr>
          <w:p>
            <w:pPr>
              <w:jc w:val="center"/>
              <w:ind w:right="90"/>
              <w:spacing w:after="0" w:line="169" w:lineRule="exact"/>
              <w:rPr>
                <w:sz w:val="20"/>
                <w:szCs w:val="20"/>
                <w:color w:val="auto"/>
              </w:rPr>
            </w:pPr>
            <w:r>
              <w:rPr>
                <w:rFonts w:ascii="Arial" w:cs="Arial" w:eastAsia="Arial" w:hAnsi="Arial"/>
                <w:sz w:val="18"/>
                <w:szCs w:val="18"/>
                <w:color w:val="auto"/>
                <w:w w:val="99"/>
              </w:rPr>
              <w:t>Interest</w:t>
            </w:r>
          </w:p>
        </w:tc>
        <w:tc>
          <w:tcPr>
            <w:tcW w:w="280" w:type="dxa"/>
            <w:vAlign w:val="bottom"/>
          </w:tcPr>
          <w:p>
            <w:pPr>
              <w:spacing w:after="0"/>
              <w:rPr>
                <w:sz w:val="14"/>
                <w:szCs w:val="14"/>
                <w:color w:val="auto"/>
              </w:rPr>
            </w:pPr>
          </w:p>
        </w:tc>
        <w:tc>
          <w:tcPr>
            <w:tcW w:w="860" w:type="dxa"/>
            <w:vAlign w:val="bottom"/>
            <w:vMerge w:val="restart"/>
          </w:tcPr>
          <w:p>
            <w:pPr>
              <w:jc w:val="right"/>
              <w:ind w:right="23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76"/>
        </w:trPr>
        <w:tc>
          <w:tcPr>
            <w:tcW w:w="4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8"/>
              </w:rPr>
              <w:t>products</w:t>
            </w:r>
          </w:p>
        </w:tc>
        <w:tc>
          <w:tcPr>
            <w:tcW w:w="260" w:type="dxa"/>
            <w:vAlign w:val="bottom"/>
          </w:tcPr>
          <w:p>
            <w:pPr>
              <w:spacing w:after="0"/>
              <w:rPr>
                <w:sz w:val="15"/>
                <w:szCs w:val="15"/>
                <w:color w:val="auto"/>
              </w:rPr>
            </w:pPr>
          </w:p>
        </w:tc>
        <w:tc>
          <w:tcPr>
            <w:tcW w:w="920" w:type="dxa"/>
            <w:vAlign w:val="bottom"/>
            <w:vMerge w:val="restart"/>
          </w:tcPr>
          <w:p>
            <w:pPr>
              <w:jc w:val="right"/>
              <w:ind w:right="250"/>
              <w:spacing w:after="0"/>
              <w:rPr>
                <w:sz w:val="20"/>
                <w:szCs w:val="20"/>
                <w:color w:val="auto"/>
              </w:rPr>
            </w:pPr>
            <w:r>
              <w:rPr>
                <w:rFonts w:ascii="Arial" w:cs="Arial" w:eastAsia="Arial" w:hAnsi="Arial"/>
                <w:sz w:val="18"/>
                <w:szCs w:val="18"/>
                <w:color w:val="auto"/>
              </w:rPr>
              <w:t>SG&amp;A</w:t>
            </w:r>
          </w:p>
        </w:tc>
        <w:tc>
          <w:tcPr>
            <w:tcW w:w="280" w:type="dxa"/>
            <w:vAlign w:val="bottom"/>
          </w:tcPr>
          <w:p>
            <w:pPr>
              <w:spacing w:after="0"/>
              <w:rPr>
                <w:sz w:val="15"/>
                <w:szCs w:val="15"/>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R&amp;D</w:t>
            </w:r>
          </w:p>
        </w:tc>
        <w:tc>
          <w:tcPr>
            <w:tcW w:w="200" w:type="dxa"/>
            <w:vAlign w:val="bottom"/>
          </w:tcPr>
          <w:p>
            <w:pPr>
              <w:spacing w:after="0"/>
              <w:rPr>
                <w:sz w:val="15"/>
                <w:szCs w:val="15"/>
                <w:color w:val="auto"/>
              </w:rPr>
            </w:pPr>
          </w:p>
        </w:tc>
        <w:tc>
          <w:tcPr>
            <w:tcW w:w="10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8"/>
              </w:rPr>
              <w:t>operating</w:t>
            </w:r>
          </w:p>
        </w:tc>
        <w:tc>
          <w:tcPr>
            <w:tcW w:w="1060" w:type="dxa"/>
            <w:vAlign w:val="bottom"/>
            <w:gridSpan w:val="2"/>
          </w:tcPr>
          <w:p>
            <w:pPr>
              <w:jc w:val="center"/>
              <w:spacing w:after="0" w:line="176" w:lineRule="exact"/>
              <w:rPr>
                <w:sz w:val="20"/>
                <w:szCs w:val="20"/>
                <w:color w:val="auto"/>
              </w:rPr>
            </w:pPr>
            <w:r>
              <w:rPr>
                <w:rFonts w:ascii="Arial" w:cs="Arial" w:eastAsia="Arial" w:hAnsi="Arial"/>
                <w:sz w:val="18"/>
                <w:szCs w:val="18"/>
                <w:color w:val="auto"/>
              </w:rPr>
              <w:t>expense,</w:t>
            </w: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As reported (GAAP)</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6"/>
              </w:rPr>
              <w:t>sold</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income</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rPr>
              <w:t>net</w:t>
            </w: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18"/>
        </w:trPr>
        <w:tc>
          <w:tcPr>
            <w:tcW w:w="43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12,794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11,297</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7,383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4,519</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Adjusted for specified items: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20"/>
              <w:spacing w:after="0"/>
              <w:rPr>
                <w:sz w:val="20"/>
                <w:szCs w:val="20"/>
                <w:color w:val="auto"/>
              </w:rPr>
            </w:pPr>
            <w:r>
              <w:rPr>
                <w:rFonts w:ascii="Arial" w:cs="Arial" w:eastAsia="Arial" w:hAnsi="Arial"/>
                <w:sz w:val="18"/>
                <w:szCs w:val="18"/>
                <w:color w:val="auto"/>
              </w:rPr>
              <w:t>Intangible asset amortization</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(5,106)</w:t>
            </w:r>
          </w:p>
        </w:tc>
        <w:tc>
          <w:tcPr>
            <w:tcW w:w="26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120"/>
              <w:spacing w:after="0"/>
              <w:rPr>
                <w:sz w:val="20"/>
                <w:szCs w:val="20"/>
                <w:color w:val="auto"/>
              </w:rPr>
            </w:pPr>
            <w:r>
              <w:rPr>
                <w:rFonts w:ascii="Arial" w:cs="Arial" w:eastAsia="Arial" w:hAnsi="Arial"/>
                <w:sz w:val="18"/>
                <w:szCs w:val="18"/>
                <w:color w:val="auto"/>
              </w:rPr>
              <w:t>Acquisition and integration costs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12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(4,734)</w:t>
            </w:r>
          </w:p>
        </w:tc>
        <w:tc>
          <w:tcPr>
            <w:tcW w:w="0" w:type="dxa"/>
            <w:vAlign w:val="bottom"/>
          </w:tcPr>
          <w:p>
            <w:pPr>
              <w:spacing w:after="0"/>
              <w:rPr>
                <w:sz w:val="1"/>
                <w:szCs w:val="1"/>
                <w:color w:val="auto"/>
              </w:rPr>
            </w:pPr>
          </w:p>
        </w:tc>
      </w:tr>
      <w:tr>
        <w:trPr>
          <w:trHeight w:val="235"/>
        </w:trPr>
        <w:tc>
          <w:tcPr>
            <w:tcW w:w="4360" w:type="dxa"/>
            <w:vAlign w:val="bottom"/>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7,661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10,663</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7,007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3. The adjusted tax rate for the first nine months of 2026 was 14.5 percent, as detailed below:</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(dollars in millions)</w:t>
            </w:r>
          </w:p>
        </w:tc>
        <w:tc>
          <w:tcPr>
            <w:tcW w:w="38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 September 30, 2026</w:t>
            </w:r>
          </w:p>
        </w:tc>
        <w:tc>
          <w:tcPr>
            <w:tcW w:w="0" w:type="dxa"/>
            <w:vAlign w:val="bottom"/>
          </w:tcPr>
          <w:p>
            <w:pPr>
              <w:spacing w:after="0"/>
              <w:rPr>
                <w:sz w:val="1"/>
                <w:szCs w:val="1"/>
                <w:color w:val="auto"/>
              </w:rPr>
            </w:pPr>
          </w:p>
        </w:tc>
      </w:tr>
      <w:tr>
        <w:trPr>
          <w:trHeight w:val="223"/>
        </w:trPr>
        <w:tc>
          <w:tcPr>
            <w:tcW w:w="6540" w:type="dxa"/>
            <w:vAlign w:val="bottom"/>
            <w:vMerge w:val="continue"/>
          </w:tcPr>
          <w:p>
            <w:pPr>
              <w:spacing w:after="0"/>
              <w:rPr>
                <w:sz w:val="19"/>
                <w:szCs w:val="19"/>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Pre-tax earnings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Income taxes</w:t>
            </w: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Tax rate</w:t>
            </w:r>
          </w:p>
        </w:tc>
        <w:tc>
          <w:tcPr>
            <w:tcW w:w="0" w:type="dxa"/>
            <w:vAlign w:val="bottom"/>
          </w:tcPr>
          <w:p>
            <w:pPr>
              <w:spacing w:after="0"/>
              <w:rPr>
                <w:sz w:val="1"/>
                <w:szCs w:val="1"/>
                <w:color w:val="auto"/>
              </w:rPr>
            </w:pPr>
          </w:p>
        </w:tc>
      </w:tr>
      <w:tr>
        <w:trPr>
          <w:trHeight w:val="218"/>
        </w:trPr>
        <w:tc>
          <w:tcPr>
            <w:tcW w:w="654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10,146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1,613</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15.9 %</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r>
              <w:rPr>
                <w:rFonts w:ascii="Arial" w:cs="Arial" w:eastAsia="Arial" w:hAnsi="Arial"/>
                <w:sz w:val="18"/>
                <w:szCs w:val="18"/>
                <w:color w:val="auto"/>
              </w:rPr>
              <w:t>Specified items</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10,902</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1,431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21,048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3,044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894"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22"/>
          <w:szCs w:val="22"/>
          <w:b w:val="1"/>
          <w:bCs w:val="1"/>
          <w:color w:val="auto"/>
        </w:rPr>
        <w:t>AbbVie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Reconciliation of GAAP Reported to Non-GAAP Adjusted Information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ectPr>
          <w:pgSz w:w="11900" w:h="16838" w:orient="portrait"/>
          <w:cols w:equalWidth="0" w:num="1">
            <w:col w:w="11240"/>
          </w:cols>
          <w:pgMar w:left="320" w:top="894" w:right="339" w:bottom="144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1. Specified items impacted results as follows:</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millions, except per share data)</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reported (GAAP)</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for specified items: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Intangible asset amortization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Intangible asset impairment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Acquisition and integration costs</w:t>
      </w:r>
    </w:p>
    <w:p>
      <w:pPr>
        <w:spacing w:after="0" w:line="23" w:lineRule="exact"/>
        <w:rPr>
          <w:sz w:val="20"/>
          <w:szCs w:val="20"/>
          <w:color w:val="auto"/>
        </w:rPr>
      </w:pPr>
    </w:p>
    <w:p>
      <w:pPr>
        <w:ind w:left="140" w:right="2000"/>
        <w:spacing w:after="0" w:line="268" w:lineRule="auto"/>
        <w:rPr>
          <w:sz w:val="20"/>
          <w:szCs w:val="20"/>
          <w:color w:val="auto"/>
        </w:rPr>
      </w:pPr>
      <w:r>
        <w:rPr>
          <w:rFonts w:ascii="Arial" w:cs="Arial" w:eastAsia="Arial" w:hAnsi="Arial"/>
          <w:sz w:val="18"/>
          <w:szCs w:val="18"/>
          <w:color w:val="auto"/>
        </w:rPr>
        <w:t>Change in fair value of contingent consideration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adjusted (non-GAAP)</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889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89250" cy="8255"/>
                    </a:xfrm>
                    <a:prstGeom prst="rect">
                      <a:avLst/>
                    </a:prstGeom>
                    <a:noFill/>
                  </pic:spPr>
                </pic:pic>
              </a:graphicData>
            </a:graphic>
          </wp:anchor>
        </w:drawing>
      </w:r>
    </w:p>
    <w:p>
      <w:pPr>
        <w:spacing w:after="0" w:line="20" w:lineRule="exact"/>
        <w:rPr>
          <w:sz w:val="20"/>
          <w:szCs w:val="20"/>
          <w:color w:val="auto"/>
        </w:rPr>
      </w:pPr>
    </w:p>
    <w:p>
      <w:pPr>
        <w:ind w:left="1140"/>
        <w:spacing w:after="0"/>
        <w:tabs>
          <w:tab w:leader="none" w:pos="3540" w:val="left"/>
        </w:tabs>
        <w:rPr>
          <w:sz w:val="20"/>
          <w:szCs w:val="20"/>
          <w:color w:val="auto"/>
        </w:rPr>
      </w:pPr>
      <w:r>
        <w:rPr>
          <w:rFonts w:ascii="Arial" w:cs="Arial" w:eastAsia="Arial" w:hAnsi="Arial"/>
          <w:sz w:val="18"/>
          <w:szCs w:val="18"/>
          <w:color w:val="auto"/>
        </w:rPr>
        <w:t>Earnings</w:t>
      </w:r>
      <w:r>
        <w:rPr>
          <w:sz w:val="20"/>
          <w:szCs w:val="20"/>
          <w:color w:val="auto"/>
        </w:rPr>
        <w:tab/>
      </w:r>
      <w:r>
        <w:rPr>
          <w:rFonts w:ascii="Arial" w:cs="Arial" w:eastAsia="Arial" w:hAnsi="Arial"/>
          <w:sz w:val="18"/>
          <w:szCs w:val="18"/>
          <w:color w:val="auto"/>
        </w:rPr>
        <w:t>Diluted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Pre-tax</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50"/>
              <w:spacing w:after="0" w:line="223" w:lineRule="exact"/>
              <w:rPr>
                <w:sz w:val="20"/>
                <w:szCs w:val="20"/>
                <w:color w:val="auto"/>
              </w:rPr>
            </w:pPr>
            <w:r>
              <w:rPr>
                <w:rFonts w:ascii="Arial" w:cs="Arial" w:eastAsia="Arial" w:hAnsi="Arial"/>
                <w:sz w:val="18"/>
                <w:szCs w:val="18"/>
                <w:color w:val="auto"/>
              </w:rPr>
              <w:t>After-tax</w:t>
            </w:r>
            <w:r>
              <w:rPr>
                <w:rFonts w:ascii="Arial" w:cs="Arial" w:eastAsia="Arial" w:hAnsi="Arial"/>
                <w:sz w:val="23"/>
                <w:szCs w:val="23"/>
                <w:color w:val="auto"/>
                <w:vertAlign w:val="superscript"/>
              </w:rPr>
              <w:t>a</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EPS</w:t>
            </w:r>
          </w:p>
        </w:tc>
      </w:tr>
      <w:tr>
        <w:trPr>
          <w:trHeight w:val="240"/>
        </w:trPr>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3,929</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2,410</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center"/>
              <w:ind w:left="510"/>
              <w:spacing w:after="0"/>
              <w:rPr>
                <w:sz w:val="20"/>
                <w:szCs w:val="20"/>
                <w:color w:val="auto"/>
              </w:rPr>
            </w:pPr>
            <w:r>
              <w:rPr>
                <w:rFonts w:ascii="Arial" w:cs="Arial" w:eastAsia="Arial" w:hAnsi="Arial"/>
                <w:sz w:val="18"/>
                <w:szCs w:val="18"/>
                <w:b w:val="1"/>
                <w:bCs w:val="1"/>
                <w:color w:val="auto"/>
              </w:rPr>
              <w:t>1.34</w:t>
            </w:r>
          </w:p>
        </w:tc>
      </w:tr>
      <w:tr>
        <w:trPr>
          <w:trHeight w:val="436"/>
        </w:trPr>
        <w:tc>
          <w:tcPr>
            <w:tcW w:w="28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5,593</w:t>
            </w: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4,721</w:t>
            </w:r>
          </w:p>
        </w:tc>
        <w:tc>
          <w:tcPr>
            <w:tcW w:w="440" w:type="dxa"/>
            <w:vAlign w:val="bottom"/>
          </w:tcPr>
          <w:p>
            <w:pPr>
              <w:spacing w:after="0"/>
              <w:rPr>
                <w:sz w:val="24"/>
                <w:szCs w:val="24"/>
                <w:color w:val="auto"/>
              </w:rPr>
            </w:pPr>
          </w:p>
        </w:tc>
        <w:tc>
          <w:tcPr>
            <w:tcW w:w="1120" w:type="dxa"/>
            <w:vAlign w:val="bottom"/>
          </w:tcPr>
          <w:p>
            <w:pPr>
              <w:jc w:val="center"/>
              <w:ind w:left="510"/>
              <w:spacing w:after="0"/>
              <w:rPr>
                <w:sz w:val="20"/>
                <w:szCs w:val="20"/>
                <w:color w:val="auto"/>
              </w:rPr>
            </w:pPr>
            <w:r>
              <w:rPr>
                <w:rFonts w:ascii="Arial" w:cs="Arial" w:eastAsia="Arial" w:hAnsi="Arial"/>
                <w:sz w:val="18"/>
                <w:szCs w:val="18"/>
                <w:color w:val="auto"/>
              </w:rPr>
              <w:t>2.67</w:t>
            </w:r>
          </w:p>
        </w:tc>
      </w:tr>
      <w:tr>
        <w:trPr>
          <w:trHeight w:val="229"/>
        </w:trPr>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847</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701</w:t>
            </w:r>
          </w:p>
        </w:tc>
        <w:tc>
          <w:tcPr>
            <w:tcW w:w="440" w:type="dxa"/>
            <w:vAlign w:val="bottom"/>
          </w:tcPr>
          <w:p>
            <w:pPr>
              <w:spacing w:after="0"/>
              <w:rPr>
                <w:sz w:val="19"/>
                <w:szCs w:val="19"/>
                <w:color w:val="auto"/>
              </w:rPr>
            </w:pPr>
          </w:p>
        </w:tc>
        <w:tc>
          <w:tcPr>
            <w:tcW w:w="1120" w:type="dxa"/>
            <w:vAlign w:val="bottom"/>
          </w:tcPr>
          <w:p>
            <w:pPr>
              <w:jc w:val="center"/>
              <w:ind w:left="510"/>
              <w:spacing w:after="0"/>
              <w:rPr>
                <w:sz w:val="20"/>
                <w:szCs w:val="20"/>
                <w:color w:val="auto"/>
              </w:rPr>
            </w:pPr>
            <w:r>
              <w:rPr>
                <w:rFonts w:ascii="Arial" w:cs="Arial" w:eastAsia="Arial" w:hAnsi="Arial"/>
                <w:sz w:val="18"/>
                <w:szCs w:val="18"/>
                <w:color w:val="auto"/>
              </w:rPr>
              <w:t>0.39</w:t>
            </w:r>
          </w:p>
        </w:tc>
      </w:tr>
      <w:tr>
        <w:trPr>
          <w:trHeight w:val="230"/>
        </w:trPr>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w:t>
            </w:r>
          </w:p>
        </w:tc>
        <w:tc>
          <w:tcPr>
            <w:tcW w:w="440" w:type="dxa"/>
            <w:vAlign w:val="bottom"/>
          </w:tcPr>
          <w:p>
            <w:pPr>
              <w:spacing w:after="0"/>
              <w:rPr>
                <w:sz w:val="19"/>
                <w:szCs w:val="19"/>
                <w:color w:val="auto"/>
              </w:rPr>
            </w:pPr>
          </w:p>
        </w:tc>
        <w:tc>
          <w:tcPr>
            <w:tcW w:w="1120" w:type="dxa"/>
            <w:vAlign w:val="bottom"/>
          </w:tcPr>
          <w:p>
            <w:pPr>
              <w:jc w:val="center"/>
              <w:ind w:left="510"/>
              <w:spacing w:after="0"/>
              <w:rPr>
                <w:sz w:val="20"/>
                <w:szCs w:val="20"/>
                <w:color w:val="auto"/>
              </w:rPr>
            </w:pPr>
            <w:r>
              <w:rPr>
                <w:rFonts w:ascii="Arial" w:cs="Arial" w:eastAsia="Arial" w:hAnsi="Arial"/>
                <w:sz w:val="18"/>
                <w:szCs w:val="18"/>
                <w:color w:val="auto"/>
              </w:rPr>
              <w:t>0.14</w:t>
            </w:r>
          </w:p>
        </w:tc>
      </w:tr>
      <w:tr>
        <w:trPr>
          <w:trHeight w:val="229"/>
        </w:trPr>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5,089</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4,941</w:t>
            </w:r>
          </w:p>
        </w:tc>
        <w:tc>
          <w:tcPr>
            <w:tcW w:w="440" w:type="dxa"/>
            <w:vAlign w:val="bottom"/>
          </w:tcPr>
          <w:p>
            <w:pPr>
              <w:spacing w:after="0"/>
              <w:rPr>
                <w:sz w:val="19"/>
                <w:szCs w:val="19"/>
                <w:color w:val="auto"/>
              </w:rPr>
            </w:pPr>
          </w:p>
        </w:tc>
        <w:tc>
          <w:tcPr>
            <w:tcW w:w="1120" w:type="dxa"/>
            <w:vAlign w:val="bottom"/>
          </w:tcPr>
          <w:p>
            <w:pPr>
              <w:jc w:val="center"/>
              <w:ind w:left="510"/>
              <w:spacing w:after="0"/>
              <w:rPr>
                <w:sz w:val="20"/>
                <w:szCs w:val="20"/>
                <w:color w:val="auto"/>
              </w:rPr>
            </w:pPr>
            <w:r>
              <w:rPr>
                <w:rFonts w:ascii="Arial" w:cs="Arial" w:eastAsia="Arial" w:hAnsi="Arial"/>
                <w:sz w:val="18"/>
                <w:szCs w:val="18"/>
                <w:color w:val="auto"/>
              </w:rPr>
              <w:t>2.79</w:t>
            </w:r>
          </w:p>
        </w:tc>
      </w:tr>
      <w:tr>
        <w:trPr>
          <w:trHeight w:val="235"/>
        </w:trPr>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7"/>
              </w:rPr>
              <w:t>(0.04)</w:t>
            </w: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15,783</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12,954</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rPr>
              <w:t>7.29</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ectPr>
          <w:pgSz w:w="11900" w:h="16838" w:orient="portrait"/>
          <w:cols w:equalWidth="0" w:num="2">
            <w:col w:w="5940" w:space="720"/>
            <w:col w:w="4580"/>
          </w:cols>
          <w:pgMar w:left="320" w:top="894" w:right="339" w:bottom="1440" w:gutter="0" w:footer="0" w:header="0"/>
          <w:type w:val="continuous"/>
        </w:sectPr>
      </w:pPr>
    </w:p>
    <w:p>
      <w:pPr>
        <w:ind w:left="180" w:hanging="172"/>
        <w:spacing w:after="0"/>
        <w:tabs>
          <w:tab w:leader="none" w:pos="1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Represents net earnings attributable to AbbVie Inc. Specified items reflect the impact of applicable statutory tax rates.</w:t>
      </w:r>
    </w:p>
    <w:p>
      <w:pPr>
        <w:spacing w:after="0" w:line="13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Intangible asset impairment reflects impairment charges of $847 million related to the Resonic and Durysta intangible assets. Acquisition and integration costs primarily reflect costs related to the Capstan acquisition.</w:t>
      </w:r>
    </w:p>
    <w:p>
      <w:pPr>
        <w:spacing w:after="0" w:line="12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Reported GAAP earnings and adjusted non-GAAP earnings for the nine months ended September 30, 2025 included acquired IPR&amp;D and milestones expense of $3.8 billion on a pre-tax and $3.6 billion on an after-tax basis, representing an unfavorable impact of $2.05 to both diluted EPS and adjusted diluted EPS.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80" w:type="dxa"/>
            <w:vAlign w:val="bottom"/>
          </w:tcPr>
          <w:p>
            <w:pPr>
              <w:spacing w:after="0"/>
              <w:rPr>
                <w:sz w:val="20"/>
                <w:szCs w:val="20"/>
                <w:color w:val="auto"/>
              </w:rPr>
            </w:pPr>
            <w:r>
              <w:rPr>
                <w:rFonts w:ascii="Arial" w:cs="Arial" w:eastAsia="Arial" w:hAnsi="Arial"/>
                <w:sz w:val="18"/>
                <w:szCs w:val="18"/>
                <w:color w:val="auto"/>
              </w:rPr>
              <w:t>2. The impact of the specified items by line item was as follows:</w:t>
            </w:r>
          </w:p>
        </w:tc>
        <w:tc>
          <w:tcPr>
            <w:tcW w:w="9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millions)</w:t>
            </w:r>
          </w:p>
        </w:tc>
        <w:tc>
          <w:tcPr>
            <w:tcW w:w="92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rPr>
              <w:t>Nine Months Ended September 30, 2025</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5780" w:type="dxa"/>
            <w:vAlign w:val="bottom"/>
            <w:vMerge w:val="continue"/>
          </w:tcPr>
          <w:p>
            <w:pPr>
              <w:spacing w:after="0"/>
              <w:rPr>
                <w:sz w:val="15"/>
                <w:szCs w:val="15"/>
                <w:color w:val="auto"/>
              </w:rPr>
            </w:pPr>
          </w:p>
        </w:tc>
        <w:tc>
          <w:tcPr>
            <w:tcW w:w="920" w:type="dxa"/>
            <w:vAlign w:val="bottom"/>
          </w:tcPr>
          <w:p>
            <w:pPr>
              <w:jc w:val="center"/>
              <w:spacing w:after="0" w:line="177" w:lineRule="exact"/>
              <w:rPr>
                <w:sz w:val="20"/>
                <w:szCs w:val="20"/>
                <w:color w:val="auto"/>
              </w:rPr>
            </w:pPr>
            <w:r>
              <w:rPr>
                <w:rFonts w:ascii="Arial" w:cs="Arial" w:eastAsia="Arial" w:hAnsi="Arial"/>
                <w:sz w:val="18"/>
                <w:szCs w:val="18"/>
                <w:color w:val="auto"/>
              </w:rPr>
              <w:t>Cost of</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jc w:val="center"/>
              <w:spacing w:after="0" w:line="177" w:lineRule="exact"/>
              <w:rPr>
                <w:sz w:val="20"/>
                <w:szCs w:val="20"/>
                <w:color w:val="auto"/>
              </w:rPr>
            </w:pPr>
            <w:r>
              <w:rPr>
                <w:rFonts w:ascii="Arial" w:cs="Arial" w:eastAsia="Arial" w:hAnsi="Arial"/>
                <w:sz w:val="18"/>
                <w:szCs w:val="18"/>
                <w:color w:val="auto"/>
              </w:rPr>
              <w:t>Other</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7"/>
              </w:rPr>
              <w:t>Other</w:t>
            </w:r>
          </w:p>
        </w:tc>
        <w:tc>
          <w:tcPr>
            <w:tcW w:w="0" w:type="dxa"/>
            <w:vAlign w:val="bottom"/>
          </w:tcPr>
          <w:p>
            <w:pPr>
              <w:spacing w:after="0"/>
              <w:rPr>
                <w:sz w:val="1"/>
                <w:szCs w:val="1"/>
                <w:color w:val="auto"/>
              </w:rPr>
            </w:pPr>
          </w:p>
        </w:tc>
      </w:tr>
      <w:tr>
        <w:trPr>
          <w:trHeight w:val="181"/>
        </w:trPr>
        <w:tc>
          <w:tcPr>
            <w:tcW w:w="5780" w:type="dxa"/>
            <w:vAlign w:val="bottom"/>
          </w:tcPr>
          <w:p>
            <w:pPr>
              <w:spacing w:after="0"/>
              <w:rPr>
                <w:sz w:val="15"/>
                <w:szCs w:val="15"/>
                <w:color w:val="auto"/>
              </w:rPr>
            </w:pPr>
          </w:p>
        </w:tc>
        <w:tc>
          <w:tcPr>
            <w:tcW w:w="920" w:type="dxa"/>
            <w:vAlign w:val="bottom"/>
          </w:tcPr>
          <w:p>
            <w:pPr>
              <w:jc w:val="center"/>
              <w:spacing w:after="0" w:line="181" w:lineRule="exact"/>
              <w:rPr>
                <w:sz w:val="20"/>
                <w:szCs w:val="20"/>
                <w:color w:val="auto"/>
              </w:rPr>
            </w:pPr>
            <w:r>
              <w:rPr>
                <w:rFonts w:ascii="Arial" w:cs="Arial" w:eastAsia="Arial" w:hAnsi="Arial"/>
                <w:sz w:val="18"/>
                <w:szCs w:val="18"/>
                <w:color w:val="auto"/>
              </w:rPr>
              <w:t>products</w:t>
            </w:r>
          </w:p>
        </w:tc>
        <w:tc>
          <w:tcPr>
            <w:tcW w:w="1260" w:type="dxa"/>
            <w:vAlign w:val="bottom"/>
            <w:vMerge w:val="restart"/>
          </w:tcPr>
          <w:p>
            <w:pPr>
              <w:ind w:left="420"/>
              <w:spacing w:after="0"/>
              <w:rPr>
                <w:sz w:val="20"/>
                <w:szCs w:val="20"/>
                <w:color w:val="auto"/>
              </w:rPr>
            </w:pPr>
            <w:r>
              <w:rPr>
                <w:rFonts w:ascii="Arial" w:cs="Arial" w:eastAsia="Arial" w:hAnsi="Arial"/>
                <w:sz w:val="18"/>
                <w:szCs w:val="18"/>
                <w:color w:val="auto"/>
              </w:rPr>
              <w:t>SG&amp;A</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9"/>
              </w:rPr>
              <w:t>R&amp;D</w:t>
            </w:r>
          </w:p>
        </w:tc>
        <w:tc>
          <w:tcPr>
            <w:tcW w:w="1280" w:type="dxa"/>
            <w:vAlign w:val="bottom"/>
          </w:tcPr>
          <w:p>
            <w:pPr>
              <w:jc w:val="center"/>
              <w:spacing w:after="0" w:line="181" w:lineRule="exact"/>
              <w:rPr>
                <w:sz w:val="20"/>
                <w:szCs w:val="20"/>
                <w:color w:val="auto"/>
              </w:rPr>
            </w:pPr>
            <w:r>
              <w:rPr>
                <w:rFonts w:ascii="Arial" w:cs="Arial" w:eastAsia="Arial" w:hAnsi="Arial"/>
                <w:sz w:val="18"/>
                <w:szCs w:val="18"/>
                <w:color w:val="auto"/>
                <w:w w:val="98"/>
              </w:rPr>
              <w:t>operating</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sold</w:t>
            </w:r>
          </w:p>
        </w:tc>
        <w:tc>
          <w:tcPr>
            <w:tcW w:w="12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income</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expense,net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576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13,652</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10,115</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6,517</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4,630</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Adjusted for specified items: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5760" w:type="dxa"/>
            <w:vAlign w:val="bottom"/>
          </w:tcPr>
          <w:p>
            <w:pPr>
              <w:ind w:left="120"/>
              <w:spacing w:after="0"/>
              <w:rPr>
                <w:sz w:val="20"/>
                <w:szCs w:val="20"/>
                <w:color w:val="auto"/>
              </w:rPr>
            </w:pPr>
            <w:r>
              <w:rPr>
                <w:rFonts w:ascii="Arial" w:cs="Arial" w:eastAsia="Arial" w:hAnsi="Arial"/>
                <w:sz w:val="18"/>
                <w:szCs w:val="18"/>
                <w:color w:val="auto"/>
              </w:rPr>
              <w:t>Intangible asset 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(5,593)</w:t>
            </w:r>
          </w:p>
        </w:tc>
        <w:tc>
          <w:tcPr>
            <w:tcW w:w="3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60" w:type="dxa"/>
            <w:vAlign w:val="bottom"/>
          </w:tcPr>
          <w:p>
            <w:pPr>
              <w:ind w:left="120"/>
              <w:spacing w:after="0"/>
              <w:rPr>
                <w:sz w:val="20"/>
                <w:szCs w:val="20"/>
                <w:color w:val="auto"/>
              </w:rPr>
            </w:pPr>
            <w:r>
              <w:rPr>
                <w:rFonts w:ascii="Arial" w:cs="Arial" w:eastAsia="Arial" w:hAnsi="Arial"/>
                <w:sz w:val="18"/>
                <w:szCs w:val="18"/>
                <w:color w:val="auto"/>
              </w:rPr>
              <w:t>Intangible asset impairment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(847)</w:t>
            </w:r>
          </w:p>
        </w:tc>
        <w:tc>
          <w:tcPr>
            <w:tcW w:w="3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60" w:type="dxa"/>
            <w:vAlign w:val="bottom"/>
          </w:tcPr>
          <w:p>
            <w:pPr>
              <w:ind w:left="120"/>
              <w:spacing w:after="0"/>
              <w:rPr>
                <w:sz w:val="20"/>
                <w:szCs w:val="20"/>
                <w:color w:val="auto"/>
              </w:rPr>
            </w:pPr>
            <w:r>
              <w:rPr>
                <w:rFonts w:ascii="Arial" w:cs="Arial" w:eastAsia="Arial" w:hAnsi="Arial"/>
                <w:sz w:val="18"/>
                <w:szCs w:val="18"/>
                <w:color w:val="auto"/>
              </w:rPr>
              <w:t>Acquisition and integration costs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44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60" w:type="dxa"/>
            <w:vAlign w:val="bottom"/>
          </w:tcPr>
          <w:p>
            <w:pPr>
              <w:ind w:left="12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(5,089)</w:t>
            </w:r>
          </w:p>
        </w:tc>
      </w:tr>
      <w:tr>
        <w:trPr>
          <w:trHeight w:val="235"/>
        </w:trPr>
        <w:tc>
          <w:tcPr>
            <w:tcW w:w="5760" w:type="dxa"/>
            <w:vAlign w:val="bottom"/>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576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7,076</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9,931</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6,422</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w:t>
            </w:r>
          </w:p>
        </w:tc>
      </w:tr>
      <w:tr>
        <w:trPr>
          <w:trHeight w:val="20"/>
        </w:trPr>
        <w:tc>
          <w:tcPr>
            <w:tcW w:w="5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3. The adjusted tax rate for the first nine months of 2025 was 17.9 percent, as detailed below:</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(dollars in millions)</w:t>
            </w:r>
          </w:p>
        </w:tc>
        <w:tc>
          <w:tcPr>
            <w:tcW w:w="38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 September 30, 2025</w:t>
            </w:r>
          </w:p>
        </w:tc>
        <w:tc>
          <w:tcPr>
            <w:tcW w:w="0" w:type="dxa"/>
            <w:vAlign w:val="bottom"/>
          </w:tcPr>
          <w:p>
            <w:pPr>
              <w:spacing w:after="0"/>
              <w:rPr>
                <w:sz w:val="1"/>
                <w:szCs w:val="1"/>
                <w:color w:val="auto"/>
              </w:rPr>
            </w:pPr>
          </w:p>
        </w:tc>
      </w:tr>
      <w:tr>
        <w:trPr>
          <w:trHeight w:val="223"/>
        </w:trPr>
        <w:tc>
          <w:tcPr>
            <w:tcW w:w="6540" w:type="dxa"/>
            <w:vAlign w:val="bottom"/>
            <w:vMerge w:val="continue"/>
          </w:tcPr>
          <w:p>
            <w:pPr>
              <w:spacing w:after="0"/>
              <w:rPr>
                <w:sz w:val="19"/>
                <w:szCs w:val="19"/>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Pre-tax earnings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Income taxes</w:t>
            </w: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Tax rate</w:t>
            </w:r>
          </w:p>
        </w:tc>
        <w:tc>
          <w:tcPr>
            <w:tcW w:w="0" w:type="dxa"/>
            <w:vAlign w:val="bottom"/>
          </w:tcPr>
          <w:p>
            <w:pPr>
              <w:spacing w:after="0"/>
              <w:rPr>
                <w:sz w:val="1"/>
                <w:szCs w:val="1"/>
                <w:color w:val="auto"/>
              </w:rPr>
            </w:pPr>
          </w:p>
        </w:tc>
      </w:tr>
      <w:tr>
        <w:trPr>
          <w:trHeight w:val="218"/>
        </w:trPr>
        <w:tc>
          <w:tcPr>
            <w:tcW w:w="654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3,929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1,511</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38.5 %</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r>
              <w:rPr>
                <w:rFonts w:ascii="Arial" w:cs="Arial" w:eastAsia="Arial" w:hAnsi="Arial"/>
                <w:sz w:val="18"/>
                <w:szCs w:val="18"/>
                <w:color w:val="auto"/>
              </w:rPr>
              <w:t>Specified items</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11,854</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1,310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15,783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2,821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w:t>
      </w:r>
    </w:p>
    <w:sectPr>
      <w:pgSz w:w="11900" w:h="16838" w:orient="portrait"/>
      <w:cols w:equalWidth="0" w:num="1">
        <w:col w:w="11240"/>
      </w:cols>
      <w:pgMar w:left="320" w:top="89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lvl w:ilvl="1">
      <w:lvlJc w:val="left"/>
      <w:lvlText w:val="◦"/>
      <w:numFmt w:val="bullet"/>
      <w:start w:val="1"/>
    </w:lvl>
  </w:abstractNum>
  <w:abstractNum w:abstractNumId="3">
    <w:nsid w:val="1F16E9E8"/>
    <w:multiLevelType w:val="hybridMultilevel"/>
    <w:lvl w:ilvl="0">
      <w:lvlJc w:val="left"/>
      <w:lvlText w:val="•"/>
      <w:numFmt w:val="bullet"/>
      <w:start w:val="1"/>
    </w:lvl>
    <w:lvl w:ilvl="1">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a"/>
      <w:numFmt w:val="bullet"/>
      <w:start w:val="1"/>
    </w:lvl>
  </w:abstractNum>
  <w:abstractNum w:abstractNumId="8">
    <w:nsid w:val="109CF92E"/>
    <w:multiLevelType w:val="hybridMultilevel"/>
    <w:lvl w:ilvl="0">
      <w:lvlJc w:val="left"/>
      <w:lvlText w:val="c"/>
      <w:numFmt w:val="bullet"/>
      <w:start w:val="1"/>
    </w:lvl>
  </w:abstractNum>
  <w:abstractNum w:abstractNumId="9">
    <w:nsid w:val="DED7263"/>
    <w:multiLevelType w:val="hybridMultilevel"/>
    <w:lvl w:ilvl="0">
      <w:lvlJc w:val="left"/>
      <w:lvlText w:val="a"/>
      <w:numFmt w:val="bullet"/>
      <w:start w:val="1"/>
    </w:lvl>
  </w:abstractNum>
  <w:abstractNum w:abstractNumId="10">
    <w:nsid w:val="7FDCC233"/>
    <w:multiLevelType w:val="hybridMultilevel"/>
    <w:lvl w:ilvl="0">
      <w:lvlJc w:val="left"/>
      <w:lvlText w:val="c"/>
      <w:numFmt w:val="bullet"/>
      <w:start w:val="1"/>
    </w:lvl>
  </w:abstractNum>
  <w:abstractNum w:abstractNumId="11">
    <w:nsid w:val="1BEFD79F"/>
    <w:multiLevelType w:val="hybridMultilevel"/>
    <w:lvl w:ilvl="0">
      <w:lvlJc w:val="left"/>
      <w:lvlText w:val="a"/>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a"/>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a"/>
      <w:numFmt w:val="bullet"/>
      <w:start w:val="1"/>
    </w:lvl>
  </w:abstractNum>
  <w:abstractNum w:abstractNumId="16">
    <w:nsid w:val="519B500D"/>
    <w:multiLevelType w:val="hybridMultilevel"/>
    <w:lvl w:ilvl="0">
      <w:lvlJc w:val="left"/>
      <w:lvlText w:val="a"/>
      <w:numFmt w:val="bullet"/>
      <w:start w:val="1"/>
    </w:lvl>
  </w:abstractNum>
  <w:abstractNum w:abstractNumId="17">
    <w:nsid w:val="431BD7B7"/>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2026-10-30T06:53:02Z</dcterms:created>
  <dcterms:modified xsi:type="dcterms:W3CDTF">2026-10-30T06:53:02Z</dcterms:modified>
</cp:coreProperties>
</file>